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E362" w14:textId="77777777" w:rsidR="00E73FEC" w:rsidRDefault="00E73FEC">
      <w:pPr>
        <w:spacing w:after="240" w:line="360" w:lineRule="auto"/>
        <w:jc w:val="right"/>
        <w:rPr>
          <w:b/>
          <w:bCs/>
          <w:sz w:val="28"/>
          <w:u w:val="single"/>
        </w:rPr>
      </w:pPr>
      <w:bookmarkStart w:id="0" w:name="main"/>
    </w:p>
    <w:p w14:paraId="6695E17E" w14:textId="77777777" w:rsidR="00E73FEC" w:rsidRDefault="00E73FEC">
      <w:pPr>
        <w:spacing w:after="240" w:line="360" w:lineRule="auto"/>
        <w:jc w:val="center"/>
        <w:rPr>
          <w:b/>
          <w:bCs/>
          <w:sz w:val="28"/>
          <w:u w:val="single"/>
        </w:rPr>
      </w:pPr>
    </w:p>
    <w:p w14:paraId="1EF89623" w14:textId="77777777" w:rsidR="00E73FEC" w:rsidRPr="00EF303D" w:rsidRDefault="00E73FEC">
      <w:pPr>
        <w:spacing w:after="240" w:line="360" w:lineRule="auto"/>
        <w:jc w:val="center"/>
        <w:rPr>
          <w:b/>
          <w:bCs/>
          <w:sz w:val="28"/>
          <w:u w:val="single"/>
        </w:rPr>
      </w:pPr>
      <w:r w:rsidRPr="00EF303D">
        <w:rPr>
          <w:b/>
          <w:bCs/>
          <w:sz w:val="28"/>
          <w:u w:val="single"/>
        </w:rPr>
        <w:t>WATER SERVICES LICENCE</w:t>
      </w:r>
    </w:p>
    <w:p w14:paraId="41A47DC1" w14:textId="77777777" w:rsidR="00E73FEC" w:rsidRPr="00EF303D" w:rsidRDefault="00E73FEC">
      <w:pPr>
        <w:spacing w:after="240" w:line="360" w:lineRule="auto"/>
        <w:jc w:val="center"/>
        <w:rPr>
          <w:b/>
          <w:bCs/>
          <w:sz w:val="28"/>
          <w:u w:val="single"/>
        </w:rPr>
      </w:pPr>
    </w:p>
    <w:p w14:paraId="5E792210" w14:textId="77777777" w:rsidR="00E73FEC" w:rsidRPr="00EF303D" w:rsidRDefault="00E73FEC">
      <w:pPr>
        <w:spacing w:after="240" w:line="360" w:lineRule="auto"/>
        <w:jc w:val="center"/>
        <w:rPr>
          <w:b/>
          <w:bCs/>
          <w:sz w:val="28"/>
          <w:u w:val="single"/>
        </w:rPr>
      </w:pPr>
    </w:p>
    <w:p w14:paraId="681CAE8E" w14:textId="6D1643D8" w:rsidR="00E73FEC" w:rsidRPr="00EF303D" w:rsidRDefault="00B4006E">
      <w:pPr>
        <w:spacing w:after="240" w:line="360" w:lineRule="auto"/>
        <w:jc w:val="center"/>
        <w:rPr>
          <w:b/>
          <w:bCs/>
          <w:sz w:val="28"/>
        </w:rPr>
      </w:pPr>
      <w:r w:rsidRPr="00EF303D">
        <w:rPr>
          <w:b/>
          <w:bCs/>
          <w:sz w:val="28"/>
        </w:rPr>
        <w:t>authorising</w:t>
      </w:r>
    </w:p>
    <w:p w14:paraId="2F616942" w14:textId="77777777" w:rsidR="00E73FEC" w:rsidRPr="00EF303D" w:rsidRDefault="00E73FEC">
      <w:pPr>
        <w:spacing w:after="240" w:line="360" w:lineRule="auto"/>
        <w:jc w:val="center"/>
        <w:rPr>
          <w:b/>
          <w:bCs/>
          <w:sz w:val="28"/>
          <w:u w:val="single"/>
        </w:rPr>
      </w:pPr>
    </w:p>
    <w:p w14:paraId="470FE37D" w14:textId="77777777" w:rsidR="00E73FEC" w:rsidRPr="00EF303D" w:rsidRDefault="00E73FEC">
      <w:pPr>
        <w:spacing w:after="240" w:line="360" w:lineRule="auto"/>
        <w:jc w:val="center"/>
        <w:rPr>
          <w:b/>
          <w:bCs/>
          <w:sz w:val="28"/>
          <w:u w:val="single"/>
        </w:rPr>
      </w:pPr>
    </w:p>
    <w:p w14:paraId="47971C6F" w14:textId="30C5C0F3" w:rsidR="00E73FEC" w:rsidRPr="00EF303D" w:rsidRDefault="004001B9">
      <w:pPr>
        <w:spacing w:after="240" w:line="360" w:lineRule="auto"/>
        <w:jc w:val="center"/>
        <w:rPr>
          <w:b/>
          <w:bCs/>
          <w:u w:val="single"/>
        </w:rPr>
      </w:pPr>
      <w:r w:rsidRPr="00EF303D">
        <w:rPr>
          <w:b/>
          <w:bCs/>
          <w:sz w:val="28"/>
        </w:rPr>
        <w:t>Castle Water L</w:t>
      </w:r>
      <w:r w:rsidR="008F44DC" w:rsidRPr="00EF303D">
        <w:rPr>
          <w:b/>
          <w:bCs/>
          <w:sz w:val="28"/>
        </w:rPr>
        <w:t>imited</w:t>
      </w:r>
    </w:p>
    <w:p w14:paraId="0B2AA8FE" w14:textId="77777777" w:rsidR="00E73FEC" w:rsidRPr="00EF303D" w:rsidRDefault="00E73FEC">
      <w:pPr>
        <w:spacing w:line="435" w:lineRule="atLeast"/>
        <w:jc w:val="center"/>
        <w:rPr>
          <w:b/>
          <w:bCs/>
          <w:sz w:val="24"/>
        </w:rPr>
        <w:sectPr w:rsidR="00E73FEC" w:rsidRPr="00EF303D" w:rsidSect="004B15F6">
          <w:headerReference w:type="even" r:id="rId8"/>
          <w:headerReference w:type="default" r:id="rId9"/>
          <w:headerReference w:type="first" r:id="rId10"/>
          <w:pgSz w:w="11909" w:h="16834" w:code="9"/>
          <w:pgMar w:top="-1469" w:right="1440" w:bottom="734" w:left="1440" w:header="1008" w:footer="576" w:gutter="0"/>
          <w:paperSrc w:first="11" w:other="11"/>
          <w:pgNumType w:start="1"/>
          <w:cols w:space="720"/>
          <w:titlePg/>
          <w:docGrid w:linePitch="272"/>
        </w:sectPr>
      </w:pPr>
    </w:p>
    <w:p w14:paraId="7EA1C381" w14:textId="77777777" w:rsidR="00E73FEC" w:rsidRPr="00EF303D" w:rsidRDefault="00E73FEC">
      <w:pPr>
        <w:spacing w:after="240" w:line="435" w:lineRule="exact"/>
        <w:jc w:val="center"/>
        <w:rPr>
          <w:b/>
          <w:bCs/>
          <w:u w:val="single"/>
        </w:rPr>
      </w:pPr>
      <w:bookmarkStart w:id="1" w:name="Part1"/>
      <w:bookmarkEnd w:id="1"/>
      <w:r w:rsidRPr="00EF303D">
        <w:rPr>
          <w:b/>
          <w:bCs/>
          <w:u w:val="single"/>
        </w:rPr>
        <w:lastRenderedPageBreak/>
        <w:t>PART 1 (PRELIMINARY</w:t>
      </w:r>
      <w:r w:rsidR="005B3956" w:rsidRPr="00EF303D">
        <w:rPr>
          <w:b/>
          <w:bCs/>
          <w:u w:val="single"/>
        </w:rPr>
        <w:t>)</w:t>
      </w:r>
    </w:p>
    <w:p w14:paraId="1ED624A6" w14:textId="77777777" w:rsidR="00E73FEC" w:rsidRPr="00EF303D" w:rsidRDefault="00E73FEC">
      <w:pPr>
        <w:spacing w:line="435" w:lineRule="exact"/>
        <w:jc w:val="center"/>
        <w:rPr>
          <w:b/>
          <w:bCs/>
        </w:rPr>
      </w:pPr>
    </w:p>
    <w:p w14:paraId="1848C6A7" w14:textId="77777777" w:rsidR="00E73FEC" w:rsidRPr="00EF303D" w:rsidRDefault="00E73FEC" w:rsidP="003F681D">
      <w:pPr>
        <w:spacing w:line="435" w:lineRule="exact"/>
        <w:rPr>
          <w:b/>
          <w:bCs/>
        </w:rPr>
      </w:pPr>
      <w:r w:rsidRPr="00EF303D">
        <w:rPr>
          <w:b/>
          <w:bCs/>
        </w:rPr>
        <w:t>Terms of this licence</w:t>
      </w:r>
    </w:p>
    <w:p w14:paraId="3AF9C00C" w14:textId="752AAAD1" w:rsidR="00E73FEC" w:rsidRPr="00EF303D" w:rsidRDefault="00E73FEC" w:rsidP="00D37CCF">
      <w:pPr>
        <w:numPr>
          <w:ilvl w:val="0"/>
          <w:numId w:val="13"/>
        </w:numPr>
        <w:tabs>
          <w:tab w:val="clear" w:pos="720"/>
          <w:tab w:val="left" w:pos="709"/>
        </w:tabs>
        <w:spacing w:line="435" w:lineRule="exact"/>
        <w:ind w:left="709" w:hanging="709"/>
      </w:pPr>
      <w:r w:rsidRPr="00EF303D">
        <w:t xml:space="preserve">This licence, </w:t>
      </w:r>
      <w:r w:rsidR="009F49E6" w:rsidRPr="00EF303D">
        <w:t xml:space="preserve">originally </w:t>
      </w:r>
      <w:r w:rsidRPr="00EF303D">
        <w:t xml:space="preserve">granted by the Water Industry Commission for Scotland (the "Commission") under section 6(1) of the Water Services </w:t>
      </w:r>
      <w:r w:rsidR="00C5386F" w:rsidRPr="00EF303D">
        <w:t>e</w:t>
      </w:r>
      <w:r w:rsidRPr="00EF303D">
        <w:t>tc. (Scotland) Act 2005 (the "2005 Act")</w:t>
      </w:r>
      <w:r w:rsidR="009F49E6" w:rsidRPr="00EF303D">
        <w:t xml:space="preserve"> to </w:t>
      </w:r>
      <w:r w:rsidR="00F52238">
        <w:t>Brightwater Services</w:t>
      </w:r>
      <w:r w:rsidR="00391F9D" w:rsidRPr="00EF303D">
        <w:t xml:space="preserve"> Limited </w:t>
      </w:r>
      <w:r w:rsidR="009F49E6" w:rsidRPr="00EF303D">
        <w:t>and, by virtue of consent given by the Water Industry Commission for Scotland on</w:t>
      </w:r>
      <w:r w:rsidR="003F7C4E" w:rsidRPr="00EF303D">
        <w:t xml:space="preserve"> </w:t>
      </w:r>
      <w:r w:rsidR="00576609">
        <w:t>11 February 20</w:t>
      </w:r>
      <w:r w:rsidR="001D2A0A">
        <w:t>16</w:t>
      </w:r>
      <w:r w:rsidR="009F49E6" w:rsidRPr="00EF303D">
        <w:t>, subsequently transferred under paragraph 4 of schedule 2 of the 2005 Act</w:t>
      </w:r>
      <w:r w:rsidRPr="00EF303D">
        <w:t xml:space="preserve"> authorises </w:t>
      </w:r>
      <w:r w:rsidR="003E1754" w:rsidRPr="00EF303D">
        <w:t>Castle Water</w:t>
      </w:r>
      <w:r w:rsidR="008E5E6D" w:rsidRPr="00EF303D">
        <w:t xml:space="preserve"> </w:t>
      </w:r>
      <w:r w:rsidR="00B077E1" w:rsidRPr="00EF303D">
        <w:t xml:space="preserve">Limited, a company incorporated in </w:t>
      </w:r>
      <w:r w:rsidR="00B75729" w:rsidRPr="00EF303D">
        <w:t>Scotland</w:t>
      </w:r>
      <w:r w:rsidR="00B077E1" w:rsidRPr="00EF303D">
        <w:t xml:space="preserve"> (Registered Number</w:t>
      </w:r>
      <w:r w:rsidR="0078592A" w:rsidRPr="00EF303D">
        <w:t xml:space="preserve"> </w:t>
      </w:r>
      <w:r w:rsidR="009D21C9" w:rsidRPr="00EF303D">
        <w:t>SC475583</w:t>
      </w:r>
      <w:r w:rsidR="008E5E6D" w:rsidRPr="00EF303D">
        <w:t xml:space="preserve">), (the "licensee") whose registered office is registered office is at </w:t>
      </w:r>
      <w:r w:rsidR="00FF1F2B" w:rsidRPr="00EF303D">
        <w:t>1 Boat Brae, Rattray, Blairgowrie, PH10 7BH</w:t>
      </w:r>
      <w:r w:rsidR="00D37CCF" w:rsidRPr="00EF303D">
        <w:t>:</w:t>
      </w:r>
    </w:p>
    <w:p w14:paraId="1A495BDC" w14:textId="77777777" w:rsidR="00E73FEC" w:rsidRPr="00EF303D" w:rsidRDefault="00E73FEC">
      <w:pPr>
        <w:spacing w:line="435" w:lineRule="exact"/>
        <w:ind w:firstLine="360"/>
      </w:pPr>
      <w:r w:rsidRPr="00EF303D">
        <w:t>(a)</w:t>
      </w:r>
      <w:r w:rsidRPr="00EF303D">
        <w:tab/>
        <w:t>to:</w:t>
      </w:r>
    </w:p>
    <w:p w14:paraId="0B55D60D" w14:textId="77777777" w:rsidR="00E73FEC" w:rsidRPr="00EF303D" w:rsidRDefault="00E73FEC">
      <w:pPr>
        <w:tabs>
          <w:tab w:val="left" w:pos="709"/>
        </w:tabs>
        <w:spacing w:line="435" w:lineRule="exact"/>
        <w:ind w:left="1080" w:hanging="360"/>
      </w:pPr>
      <w:r w:rsidRPr="00EF303D">
        <w:t>(</w:t>
      </w:r>
      <w:proofErr w:type="spellStart"/>
      <w:r w:rsidRPr="00EF303D">
        <w:t>i</w:t>
      </w:r>
      <w:proofErr w:type="spellEnd"/>
      <w:r w:rsidRPr="00EF303D">
        <w:t>)</w:t>
      </w:r>
      <w:r w:rsidRPr="00EF303D">
        <w:tab/>
        <w:t>make arrangements with the occupier of any eligible premises for or in relation to the supply of water</w:t>
      </w:r>
      <w:r w:rsidRPr="00EF303D">
        <w:rPr>
          <w:b/>
          <w:bCs/>
        </w:rPr>
        <w:t xml:space="preserve"> </w:t>
      </w:r>
      <w:r w:rsidRPr="00EF303D">
        <w:t>to the premises through the public water supply system; and</w:t>
      </w:r>
    </w:p>
    <w:p w14:paraId="77015D01" w14:textId="77777777" w:rsidR="00E73FEC" w:rsidRPr="00EF303D" w:rsidRDefault="00E73FEC">
      <w:pPr>
        <w:tabs>
          <w:tab w:val="left" w:pos="709"/>
        </w:tabs>
        <w:spacing w:line="435" w:lineRule="exact"/>
        <w:ind w:left="1080" w:hanging="360"/>
      </w:pPr>
      <w:r w:rsidRPr="00EF303D">
        <w:t>(ii)</w:t>
      </w:r>
      <w:r w:rsidRPr="00EF303D">
        <w:tab/>
        <w:t>fix, demand and recover charges for or in relation to the supply of water</w:t>
      </w:r>
      <w:r w:rsidRPr="00EF303D">
        <w:rPr>
          <w:b/>
          <w:bCs/>
        </w:rPr>
        <w:t xml:space="preserve"> </w:t>
      </w:r>
      <w:r w:rsidRPr="00EF303D">
        <w:t>to any premises in respect of which the licensee has made such arrangements; and</w:t>
      </w:r>
    </w:p>
    <w:p w14:paraId="0A59D69E" w14:textId="77777777" w:rsidR="00E73FEC" w:rsidRPr="00EF303D" w:rsidRDefault="00E73FEC">
      <w:pPr>
        <w:tabs>
          <w:tab w:val="left" w:pos="450"/>
          <w:tab w:val="left" w:pos="709"/>
        </w:tabs>
        <w:spacing w:line="435" w:lineRule="exact"/>
        <w:ind w:left="720" w:hanging="360"/>
      </w:pPr>
      <w:r w:rsidRPr="00EF303D">
        <w:t>(b)</w:t>
      </w:r>
      <w:r w:rsidRPr="00EF303D">
        <w:tab/>
      </w:r>
      <w:r w:rsidRPr="00EF303D">
        <w:tab/>
        <w:t>to make such arrangements with Scottish Water and such other persons as are necessary for the purposes of or in connection with the things mentioned in paragraph (a);</w:t>
      </w:r>
    </w:p>
    <w:p w14:paraId="338B2A90" w14:textId="77777777" w:rsidR="00E73FEC" w:rsidRPr="00EF303D" w:rsidRDefault="00E73FEC">
      <w:pPr>
        <w:tabs>
          <w:tab w:val="left" w:pos="450"/>
          <w:tab w:val="left" w:pos="709"/>
        </w:tabs>
        <w:spacing w:line="435" w:lineRule="exact"/>
        <w:ind w:left="360"/>
      </w:pPr>
      <w:r w:rsidRPr="00EF303D">
        <w:t xml:space="preserve">during the period specified in paragraph 4 below. </w:t>
      </w:r>
    </w:p>
    <w:p w14:paraId="7CECB4DE" w14:textId="77777777" w:rsidR="00E73FEC" w:rsidRPr="00EF303D" w:rsidRDefault="00E73FEC">
      <w:pPr>
        <w:tabs>
          <w:tab w:val="left" w:pos="709"/>
        </w:tabs>
        <w:spacing w:line="435" w:lineRule="exact"/>
        <w:ind w:left="1418" w:hanging="709"/>
      </w:pPr>
    </w:p>
    <w:p w14:paraId="1FE3B1B2" w14:textId="77777777" w:rsidR="00E73FEC" w:rsidRPr="00EF303D" w:rsidRDefault="00E73FEC" w:rsidP="00E73FEC">
      <w:pPr>
        <w:numPr>
          <w:ilvl w:val="0"/>
          <w:numId w:val="13"/>
        </w:numPr>
        <w:tabs>
          <w:tab w:val="clear" w:pos="720"/>
          <w:tab w:val="num" w:pos="360"/>
        </w:tabs>
        <w:spacing w:line="435" w:lineRule="exact"/>
        <w:ind w:left="360"/>
      </w:pPr>
      <w:r w:rsidRPr="00EF303D">
        <w:t>This licence is subject to:</w:t>
      </w:r>
    </w:p>
    <w:p w14:paraId="7D24B5AE" w14:textId="77777777" w:rsidR="00E73FEC" w:rsidRPr="00EF303D" w:rsidRDefault="00E73FEC">
      <w:pPr>
        <w:tabs>
          <w:tab w:val="left" w:pos="709"/>
        </w:tabs>
        <w:spacing w:line="435" w:lineRule="exact"/>
        <w:ind w:left="720" w:hanging="360"/>
      </w:pPr>
      <w:r w:rsidRPr="00EF303D">
        <w:t>(a)</w:t>
      </w:r>
      <w:r w:rsidRPr="00EF303D">
        <w:tab/>
        <w:t>the standard conditions applicable to water services licences which shall have effect in the licence</w:t>
      </w:r>
      <w:r w:rsidRPr="00EF303D">
        <w:tab/>
        <w:t>in accordance with the provisions of the standard conditions and subject to such modifications (if any) as are set out in Part 2 below (together the "applicable standard conditions");</w:t>
      </w:r>
    </w:p>
    <w:p w14:paraId="045AC103" w14:textId="77777777" w:rsidR="00E73FEC" w:rsidRPr="00EF303D" w:rsidRDefault="00E73FEC">
      <w:pPr>
        <w:tabs>
          <w:tab w:val="left" w:pos="709"/>
        </w:tabs>
        <w:spacing w:line="435" w:lineRule="exact"/>
        <w:ind w:left="720" w:hanging="360"/>
      </w:pPr>
      <w:r w:rsidRPr="00EF303D">
        <w:t>(b)</w:t>
      </w:r>
      <w:r w:rsidRPr="00EF303D">
        <w:tab/>
        <w:t>the ordinary conditions, if any, set out in Part 3 below (the "ordinary conditions"); and</w:t>
      </w:r>
    </w:p>
    <w:p w14:paraId="28AB39AD" w14:textId="77777777" w:rsidR="00E73FEC" w:rsidRPr="00EF303D" w:rsidRDefault="00E73FEC">
      <w:pPr>
        <w:tabs>
          <w:tab w:val="left" w:pos="709"/>
        </w:tabs>
        <w:spacing w:line="435" w:lineRule="exact"/>
        <w:ind w:left="720" w:hanging="360"/>
      </w:pPr>
      <w:r w:rsidRPr="00EF303D">
        <w:t>(c)</w:t>
      </w:r>
      <w:r w:rsidRPr="00EF303D">
        <w:tab/>
        <w:t>such schedules hereto, if any, as may be referenced in the applicable standard conditions, the ordinary conditions or the terms of the licence.</w:t>
      </w:r>
    </w:p>
    <w:p w14:paraId="4BD0746B" w14:textId="77777777" w:rsidR="00E73FEC" w:rsidRPr="00EF303D" w:rsidRDefault="00E73FEC">
      <w:pPr>
        <w:spacing w:line="435" w:lineRule="exact"/>
      </w:pPr>
    </w:p>
    <w:p w14:paraId="170F0D28" w14:textId="77777777" w:rsidR="00E73FEC" w:rsidRPr="00EF303D" w:rsidRDefault="00E73FEC" w:rsidP="00E73FEC">
      <w:pPr>
        <w:numPr>
          <w:ilvl w:val="0"/>
          <w:numId w:val="13"/>
        </w:numPr>
        <w:tabs>
          <w:tab w:val="clear" w:pos="720"/>
          <w:tab w:val="num" w:pos="360"/>
        </w:tabs>
        <w:spacing w:line="435" w:lineRule="exact"/>
        <w:ind w:left="360"/>
      </w:pPr>
      <w:r w:rsidRPr="00EF303D">
        <w:t>This licence is subject to transfer, modification or amendment in accordance with the provisions of the 2005 Act, the ordinary conditions or the applicable standard conditions.</w:t>
      </w:r>
    </w:p>
    <w:p w14:paraId="37787AAB" w14:textId="77777777" w:rsidR="00E73FEC" w:rsidRPr="00EF303D" w:rsidRDefault="00E73FEC">
      <w:pPr>
        <w:tabs>
          <w:tab w:val="left" w:pos="709"/>
        </w:tabs>
        <w:spacing w:line="435" w:lineRule="exact"/>
      </w:pPr>
    </w:p>
    <w:p w14:paraId="2406C25F" w14:textId="77777777" w:rsidR="00E73FEC" w:rsidRPr="00EF303D" w:rsidRDefault="00E73FEC" w:rsidP="00E73FEC">
      <w:pPr>
        <w:numPr>
          <w:ilvl w:val="0"/>
          <w:numId w:val="13"/>
        </w:numPr>
        <w:tabs>
          <w:tab w:val="clear" w:pos="720"/>
          <w:tab w:val="num" w:pos="360"/>
        </w:tabs>
        <w:spacing w:line="435" w:lineRule="exact"/>
        <w:ind w:left="360"/>
      </w:pPr>
      <w:r w:rsidRPr="00EF303D">
        <w:t>This licence, unless revoked or suspended in accordance with the 2005 Act, shall continue until determined by not less than 10 years' notice in writing given by the Commission to the licensee.</w:t>
      </w:r>
    </w:p>
    <w:p w14:paraId="325B7E98" w14:textId="77777777" w:rsidR="00E73FEC" w:rsidRPr="00EF303D" w:rsidRDefault="00E73FEC">
      <w:pPr>
        <w:tabs>
          <w:tab w:val="left" w:pos="709"/>
        </w:tabs>
        <w:spacing w:line="435" w:lineRule="exact"/>
      </w:pPr>
    </w:p>
    <w:p w14:paraId="7B145D04" w14:textId="77777777" w:rsidR="00B077E1" w:rsidRPr="00EF303D" w:rsidRDefault="00B077E1">
      <w:pPr>
        <w:tabs>
          <w:tab w:val="left" w:pos="709"/>
        </w:tabs>
        <w:spacing w:line="435" w:lineRule="exact"/>
      </w:pPr>
    </w:p>
    <w:p w14:paraId="57414D73" w14:textId="77777777" w:rsidR="00E73FEC" w:rsidRPr="00EF303D" w:rsidRDefault="00E73FEC" w:rsidP="00E73FEC">
      <w:pPr>
        <w:numPr>
          <w:ilvl w:val="0"/>
          <w:numId w:val="13"/>
        </w:numPr>
        <w:tabs>
          <w:tab w:val="clear" w:pos="720"/>
          <w:tab w:val="num" w:pos="360"/>
        </w:tabs>
        <w:spacing w:line="435" w:lineRule="exact"/>
        <w:ind w:hanging="720"/>
      </w:pPr>
      <w:r w:rsidRPr="00EF303D">
        <w:t>(a)</w:t>
      </w:r>
      <w:r w:rsidRPr="00EF303D">
        <w:tab/>
        <w:t xml:space="preserve">Where any notice or direction is served on or given to any licensee under this licence or the 2005 Act (including any regulations made thereunder), it shall be treated as served - </w:t>
      </w:r>
    </w:p>
    <w:p w14:paraId="7F451D4C" w14:textId="77777777" w:rsidR="00E73FEC" w:rsidRPr="00EF303D" w:rsidRDefault="00E73FEC">
      <w:pPr>
        <w:autoSpaceDE w:val="0"/>
        <w:autoSpaceDN w:val="0"/>
        <w:adjustRightInd w:val="0"/>
        <w:spacing w:before="100" w:after="100" w:line="435" w:lineRule="exact"/>
        <w:ind w:left="1080" w:hanging="360"/>
        <w:rPr>
          <w:rFonts w:cs="Arial"/>
          <w:szCs w:val="24"/>
        </w:rPr>
      </w:pPr>
      <w:r w:rsidRPr="00EF303D">
        <w:rPr>
          <w:rFonts w:cs="Arial"/>
          <w:szCs w:val="24"/>
        </w:rPr>
        <w:t>(</w:t>
      </w:r>
      <w:proofErr w:type="spellStart"/>
      <w:r w:rsidRPr="00EF303D">
        <w:rPr>
          <w:rFonts w:cs="Arial"/>
          <w:szCs w:val="24"/>
        </w:rPr>
        <w:t>i</w:t>
      </w:r>
      <w:proofErr w:type="spellEnd"/>
      <w:r w:rsidRPr="00EF303D">
        <w:rPr>
          <w:rFonts w:cs="Arial"/>
          <w:szCs w:val="24"/>
        </w:rPr>
        <w:t>)</w:t>
      </w:r>
      <w:r w:rsidRPr="00EF303D">
        <w:rPr>
          <w:rFonts w:cs="Arial"/>
          <w:szCs w:val="24"/>
        </w:rPr>
        <w:tab/>
        <w:t>by delivering it to any person or leaving it at his proper address or by sending it by post to him at that address; or</w:t>
      </w:r>
    </w:p>
    <w:p w14:paraId="1981FBBA" w14:textId="77777777" w:rsidR="00E73FEC" w:rsidRPr="00EF303D" w:rsidRDefault="00E73FEC">
      <w:pPr>
        <w:autoSpaceDE w:val="0"/>
        <w:autoSpaceDN w:val="0"/>
        <w:adjustRightInd w:val="0"/>
        <w:spacing w:before="100" w:after="100" w:line="435" w:lineRule="exact"/>
        <w:ind w:left="1080" w:hanging="360"/>
        <w:rPr>
          <w:rFonts w:cs="Arial"/>
          <w:szCs w:val="24"/>
        </w:rPr>
      </w:pPr>
      <w:r w:rsidRPr="00EF303D">
        <w:rPr>
          <w:rFonts w:cs="Arial"/>
          <w:szCs w:val="24"/>
        </w:rPr>
        <w:t>(ii)</w:t>
      </w:r>
      <w:r w:rsidRPr="00EF303D">
        <w:rPr>
          <w:rFonts w:cs="Arial"/>
          <w:szCs w:val="24"/>
        </w:rPr>
        <w:tab/>
        <w:t>if the person is a body corporate, by serving it in accordance with sub-paragraph (</w:t>
      </w:r>
      <w:proofErr w:type="spellStart"/>
      <w:r w:rsidRPr="00EF303D">
        <w:rPr>
          <w:rFonts w:cs="Arial"/>
          <w:szCs w:val="24"/>
        </w:rPr>
        <w:t>i</w:t>
      </w:r>
      <w:proofErr w:type="spellEnd"/>
      <w:r w:rsidRPr="00EF303D">
        <w:rPr>
          <w:rFonts w:cs="Arial"/>
          <w:szCs w:val="24"/>
        </w:rPr>
        <w:t>) above on the secretary of that body; or</w:t>
      </w:r>
    </w:p>
    <w:p w14:paraId="2AA2BFA6" w14:textId="77777777" w:rsidR="00E73FEC" w:rsidRPr="00EF303D" w:rsidRDefault="00E73FEC">
      <w:pPr>
        <w:autoSpaceDE w:val="0"/>
        <w:autoSpaceDN w:val="0"/>
        <w:adjustRightInd w:val="0"/>
        <w:spacing w:before="100" w:after="100" w:line="435" w:lineRule="exact"/>
        <w:ind w:left="1080" w:hanging="360"/>
        <w:rPr>
          <w:rFonts w:cs="Arial"/>
          <w:szCs w:val="24"/>
        </w:rPr>
      </w:pPr>
      <w:r w:rsidRPr="00EF303D">
        <w:rPr>
          <w:rFonts w:cs="Arial"/>
          <w:szCs w:val="24"/>
        </w:rPr>
        <w:t>(iii)</w:t>
      </w:r>
      <w:r w:rsidRPr="00EF303D">
        <w:rPr>
          <w:rFonts w:cs="Arial"/>
          <w:szCs w:val="24"/>
        </w:rPr>
        <w:tab/>
        <w:t>if the person is a partnership, or a partner in a partnership, by serving it in accordance with sub-paragraph (</w:t>
      </w:r>
      <w:proofErr w:type="spellStart"/>
      <w:r w:rsidRPr="00EF303D">
        <w:rPr>
          <w:rFonts w:cs="Arial"/>
          <w:szCs w:val="24"/>
        </w:rPr>
        <w:t>i</w:t>
      </w:r>
      <w:proofErr w:type="spellEnd"/>
      <w:r w:rsidRPr="00EF303D">
        <w:rPr>
          <w:rFonts w:cs="Arial"/>
          <w:szCs w:val="24"/>
        </w:rPr>
        <w:t>) above on a person having the control or management of the partnership business.</w:t>
      </w:r>
    </w:p>
    <w:p w14:paraId="409F1C2C" w14:textId="77777777" w:rsidR="00E73FEC" w:rsidRPr="00EF303D" w:rsidRDefault="00E73FEC">
      <w:pPr>
        <w:tabs>
          <w:tab w:val="left" w:pos="360"/>
          <w:tab w:val="left" w:pos="720"/>
        </w:tabs>
        <w:autoSpaceDE w:val="0"/>
        <w:autoSpaceDN w:val="0"/>
        <w:adjustRightInd w:val="0"/>
        <w:spacing w:before="100" w:after="100" w:line="435" w:lineRule="exact"/>
        <w:ind w:left="720" w:hanging="360"/>
        <w:rPr>
          <w:rFonts w:cs="Arial"/>
          <w:szCs w:val="24"/>
        </w:rPr>
      </w:pPr>
      <w:r w:rsidRPr="00EF303D">
        <w:rPr>
          <w:rFonts w:cs="Arial"/>
          <w:szCs w:val="24"/>
        </w:rPr>
        <w:t>(b)</w:t>
      </w:r>
      <w:r w:rsidRPr="00EF303D">
        <w:rPr>
          <w:rFonts w:cs="Arial"/>
          <w:szCs w:val="24"/>
        </w:rPr>
        <w:tab/>
        <w:t xml:space="preserve">For the purposes of this paragraph and section 7 of the Interpretation Act 1978 (which relates to the service of documents by post) in its application to this paragraph, the proper address of any person on whom a document is to be served shall be his last known address, except that </w:t>
      </w:r>
    </w:p>
    <w:p w14:paraId="330887CC" w14:textId="77777777" w:rsidR="00E73FEC" w:rsidRPr="00EF303D" w:rsidRDefault="00E73FEC">
      <w:pPr>
        <w:autoSpaceDE w:val="0"/>
        <w:autoSpaceDN w:val="0"/>
        <w:adjustRightInd w:val="0"/>
        <w:spacing w:before="100" w:after="100" w:line="435" w:lineRule="exact"/>
        <w:ind w:left="1080" w:hanging="360"/>
        <w:rPr>
          <w:rFonts w:cs="Arial"/>
          <w:szCs w:val="24"/>
        </w:rPr>
      </w:pPr>
      <w:r w:rsidRPr="00EF303D">
        <w:rPr>
          <w:rFonts w:cs="Arial"/>
          <w:szCs w:val="24"/>
        </w:rPr>
        <w:t>(</w:t>
      </w:r>
      <w:proofErr w:type="spellStart"/>
      <w:r w:rsidRPr="00EF303D">
        <w:rPr>
          <w:rFonts w:cs="Arial"/>
          <w:szCs w:val="24"/>
        </w:rPr>
        <w:t>i</w:t>
      </w:r>
      <w:proofErr w:type="spellEnd"/>
      <w:r w:rsidRPr="00EF303D">
        <w:rPr>
          <w:rFonts w:cs="Arial"/>
          <w:szCs w:val="24"/>
        </w:rPr>
        <w:t>)</w:t>
      </w:r>
      <w:r w:rsidRPr="00EF303D">
        <w:rPr>
          <w:rFonts w:cs="Arial"/>
          <w:szCs w:val="24"/>
        </w:rPr>
        <w:tab/>
        <w:t>in the case of service on a body corporate or its secretary, it shall be the address of the registered or principal office of the body; and</w:t>
      </w:r>
    </w:p>
    <w:p w14:paraId="694E5F58" w14:textId="77777777" w:rsidR="00E73FEC" w:rsidRPr="00EF303D" w:rsidRDefault="00E73FEC">
      <w:pPr>
        <w:autoSpaceDE w:val="0"/>
        <w:autoSpaceDN w:val="0"/>
        <w:adjustRightInd w:val="0"/>
        <w:spacing w:before="100" w:after="100" w:line="435" w:lineRule="exact"/>
        <w:ind w:left="1080" w:hanging="360"/>
        <w:rPr>
          <w:rFonts w:cs="Arial"/>
          <w:szCs w:val="24"/>
        </w:rPr>
      </w:pPr>
      <w:r w:rsidRPr="00EF303D">
        <w:rPr>
          <w:rFonts w:cs="Arial"/>
          <w:szCs w:val="24"/>
        </w:rPr>
        <w:t>(ii)</w:t>
      </w:r>
      <w:r w:rsidRPr="00EF303D">
        <w:rPr>
          <w:rFonts w:cs="Arial"/>
          <w:szCs w:val="24"/>
        </w:rPr>
        <w:tab/>
        <w:t>in the case of service on a partnership or a partner or a person having the control or management of a partnership business, it shall be the address of the principal office of the partnership;</w:t>
      </w:r>
    </w:p>
    <w:p w14:paraId="7EACA2AF" w14:textId="77777777" w:rsidR="00E73FEC" w:rsidRPr="00EF303D" w:rsidRDefault="00E73FEC">
      <w:pPr>
        <w:autoSpaceDE w:val="0"/>
        <w:autoSpaceDN w:val="0"/>
        <w:adjustRightInd w:val="0"/>
        <w:spacing w:before="100" w:after="100" w:line="435" w:lineRule="exact"/>
        <w:ind w:left="720"/>
        <w:rPr>
          <w:rFonts w:cs="Arial"/>
          <w:szCs w:val="24"/>
        </w:rPr>
      </w:pPr>
      <w:r w:rsidRPr="00EF303D">
        <w:rPr>
          <w:rFonts w:cs="Arial"/>
          <w:szCs w:val="24"/>
        </w:rPr>
        <w:t>and for the purposes of this sub-paragraph the principal office of a company registered outside the United Kingdom or of a partnership carrying on business outside the United Kingdom is its principal office within the United Kingdom.</w:t>
      </w:r>
    </w:p>
    <w:p w14:paraId="3FEA0D1C" w14:textId="77777777" w:rsidR="00E73FEC" w:rsidRPr="00EF303D" w:rsidRDefault="00E73FEC">
      <w:pPr>
        <w:tabs>
          <w:tab w:val="left" w:pos="360"/>
        </w:tabs>
        <w:autoSpaceDE w:val="0"/>
        <w:autoSpaceDN w:val="0"/>
        <w:adjustRightInd w:val="0"/>
        <w:spacing w:before="100" w:after="100" w:line="435" w:lineRule="exact"/>
        <w:ind w:left="720" w:hanging="360"/>
        <w:rPr>
          <w:rFonts w:cs="Arial"/>
          <w:szCs w:val="24"/>
        </w:rPr>
      </w:pPr>
      <w:r w:rsidRPr="00EF303D">
        <w:rPr>
          <w:rFonts w:cs="Arial"/>
          <w:szCs w:val="24"/>
        </w:rPr>
        <w:t>(c)</w:t>
      </w:r>
      <w:r w:rsidRPr="00EF303D">
        <w:rPr>
          <w:rFonts w:cs="Arial"/>
          <w:szCs w:val="24"/>
        </w:rPr>
        <w:tab/>
        <w:t>If a person to be served by virtue of this licence or under the 2005 Act with any notice or direction has specified an address within the United Kingdom other than his proper address (as determined in pursuance of sub-paragraph (b) above) as the one at which he or someone on his behalf will accept any notice or direction of the same description, that address shall also be treated as his proper address for the purposes of that sub-paragraph.</w:t>
      </w:r>
    </w:p>
    <w:p w14:paraId="1105B6A1" w14:textId="77777777" w:rsidR="00E73FEC" w:rsidRPr="00EF303D" w:rsidRDefault="00E73FEC">
      <w:pPr>
        <w:autoSpaceDE w:val="0"/>
        <w:autoSpaceDN w:val="0"/>
        <w:adjustRightInd w:val="0"/>
        <w:spacing w:before="100" w:line="435" w:lineRule="exact"/>
        <w:ind w:left="720" w:hanging="360"/>
        <w:rPr>
          <w:rFonts w:cs="Arial"/>
          <w:szCs w:val="24"/>
        </w:rPr>
      </w:pPr>
      <w:r w:rsidRPr="00EF303D">
        <w:rPr>
          <w:rFonts w:cs="Arial"/>
          <w:szCs w:val="24"/>
        </w:rPr>
        <w:t>(d)</w:t>
      </w:r>
      <w:r w:rsidRPr="00EF303D">
        <w:rPr>
          <w:rFonts w:cs="Arial"/>
          <w:szCs w:val="24"/>
        </w:rPr>
        <w:tab/>
        <w:t>This section shall not apply to any notice or direction in relation to the service of which provision is made by rules of court.</w:t>
      </w:r>
    </w:p>
    <w:p w14:paraId="233BEE98" w14:textId="77777777" w:rsidR="00E73FEC" w:rsidRPr="00EF303D" w:rsidRDefault="00E73FEC">
      <w:pPr>
        <w:tabs>
          <w:tab w:val="left" w:pos="709"/>
        </w:tabs>
        <w:spacing w:line="435" w:lineRule="exact"/>
      </w:pPr>
    </w:p>
    <w:p w14:paraId="4D3D0839" w14:textId="77777777" w:rsidR="00E73FEC" w:rsidRPr="00EF303D" w:rsidRDefault="00E73FEC" w:rsidP="00E73FEC">
      <w:pPr>
        <w:numPr>
          <w:ilvl w:val="0"/>
          <w:numId w:val="13"/>
        </w:numPr>
        <w:tabs>
          <w:tab w:val="clear" w:pos="720"/>
          <w:tab w:val="num" w:pos="360"/>
        </w:tabs>
        <w:spacing w:before="100" w:after="100" w:line="435" w:lineRule="exact"/>
        <w:ind w:left="360"/>
      </w:pPr>
      <w:r w:rsidRPr="00EF303D">
        <w:lastRenderedPageBreak/>
        <w:t>This licence shall be interpreted and construed in like manner as an Act of Parliament for the purposes of the Interpretation Act 1978.</w:t>
      </w:r>
    </w:p>
    <w:p w14:paraId="397145BA" w14:textId="77777777" w:rsidR="00E73FEC" w:rsidRPr="00EF303D" w:rsidRDefault="00E73FEC">
      <w:pPr>
        <w:tabs>
          <w:tab w:val="left" w:pos="709"/>
        </w:tabs>
        <w:spacing w:line="435" w:lineRule="exact"/>
      </w:pPr>
    </w:p>
    <w:p w14:paraId="498CD44D" w14:textId="77777777" w:rsidR="00E73FEC" w:rsidRPr="00EF303D" w:rsidRDefault="00E73FEC" w:rsidP="00E73FEC">
      <w:pPr>
        <w:numPr>
          <w:ilvl w:val="0"/>
          <w:numId w:val="13"/>
        </w:numPr>
        <w:tabs>
          <w:tab w:val="clear" w:pos="720"/>
          <w:tab w:val="num" w:pos="360"/>
        </w:tabs>
        <w:spacing w:line="435" w:lineRule="exact"/>
        <w:ind w:left="360"/>
      </w:pPr>
      <w:r w:rsidRPr="00EF303D">
        <w:t>References in this licence to a provision of any enactment where, after the date of this licence:</w:t>
      </w:r>
    </w:p>
    <w:p w14:paraId="3AB95EBF" w14:textId="77777777" w:rsidR="00E73FEC" w:rsidRPr="00EF303D" w:rsidRDefault="00E73FEC">
      <w:pPr>
        <w:tabs>
          <w:tab w:val="left" w:pos="709"/>
        </w:tabs>
        <w:spacing w:line="435" w:lineRule="exact"/>
        <w:ind w:left="720" w:hanging="360"/>
      </w:pPr>
      <w:r w:rsidRPr="00EF303D">
        <w:t>(a)</w:t>
      </w:r>
      <w:r w:rsidRPr="00EF303D">
        <w:tab/>
        <w:t>the enactment has been replaced or supplemented by another enactment, and</w:t>
      </w:r>
    </w:p>
    <w:p w14:paraId="747497E1" w14:textId="77777777" w:rsidR="00E73FEC" w:rsidRPr="00EF303D" w:rsidRDefault="00E73FEC">
      <w:pPr>
        <w:tabs>
          <w:tab w:val="left" w:pos="709"/>
        </w:tabs>
        <w:spacing w:line="435" w:lineRule="exact"/>
        <w:ind w:left="720" w:hanging="360"/>
      </w:pPr>
      <w:r w:rsidRPr="00EF303D">
        <w:t>(b)</w:t>
      </w:r>
      <w:r w:rsidRPr="00EF303D">
        <w:tab/>
        <w:t>such enactment incorporates a corresponding provision in relation to the same subject matter, shall be construed, so far as the context permits, as including a reference to the corresponding provision of that other enactment.</w:t>
      </w:r>
    </w:p>
    <w:p w14:paraId="37F3926B" w14:textId="77777777" w:rsidR="00E73FEC" w:rsidRPr="00EF303D" w:rsidRDefault="00E73FEC">
      <w:pPr>
        <w:tabs>
          <w:tab w:val="left" w:pos="709"/>
        </w:tabs>
        <w:spacing w:line="435" w:lineRule="exact"/>
        <w:ind w:left="720" w:hanging="360"/>
      </w:pPr>
    </w:p>
    <w:p w14:paraId="1644DA21" w14:textId="77777777" w:rsidR="00E73FEC" w:rsidRPr="00EF303D" w:rsidRDefault="00E73FEC">
      <w:pPr>
        <w:tabs>
          <w:tab w:val="left" w:pos="709"/>
        </w:tabs>
        <w:spacing w:line="435" w:lineRule="exact"/>
        <w:ind w:left="709"/>
        <w:jc w:val="center"/>
        <w:rPr>
          <w:b/>
          <w:bCs/>
          <w:u w:val="single"/>
        </w:rPr>
      </w:pPr>
      <w:r w:rsidRPr="00EF303D">
        <w:rPr>
          <w:b/>
          <w:bCs/>
          <w:u w:val="single"/>
        </w:rPr>
        <w:t>PART 2 (AMENDMENT OF STANDARD LICENCE CONDITIONS)</w:t>
      </w:r>
    </w:p>
    <w:p w14:paraId="6A70F3DC" w14:textId="77777777" w:rsidR="00E73FEC" w:rsidRPr="00EF303D" w:rsidRDefault="00E73FEC">
      <w:pPr>
        <w:tabs>
          <w:tab w:val="left" w:pos="709"/>
        </w:tabs>
        <w:spacing w:line="435" w:lineRule="exact"/>
        <w:ind w:left="709"/>
        <w:jc w:val="center"/>
        <w:rPr>
          <w:b/>
          <w:bCs/>
          <w:u w:val="single"/>
        </w:rPr>
      </w:pPr>
    </w:p>
    <w:p w14:paraId="0A4830E4" w14:textId="77777777" w:rsidR="00E73FEC" w:rsidRPr="00EF303D" w:rsidRDefault="00E73FEC" w:rsidP="00E73FEC">
      <w:pPr>
        <w:numPr>
          <w:ilvl w:val="0"/>
          <w:numId w:val="13"/>
        </w:numPr>
        <w:tabs>
          <w:tab w:val="clear" w:pos="720"/>
          <w:tab w:val="num" w:pos="426"/>
        </w:tabs>
        <w:spacing w:line="435" w:lineRule="exact"/>
        <w:ind w:hanging="720"/>
      </w:pPr>
      <w:r w:rsidRPr="00EF303D">
        <w:t>There are no amendments to the standard licence conditions.</w:t>
      </w:r>
    </w:p>
    <w:p w14:paraId="0E8858DF" w14:textId="77777777" w:rsidR="00E73FEC" w:rsidRPr="00EF303D" w:rsidRDefault="00E73FEC">
      <w:pPr>
        <w:tabs>
          <w:tab w:val="left" w:pos="709"/>
        </w:tabs>
        <w:spacing w:line="435" w:lineRule="exact"/>
      </w:pPr>
    </w:p>
    <w:p w14:paraId="0FA3F0B4" w14:textId="0B75BA8E" w:rsidR="00E73FEC" w:rsidRPr="00EF303D" w:rsidRDefault="0078592A" w:rsidP="003F7C4E">
      <w:pPr>
        <w:tabs>
          <w:tab w:val="left" w:pos="709"/>
        </w:tabs>
        <w:spacing w:line="435" w:lineRule="exact"/>
        <w:jc w:val="center"/>
        <w:rPr>
          <w:b/>
          <w:bCs/>
          <w:u w:val="single"/>
        </w:rPr>
      </w:pPr>
      <w:r w:rsidRPr="00EF303D">
        <w:br w:type="page"/>
      </w:r>
      <w:r w:rsidR="00E73FEC" w:rsidRPr="00EF303D">
        <w:rPr>
          <w:b/>
          <w:bCs/>
          <w:u w:val="single"/>
        </w:rPr>
        <w:lastRenderedPageBreak/>
        <w:t>PART 3 (ORDINARY CONDITIONS)</w:t>
      </w:r>
    </w:p>
    <w:p w14:paraId="1F55DFB7" w14:textId="77777777" w:rsidR="0078592A" w:rsidRPr="00EF303D" w:rsidRDefault="0078592A" w:rsidP="003F7C4E">
      <w:pPr>
        <w:tabs>
          <w:tab w:val="left" w:pos="709"/>
        </w:tabs>
        <w:spacing w:line="435" w:lineRule="exact"/>
        <w:jc w:val="center"/>
        <w:rPr>
          <w:b/>
          <w:bCs/>
          <w:u w:val="single"/>
        </w:rPr>
      </w:pPr>
    </w:p>
    <w:p w14:paraId="3C743D68" w14:textId="77777777" w:rsidR="0078592A" w:rsidRPr="00EF303D" w:rsidRDefault="0078592A" w:rsidP="0078592A">
      <w:pPr>
        <w:rPr>
          <w:rFonts w:eastAsia="Calibri" w:cs="Arial"/>
        </w:rPr>
      </w:pPr>
      <w:r w:rsidRPr="00EF303D">
        <w:rPr>
          <w:b/>
          <w:bCs/>
          <w:u w:val="single"/>
        </w:rPr>
        <w:t xml:space="preserve">Ordinary Condition 1 - </w:t>
      </w:r>
      <w:r w:rsidRPr="00EF303D">
        <w:rPr>
          <w:rFonts w:eastAsia="Calibri" w:cs="Arial"/>
          <w:b/>
        </w:rPr>
        <w:t>Assumption of Responsibility</w:t>
      </w:r>
    </w:p>
    <w:p w14:paraId="52649506" w14:textId="77777777" w:rsidR="0078592A" w:rsidRPr="00EF303D" w:rsidRDefault="0078592A" w:rsidP="003F7C4E">
      <w:pPr>
        <w:spacing w:after="200" w:line="276" w:lineRule="auto"/>
        <w:ind w:left="720"/>
        <w:jc w:val="left"/>
        <w:rPr>
          <w:rFonts w:eastAsia="Calibri" w:cs="Arial"/>
        </w:rPr>
      </w:pPr>
    </w:p>
    <w:p w14:paraId="77B5E3A3" w14:textId="77777777" w:rsidR="0078592A" w:rsidRPr="00EF303D" w:rsidRDefault="0078592A" w:rsidP="0078592A">
      <w:pPr>
        <w:numPr>
          <w:ilvl w:val="0"/>
          <w:numId w:val="15"/>
        </w:numPr>
        <w:spacing w:after="200" w:line="276" w:lineRule="auto"/>
        <w:jc w:val="left"/>
        <w:rPr>
          <w:rFonts w:eastAsia="Calibri" w:cs="Arial"/>
        </w:rPr>
      </w:pPr>
      <w:r w:rsidRPr="00EF303D">
        <w:rPr>
          <w:rFonts w:eastAsia="Calibri" w:cs="Arial"/>
        </w:rPr>
        <w:t>The licensee shall assume responsibility for all contraventions of the terms or conditions of this licence which occurred prior to the transfer date.</w:t>
      </w:r>
    </w:p>
    <w:p w14:paraId="17EAE9F7" w14:textId="77777777" w:rsidR="0078592A" w:rsidRPr="00EF303D" w:rsidRDefault="0078592A" w:rsidP="003F7C4E">
      <w:pPr>
        <w:spacing w:after="200" w:line="276" w:lineRule="auto"/>
        <w:ind w:left="720"/>
        <w:contextualSpacing/>
        <w:jc w:val="left"/>
        <w:rPr>
          <w:rFonts w:eastAsia="Calibri" w:cs="Arial"/>
        </w:rPr>
      </w:pPr>
    </w:p>
    <w:p w14:paraId="2A1E650D" w14:textId="77777777" w:rsidR="0078592A" w:rsidRPr="00EF303D" w:rsidRDefault="0078592A" w:rsidP="0078592A">
      <w:pPr>
        <w:numPr>
          <w:ilvl w:val="0"/>
          <w:numId w:val="15"/>
        </w:numPr>
        <w:spacing w:after="200" w:line="276" w:lineRule="auto"/>
        <w:jc w:val="left"/>
        <w:rPr>
          <w:rFonts w:eastAsia="Calibri" w:cs="Arial"/>
        </w:rPr>
      </w:pPr>
      <w:r w:rsidRPr="00EF303D">
        <w:rPr>
          <w:rFonts w:eastAsia="Calibri" w:cs="Arial"/>
        </w:rPr>
        <w:t xml:space="preserve">The licensee shall procure and maintain in force all warranties, indemnities or undertakings necessary to enable it to comply with the terms of or meet any enforcement notice or financial penalty served on it by the Commission under paragraphs 8 or 11 of schedule 2 of the 2005 Act and which relates to contraventions of this licence that occurred prior to the transfer date. </w:t>
      </w:r>
    </w:p>
    <w:p w14:paraId="6B175FAA" w14:textId="77777777" w:rsidR="0078592A" w:rsidRPr="00EF303D" w:rsidRDefault="0078592A" w:rsidP="003F7C4E">
      <w:pPr>
        <w:spacing w:after="200" w:line="276" w:lineRule="auto"/>
        <w:ind w:left="720"/>
        <w:contextualSpacing/>
        <w:jc w:val="left"/>
        <w:rPr>
          <w:rFonts w:eastAsia="Calibri" w:cs="Arial"/>
        </w:rPr>
      </w:pPr>
    </w:p>
    <w:p w14:paraId="7ABDE295" w14:textId="77777777" w:rsidR="0078592A" w:rsidRPr="00EF303D" w:rsidRDefault="0078592A" w:rsidP="0078592A">
      <w:pPr>
        <w:numPr>
          <w:ilvl w:val="0"/>
          <w:numId w:val="15"/>
        </w:numPr>
        <w:spacing w:after="200" w:line="276" w:lineRule="auto"/>
        <w:jc w:val="left"/>
        <w:rPr>
          <w:rFonts w:eastAsia="Calibri" w:cs="Arial"/>
        </w:rPr>
      </w:pPr>
      <w:r w:rsidRPr="00EF303D">
        <w:rPr>
          <w:rFonts w:eastAsia="Calibri" w:cs="Arial"/>
        </w:rPr>
        <w:t>In this condition, “transfer date” means the date specified by the Commission as the date on which this licence shall transfer from another person to the licensee.</w:t>
      </w:r>
    </w:p>
    <w:p w14:paraId="61AA68A3" w14:textId="77777777" w:rsidR="0078592A" w:rsidRPr="00EF303D" w:rsidRDefault="0078592A" w:rsidP="003F7C4E">
      <w:pPr>
        <w:tabs>
          <w:tab w:val="left" w:pos="709"/>
        </w:tabs>
        <w:spacing w:line="435" w:lineRule="exact"/>
      </w:pPr>
    </w:p>
    <w:p w14:paraId="617D0E74" w14:textId="77777777" w:rsidR="00E73FEC" w:rsidRPr="00EF303D" w:rsidRDefault="00E73FEC">
      <w:pPr>
        <w:tabs>
          <w:tab w:val="left" w:pos="709"/>
        </w:tabs>
        <w:spacing w:line="435" w:lineRule="exact"/>
        <w:ind w:left="709" w:hanging="709"/>
        <w:rPr>
          <w:b/>
          <w:bCs/>
        </w:rPr>
      </w:pPr>
    </w:p>
    <w:p w14:paraId="6788F540" w14:textId="45467269" w:rsidR="0078592A" w:rsidRPr="00EF303D" w:rsidRDefault="0078592A">
      <w:pPr>
        <w:tabs>
          <w:tab w:val="left" w:pos="709"/>
        </w:tabs>
        <w:spacing w:line="435" w:lineRule="exact"/>
        <w:ind w:left="709" w:hanging="709"/>
        <w:rPr>
          <w:b/>
          <w:bCs/>
        </w:rPr>
      </w:pPr>
    </w:p>
    <w:bookmarkEnd w:id="0"/>
    <w:p w14:paraId="0C35802E" w14:textId="67E342AD" w:rsidR="006C5C16" w:rsidRPr="00EF303D" w:rsidRDefault="006C5C16" w:rsidP="006C5C16">
      <w:pPr>
        <w:tabs>
          <w:tab w:val="left" w:pos="709"/>
        </w:tabs>
        <w:spacing w:line="435" w:lineRule="exact"/>
        <w:ind w:left="709" w:hanging="709"/>
      </w:pPr>
      <w:r w:rsidRPr="00EF303D">
        <w:t xml:space="preserve">Done on </w:t>
      </w:r>
      <w:r w:rsidR="002824EF">
        <w:rPr>
          <w:bCs/>
        </w:rPr>
        <w:t>[  tbc   ]</w:t>
      </w:r>
    </w:p>
    <w:p w14:paraId="7B8315B6" w14:textId="103FD290" w:rsidR="006C5C16" w:rsidRPr="00EF303D" w:rsidRDefault="006C5C16" w:rsidP="006C5C16">
      <w:pPr>
        <w:tabs>
          <w:tab w:val="left" w:pos="709"/>
        </w:tabs>
        <w:spacing w:line="435" w:lineRule="exact"/>
        <w:ind w:left="709" w:hanging="709"/>
      </w:pPr>
      <w:r w:rsidRPr="00EF303D">
        <w:t>For and on behalf of the Water Industry Commission for Scotland</w:t>
      </w:r>
    </w:p>
    <w:p w14:paraId="7B7DA185" w14:textId="61B834BC" w:rsidR="00105CB0" w:rsidRDefault="002824EF" w:rsidP="006C5C16">
      <w:pPr>
        <w:tabs>
          <w:tab w:val="left" w:pos="709"/>
        </w:tabs>
        <w:spacing w:line="435" w:lineRule="exact"/>
        <w:ind w:left="709" w:hanging="709"/>
      </w:pPr>
      <w:r>
        <w:rPr>
          <w:rFonts w:cs="Arial"/>
          <w:noProof/>
          <w:lang w:eastAsia="en-GB"/>
        </w:rPr>
        <w:drawing>
          <wp:anchor distT="0" distB="0" distL="114300" distR="114300" simplePos="0" relativeHeight="251659264" behindDoc="0" locked="0" layoutInCell="1" allowOverlap="1" wp14:anchorId="5245608A" wp14:editId="4045F9A6">
            <wp:simplePos x="0" y="0"/>
            <wp:positionH relativeFrom="margin">
              <wp:posOffset>157254</wp:posOffset>
            </wp:positionH>
            <wp:positionV relativeFrom="paragraph">
              <wp:posOffset>109649</wp:posOffset>
            </wp:positionV>
            <wp:extent cx="969348" cy="554784"/>
            <wp:effectExtent l="0" t="0" r="2540" b="0"/>
            <wp:wrapSquare wrapText="bothSides"/>
            <wp:docPr id="1992917821"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17821" name="Picture 2" descr="A close-up of a signature&#10;&#10;AI-generated content may be incorrect."/>
                    <pic:cNvPicPr/>
                  </pic:nvPicPr>
                  <pic:blipFill>
                    <a:blip r:embed="rId11"/>
                    <a:stretch>
                      <a:fillRect/>
                    </a:stretch>
                  </pic:blipFill>
                  <pic:spPr>
                    <a:xfrm>
                      <a:off x="0" y="0"/>
                      <a:ext cx="969348" cy="554784"/>
                    </a:xfrm>
                    <a:prstGeom prst="rect">
                      <a:avLst/>
                    </a:prstGeom>
                  </pic:spPr>
                </pic:pic>
              </a:graphicData>
            </a:graphic>
          </wp:anchor>
        </w:drawing>
      </w:r>
    </w:p>
    <w:p w14:paraId="6764476C" w14:textId="04A8DA65" w:rsidR="00EE3638" w:rsidRDefault="00EE3638" w:rsidP="006C5C16">
      <w:pPr>
        <w:tabs>
          <w:tab w:val="left" w:pos="709"/>
        </w:tabs>
        <w:spacing w:line="435" w:lineRule="exact"/>
        <w:ind w:left="709" w:hanging="709"/>
      </w:pPr>
    </w:p>
    <w:p w14:paraId="498B915A" w14:textId="30199D67" w:rsidR="00814A49" w:rsidRPr="00EF303D" w:rsidRDefault="00814A49" w:rsidP="006C5C16">
      <w:pPr>
        <w:tabs>
          <w:tab w:val="left" w:pos="709"/>
        </w:tabs>
        <w:spacing w:line="435" w:lineRule="exact"/>
        <w:ind w:left="709" w:hanging="709"/>
      </w:pPr>
    </w:p>
    <w:p w14:paraId="6EE4DF60" w14:textId="35126CDD" w:rsidR="006C5C16" w:rsidRPr="00EF303D" w:rsidRDefault="006C5C16" w:rsidP="006C5C16">
      <w:pPr>
        <w:tabs>
          <w:tab w:val="left" w:pos="709"/>
        </w:tabs>
        <w:spacing w:line="435" w:lineRule="exact"/>
        <w:ind w:left="709" w:hanging="709"/>
      </w:pPr>
      <w:r w:rsidRPr="00EF303D">
        <w:t>………………………………………………………….</w:t>
      </w:r>
    </w:p>
    <w:p w14:paraId="5D5A543E" w14:textId="59121518" w:rsidR="006C5C16" w:rsidRDefault="002824EF" w:rsidP="006C5C16">
      <w:pPr>
        <w:tabs>
          <w:tab w:val="left" w:pos="709"/>
        </w:tabs>
        <w:spacing w:line="435" w:lineRule="exact"/>
        <w:ind w:left="709" w:hanging="709"/>
      </w:pPr>
      <w:r>
        <w:t>David Satti</w:t>
      </w:r>
      <w:r w:rsidR="006C5C16" w:rsidRPr="00EF303D">
        <w:t>, Chief Executive Officer</w:t>
      </w:r>
    </w:p>
    <w:p w14:paraId="6D5EBDCA" w14:textId="77777777" w:rsidR="00E73FEC" w:rsidRDefault="00E73FEC" w:rsidP="006C5C16">
      <w:pPr>
        <w:tabs>
          <w:tab w:val="left" w:pos="709"/>
        </w:tabs>
        <w:spacing w:line="435" w:lineRule="exact"/>
        <w:rPr>
          <w:b/>
          <w:bCs/>
        </w:rPr>
      </w:pPr>
    </w:p>
    <w:sectPr w:rsidR="00E73FEC">
      <w:headerReference w:type="default" r:id="rId12"/>
      <w:headerReference w:type="first" r:id="rId13"/>
      <w:pgSz w:w="11909" w:h="16834" w:code="9"/>
      <w:pgMar w:top="-1469" w:right="1440" w:bottom="734" w:left="1440" w:header="1008" w:footer="576"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DDC2" w14:textId="77777777" w:rsidR="000868A5" w:rsidRDefault="000868A5">
      <w:r>
        <w:separator/>
      </w:r>
    </w:p>
  </w:endnote>
  <w:endnote w:type="continuationSeparator" w:id="0">
    <w:p w14:paraId="73AB5B83" w14:textId="77777777" w:rsidR="000868A5" w:rsidRDefault="0008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430B" w14:textId="77777777" w:rsidR="000868A5" w:rsidRDefault="000868A5">
      <w:r>
        <w:separator/>
      </w:r>
    </w:p>
  </w:footnote>
  <w:footnote w:type="continuationSeparator" w:id="0">
    <w:p w14:paraId="25D98BA2" w14:textId="77777777" w:rsidR="000868A5" w:rsidRDefault="0008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26C" w14:textId="77777777" w:rsidR="00E73FEC" w:rsidRDefault="00E73F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B8BF66" w14:textId="77777777" w:rsidR="00E73FEC" w:rsidRDefault="00E73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7939" w14:textId="77777777" w:rsidR="00E73FEC" w:rsidRDefault="00E73FE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8FA4" w14:textId="19EE6610" w:rsidR="00E73FEC" w:rsidRDefault="00E73FEC" w:rsidP="0033403E">
    <w:pPr>
      <w:pStyle w:val="Header"/>
      <w:framePr w:wrap="around" w:vAnchor="text" w:hAnchor="margin" w:xAlign="center" w:y="1"/>
      <w:rPr>
        <w:rFonts w:eastAsia="Arial Unicode MS"/>
      </w:rPr>
    </w:pPr>
  </w:p>
  <w:p w14:paraId="42D83DF3" w14:textId="77777777" w:rsidR="00E73FEC" w:rsidRDefault="00E73FEC">
    <w:pPr>
      <w:pStyle w:val="Heade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F543" w14:textId="02A0526F" w:rsidR="00E73FEC" w:rsidRDefault="00000000">
    <w:pPr>
      <w:pStyle w:val="Header"/>
      <w:framePr w:wrap="around" w:vAnchor="text" w:hAnchor="margin" w:xAlign="center" w:y="1"/>
      <w:rPr>
        <w:rStyle w:val="PageNumber"/>
      </w:rPr>
    </w:pPr>
    <w:sdt>
      <w:sdtPr>
        <w:rPr>
          <w:rStyle w:val="PageNumber"/>
        </w:rPr>
        <w:id w:val="-1223831228"/>
        <w:docPartObj>
          <w:docPartGallery w:val="Watermarks"/>
          <w:docPartUnique/>
        </w:docPartObj>
      </w:sdtPr>
      <w:sdtContent>
        <w:r>
          <w:rPr>
            <w:rStyle w:val="PageNumber"/>
          </w:rPr>
          <w:pict w14:anchorId="0DF3B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73FEC">
      <w:rPr>
        <w:rStyle w:val="PageNumber"/>
      </w:rPr>
      <w:fldChar w:fldCharType="begin"/>
    </w:r>
    <w:r w:rsidR="00E73FEC">
      <w:rPr>
        <w:rStyle w:val="PageNumber"/>
      </w:rPr>
      <w:instrText xml:space="preserve">PAGE  </w:instrText>
    </w:r>
    <w:r w:rsidR="00E73FEC">
      <w:rPr>
        <w:rStyle w:val="PageNumber"/>
      </w:rPr>
      <w:fldChar w:fldCharType="separate"/>
    </w:r>
    <w:r w:rsidR="003F7C4E">
      <w:rPr>
        <w:rStyle w:val="PageNumber"/>
        <w:noProof/>
      </w:rPr>
      <w:t>4</w:t>
    </w:r>
    <w:r w:rsidR="00E73FEC">
      <w:rPr>
        <w:rStyle w:val="PageNumber"/>
      </w:rPr>
      <w:fldChar w:fldCharType="end"/>
    </w:r>
  </w:p>
  <w:p w14:paraId="30BEDCDD" w14:textId="77777777" w:rsidR="00E73FEC" w:rsidRDefault="00E73FE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8A21" w14:textId="77777777" w:rsidR="00E73FEC" w:rsidRDefault="00E73FEC">
    <w:pPr>
      <w:pStyle w:val="Header"/>
      <w:rPr>
        <w:rFonts w:eastAsia="Arial Unicode MS"/>
      </w:rPr>
    </w:pPr>
  </w:p>
  <w:p w14:paraId="0BC6DEFF" w14:textId="77777777" w:rsidR="00E73FEC" w:rsidRDefault="00E73FEC">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1125"/>
    <w:multiLevelType w:val="multilevel"/>
    <w:tmpl w:val="0409001F"/>
    <w:lvl w:ilvl="0">
      <w:start w:val="1"/>
      <w:numFmt w:val="decimal"/>
      <w:pStyle w:val="Level1nu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A8B19CD"/>
    <w:multiLevelType w:val="hybridMultilevel"/>
    <w:tmpl w:val="B38EC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C14BC9"/>
    <w:multiLevelType w:val="hybridMultilevel"/>
    <w:tmpl w:val="3DEC16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5" w15:restartNumberingAfterBreak="0">
    <w:nsid w:val="54852757"/>
    <w:multiLevelType w:val="hybridMultilevel"/>
    <w:tmpl w:val="5A7E0A98"/>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630D10"/>
    <w:multiLevelType w:val="multilevel"/>
    <w:tmpl w:val="11CC1378"/>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7" w15:restartNumberingAfterBreak="0">
    <w:nsid w:val="7C2B4AA1"/>
    <w:multiLevelType w:val="hybridMultilevel"/>
    <w:tmpl w:val="15303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07205702">
    <w:abstractNumId w:val="6"/>
  </w:num>
  <w:num w:numId="2" w16cid:durableId="932594528">
    <w:abstractNumId w:val="6"/>
  </w:num>
  <w:num w:numId="3" w16cid:durableId="1618828425">
    <w:abstractNumId w:val="6"/>
  </w:num>
  <w:num w:numId="4" w16cid:durableId="1467822461">
    <w:abstractNumId w:val="6"/>
  </w:num>
  <w:num w:numId="5" w16cid:durableId="366878699">
    <w:abstractNumId w:val="6"/>
  </w:num>
  <w:num w:numId="6" w16cid:durableId="1430276690">
    <w:abstractNumId w:val="6"/>
  </w:num>
  <w:num w:numId="7" w16cid:durableId="1371102754">
    <w:abstractNumId w:val="6"/>
  </w:num>
  <w:num w:numId="8" w16cid:durableId="1596279531">
    <w:abstractNumId w:val="6"/>
  </w:num>
  <w:num w:numId="9" w16cid:durableId="119347976">
    <w:abstractNumId w:val="4"/>
  </w:num>
  <w:num w:numId="10" w16cid:durableId="1413432614">
    <w:abstractNumId w:val="5"/>
  </w:num>
  <w:num w:numId="11" w16cid:durableId="31854634">
    <w:abstractNumId w:val="3"/>
  </w:num>
  <w:num w:numId="12" w16cid:durableId="402408669">
    <w:abstractNumId w:val="0"/>
  </w:num>
  <w:num w:numId="13" w16cid:durableId="628164453">
    <w:abstractNumId w:val="2"/>
  </w:num>
  <w:num w:numId="14" w16cid:durableId="560990999">
    <w:abstractNumId w:val="1"/>
  </w:num>
  <w:num w:numId="15" w16cid:durableId="535429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6"/>
    <w:rsid w:val="0000642C"/>
    <w:rsid w:val="000206A7"/>
    <w:rsid w:val="000504DA"/>
    <w:rsid w:val="000531FF"/>
    <w:rsid w:val="00071CF7"/>
    <w:rsid w:val="000868A5"/>
    <w:rsid w:val="000C6BC5"/>
    <w:rsid w:val="000E4441"/>
    <w:rsid w:val="0010491F"/>
    <w:rsid w:val="00105CB0"/>
    <w:rsid w:val="001478C1"/>
    <w:rsid w:val="00167E38"/>
    <w:rsid w:val="001D2A0A"/>
    <w:rsid w:val="0023128A"/>
    <w:rsid w:val="002362A2"/>
    <w:rsid w:val="002824EF"/>
    <w:rsid w:val="002A37BF"/>
    <w:rsid w:val="0033403E"/>
    <w:rsid w:val="00374AE5"/>
    <w:rsid w:val="00391F9D"/>
    <w:rsid w:val="003E1754"/>
    <w:rsid w:val="003F1658"/>
    <w:rsid w:val="003F681D"/>
    <w:rsid w:val="003F7C4E"/>
    <w:rsid w:val="004001B9"/>
    <w:rsid w:val="00426174"/>
    <w:rsid w:val="0044048E"/>
    <w:rsid w:val="0048258D"/>
    <w:rsid w:val="004866B4"/>
    <w:rsid w:val="004B15F6"/>
    <w:rsid w:val="004B25A4"/>
    <w:rsid w:val="004E6086"/>
    <w:rsid w:val="0054116B"/>
    <w:rsid w:val="00552E20"/>
    <w:rsid w:val="00576609"/>
    <w:rsid w:val="005B3956"/>
    <w:rsid w:val="006A17F2"/>
    <w:rsid w:val="006C5C16"/>
    <w:rsid w:val="007516F5"/>
    <w:rsid w:val="0078592A"/>
    <w:rsid w:val="007C3D1C"/>
    <w:rsid w:val="007E4F83"/>
    <w:rsid w:val="0081059C"/>
    <w:rsid w:val="00814A49"/>
    <w:rsid w:val="00831E4F"/>
    <w:rsid w:val="0089397C"/>
    <w:rsid w:val="008C72AA"/>
    <w:rsid w:val="008D6116"/>
    <w:rsid w:val="008E5E6D"/>
    <w:rsid w:val="008F44DC"/>
    <w:rsid w:val="0096475E"/>
    <w:rsid w:val="009B72AB"/>
    <w:rsid w:val="009D21C9"/>
    <w:rsid w:val="009F49E6"/>
    <w:rsid w:val="00A35A84"/>
    <w:rsid w:val="00AA2B31"/>
    <w:rsid w:val="00AA658F"/>
    <w:rsid w:val="00AE3D8F"/>
    <w:rsid w:val="00B077E1"/>
    <w:rsid w:val="00B379AA"/>
    <w:rsid w:val="00B4006E"/>
    <w:rsid w:val="00B42638"/>
    <w:rsid w:val="00B47782"/>
    <w:rsid w:val="00B5458E"/>
    <w:rsid w:val="00B62C29"/>
    <w:rsid w:val="00B75729"/>
    <w:rsid w:val="00B816D6"/>
    <w:rsid w:val="00BA5DB5"/>
    <w:rsid w:val="00BB0134"/>
    <w:rsid w:val="00C31CD3"/>
    <w:rsid w:val="00C5386F"/>
    <w:rsid w:val="00D2610D"/>
    <w:rsid w:val="00D37CCF"/>
    <w:rsid w:val="00D5032B"/>
    <w:rsid w:val="00D91D89"/>
    <w:rsid w:val="00DC5F3B"/>
    <w:rsid w:val="00E720F3"/>
    <w:rsid w:val="00E72498"/>
    <w:rsid w:val="00E73FEC"/>
    <w:rsid w:val="00EB37BC"/>
    <w:rsid w:val="00EE3638"/>
    <w:rsid w:val="00EF303D"/>
    <w:rsid w:val="00F52238"/>
    <w:rsid w:val="00F76D2C"/>
    <w:rsid w:val="00F9161A"/>
    <w:rsid w:val="00FE0650"/>
    <w:rsid w:val="00FE43D9"/>
    <w:rsid w:val="00FF1F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63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paragraph" w:styleId="Heading1">
    <w:name w:val="heading 1"/>
    <w:basedOn w:val="Normal"/>
    <w:next w:val="Normal"/>
    <w:qFormat/>
    <w:pPr>
      <w:pBdr>
        <w:bottom w:val="single" w:sz="4" w:space="1" w:color="auto"/>
      </w:pBdr>
      <w:spacing w:line="435" w:lineRule="exact"/>
      <w:outlineLvl w:val="0"/>
    </w:pPr>
    <w:rPr>
      <w:b/>
      <w:sz w:val="22"/>
    </w:rPr>
  </w:style>
  <w:style w:type="paragraph" w:styleId="Heading2">
    <w:name w:val="heading 2"/>
    <w:basedOn w:val="Normal"/>
    <w:next w:val="Normal"/>
    <w:qFormat/>
    <w:pPr>
      <w:spacing w:line="435" w:lineRule="exact"/>
      <w:outlineLvl w:val="1"/>
    </w:pPr>
    <w:rPr>
      <w:b/>
    </w:rPr>
  </w:style>
  <w:style w:type="paragraph" w:styleId="Heading3">
    <w:name w:val="heading 3"/>
    <w:basedOn w:val="Normal"/>
    <w:next w:val="Normal"/>
    <w:qFormat/>
    <w:pPr>
      <w:spacing w:line="435" w:lineRule="exact"/>
      <w:outlineLvl w:val="2"/>
    </w:pPr>
    <w:rPr>
      <w:i/>
    </w:rPr>
  </w:style>
  <w:style w:type="paragraph" w:styleId="Heading4">
    <w:name w:val="heading 4"/>
    <w:basedOn w:val="Normal"/>
    <w:next w:val="Normal"/>
    <w:qFormat/>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435" w:lineRule="exact"/>
    </w:pPr>
  </w:style>
  <w:style w:type="paragraph" w:styleId="Footer">
    <w:name w:val="footer"/>
    <w:basedOn w:val="Normal"/>
    <w:semiHidden/>
    <w:pPr>
      <w:tabs>
        <w:tab w:val="center" w:pos="4320"/>
        <w:tab w:val="right" w:pos="8640"/>
      </w:tabs>
      <w:spacing w:line="435" w:lineRule="exact"/>
    </w:pPr>
  </w:style>
  <w:style w:type="character" w:styleId="PageNumber">
    <w:name w:val="page number"/>
    <w:basedOn w:val="DefaultParagraphFont"/>
    <w:semiHidden/>
  </w:style>
  <w:style w:type="paragraph" w:styleId="BodyText">
    <w:name w:val="Body Text"/>
    <w:basedOn w:val="Normal"/>
    <w:semiHidden/>
    <w:pPr>
      <w:spacing w:line="480" w:lineRule="auto"/>
      <w:outlineLvl w:val="0"/>
    </w:pPr>
    <w:rPr>
      <w:sz w:val="16"/>
    </w:rPr>
  </w:style>
  <w:style w:type="character" w:styleId="Hyperlink">
    <w:name w:val="Hyperlink"/>
    <w:semiHidden/>
    <w:rPr>
      <w:color w:val="0000FF"/>
      <w:u w:val="single"/>
    </w:rPr>
  </w:style>
  <w:style w:type="paragraph" w:customStyle="1" w:styleId="Level1">
    <w:name w:val="Level 1"/>
    <w:basedOn w:val="Heading1"/>
    <w:next w:val="Normal"/>
    <w:pPr>
      <w:numPr>
        <w:numId w:val="1"/>
      </w:numPr>
    </w:pPr>
  </w:style>
  <w:style w:type="paragraph" w:customStyle="1" w:styleId="Level2">
    <w:name w:val="Level 2"/>
    <w:basedOn w:val="Normal"/>
    <w:pPr>
      <w:numPr>
        <w:ilvl w:val="1"/>
        <w:numId w:val="2"/>
      </w:numPr>
      <w:spacing w:line="435" w:lineRule="exact"/>
      <w:outlineLvl w:val="1"/>
    </w:pPr>
  </w:style>
  <w:style w:type="paragraph" w:customStyle="1" w:styleId="Level3">
    <w:name w:val="Level 3"/>
    <w:basedOn w:val="Normal"/>
    <w:pPr>
      <w:numPr>
        <w:ilvl w:val="2"/>
        <w:numId w:val="3"/>
      </w:numPr>
      <w:spacing w:line="435" w:lineRule="exact"/>
      <w:outlineLvl w:val="2"/>
    </w:pPr>
  </w:style>
  <w:style w:type="paragraph" w:customStyle="1" w:styleId="Level4">
    <w:name w:val="Level 4"/>
    <w:basedOn w:val="Normal"/>
    <w:pPr>
      <w:numPr>
        <w:ilvl w:val="3"/>
        <w:numId w:val="4"/>
      </w:numPr>
      <w:spacing w:line="435" w:lineRule="exact"/>
      <w:outlineLvl w:val="3"/>
    </w:pPr>
  </w:style>
  <w:style w:type="paragraph" w:customStyle="1" w:styleId="Level5">
    <w:name w:val="Level 5"/>
    <w:basedOn w:val="Normal"/>
    <w:pPr>
      <w:numPr>
        <w:ilvl w:val="4"/>
        <w:numId w:val="5"/>
      </w:numPr>
      <w:spacing w:line="435" w:lineRule="exact"/>
      <w:outlineLvl w:val="4"/>
    </w:pPr>
  </w:style>
  <w:style w:type="paragraph" w:customStyle="1" w:styleId="Level6">
    <w:name w:val="Level 6"/>
    <w:basedOn w:val="Normal"/>
    <w:pPr>
      <w:numPr>
        <w:ilvl w:val="5"/>
        <w:numId w:val="6"/>
      </w:numPr>
      <w:spacing w:line="435" w:lineRule="exact"/>
      <w:outlineLvl w:val="5"/>
    </w:pPr>
  </w:style>
  <w:style w:type="paragraph" w:customStyle="1" w:styleId="Level7">
    <w:name w:val="Level 7"/>
    <w:basedOn w:val="Normal"/>
    <w:pPr>
      <w:numPr>
        <w:ilvl w:val="6"/>
        <w:numId w:val="7"/>
      </w:numPr>
      <w:spacing w:line="435" w:lineRule="exact"/>
      <w:outlineLvl w:val="6"/>
    </w:pPr>
  </w:style>
  <w:style w:type="paragraph" w:customStyle="1" w:styleId="Level8">
    <w:name w:val="Level 8"/>
    <w:basedOn w:val="Normal"/>
    <w:pPr>
      <w:numPr>
        <w:ilvl w:val="7"/>
        <w:numId w:val="8"/>
      </w:numPr>
      <w:spacing w:line="435" w:lineRule="exact"/>
      <w:outlineLvl w:val="7"/>
    </w:pPr>
  </w:style>
  <w:style w:type="paragraph" w:customStyle="1" w:styleId="Level9">
    <w:name w:val="Level 9"/>
    <w:basedOn w:val="Normal"/>
    <w:pPr>
      <w:numPr>
        <w:ilvl w:val="8"/>
        <w:numId w:val="9"/>
      </w:numPr>
      <w:outlineLvl w:val="8"/>
    </w:pPr>
  </w:style>
  <w:style w:type="paragraph" w:customStyle="1" w:styleId="Level1list">
    <w:name w:val="Level1list"/>
    <w:basedOn w:val="Level1"/>
    <w:pPr>
      <w:numPr>
        <w:numId w:val="0"/>
      </w:numPr>
      <w:pBdr>
        <w:bottom w:val="none" w:sz="0" w:space="0" w:color="auto"/>
      </w:pBdr>
      <w:tabs>
        <w:tab w:val="num" w:pos="720"/>
      </w:tabs>
      <w:ind w:left="720" w:hanging="720"/>
    </w:pPr>
    <w:rPr>
      <w:b w:val="0"/>
      <w:bCs/>
      <w:sz w:val="20"/>
    </w:rPr>
  </w:style>
  <w:style w:type="paragraph" w:customStyle="1" w:styleId="Scheduleheading">
    <w:name w:val="Schedule heading"/>
    <w:basedOn w:val="Normal"/>
    <w:next w:val="Normal"/>
    <w:pPr>
      <w:jc w:val="center"/>
    </w:pPr>
    <w:rPr>
      <w:b/>
      <w:caps/>
      <w:sz w:val="22"/>
    </w:rPr>
  </w:style>
  <w:style w:type="paragraph" w:customStyle="1" w:styleId="ScheduleParts">
    <w:name w:val="Schedule Parts"/>
    <w:basedOn w:val="Normal"/>
    <w:next w:val="Normal"/>
    <w:pPr>
      <w:jc w:val="center"/>
    </w:pPr>
    <w:rPr>
      <w:b/>
    </w:rPr>
  </w:style>
  <w:style w:type="paragraph" w:styleId="TOC1">
    <w:name w:val="toc 1"/>
    <w:basedOn w:val="Normal"/>
    <w:next w:val="Normal"/>
    <w:autoRedefine/>
    <w:semiHidden/>
    <w:pPr>
      <w:tabs>
        <w:tab w:val="left" w:pos="720"/>
        <w:tab w:val="right" w:pos="9029"/>
      </w:tabs>
    </w:pPr>
    <w:rPr>
      <w:b/>
    </w:rPr>
  </w:style>
  <w:style w:type="paragraph" w:styleId="TOC2">
    <w:name w:val="toc 2"/>
    <w:basedOn w:val="Normal"/>
    <w:next w:val="Normal"/>
    <w:autoRedefine/>
    <w:semiHidden/>
    <w:pPr>
      <w:tabs>
        <w:tab w:val="left" w:pos="1440"/>
        <w:tab w:val="right" w:pos="9029"/>
      </w:tabs>
      <w:ind w:left="720"/>
    </w:pPr>
    <w:rPr>
      <w:b/>
    </w:rPr>
  </w:style>
  <w:style w:type="paragraph" w:styleId="TOC3">
    <w:name w:val="toc 3"/>
    <w:basedOn w:val="Normal"/>
    <w:next w:val="Normal"/>
    <w:autoRedefine/>
    <w:semiHidden/>
    <w:pPr>
      <w:tabs>
        <w:tab w:val="left" w:pos="720"/>
        <w:tab w:val="right" w:pos="9029"/>
      </w:tabs>
    </w:pPr>
    <w:rPr>
      <w:b/>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NormalIndent">
    <w:name w:val="Normal Indent"/>
    <w:basedOn w:val="Normal"/>
    <w:semiHidden/>
    <w:pPr>
      <w:ind w:left="720"/>
    </w:pPr>
  </w:style>
  <w:style w:type="paragraph" w:customStyle="1" w:styleId="SLBullet">
    <w:name w:val="SLBullet"/>
    <w:basedOn w:val="Normal"/>
    <w:autoRedefine/>
    <w:pPr>
      <w:numPr>
        <w:numId w:val="10"/>
      </w:numPr>
    </w:pPr>
  </w:style>
  <w:style w:type="paragraph" w:customStyle="1" w:styleId="2175Bullet">
    <w:name w:val="21.75Bullet"/>
    <w:basedOn w:val="SLBullet"/>
    <w:autoRedefine/>
    <w:pPr>
      <w:numPr>
        <w:numId w:val="11"/>
      </w:numPr>
      <w:spacing w:line="435" w:lineRule="exact"/>
    </w:pPr>
  </w:style>
  <w:style w:type="paragraph" w:styleId="BodyTextIndent">
    <w:name w:val="Body Text Indent"/>
    <w:basedOn w:val="Normal"/>
    <w:semiHidden/>
    <w:pPr>
      <w:tabs>
        <w:tab w:val="left" w:pos="709"/>
      </w:tabs>
      <w:spacing w:line="360" w:lineRule="auto"/>
      <w:ind w:left="709" w:hanging="709"/>
    </w:pPr>
  </w:style>
  <w:style w:type="paragraph" w:customStyle="1" w:styleId="Level1num">
    <w:name w:val="Level 1num"/>
    <w:basedOn w:val="Normal"/>
    <w:pPr>
      <w:numPr>
        <w:numId w:val="12"/>
      </w:numPr>
      <w:tabs>
        <w:tab w:val="clear" w:pos="360"/>
        <w:tab w:val="num" w:pos="720"/>
      </w:tabs>
      <w:ind w:left="720" w:hanging="720"/>
    </w:pPr>
    <w:rPr>
      <w:sz w:val="24"/>
    </w:rPr>
  </w:style>
  <w:style w:type="character" w:styleId="FollowedHyperlink">
    <w:name w:val="FollowedHyperlink"/>
    <w:semiHidden/>
    <w:rPr>
      <w:color w:val="800080"/>
      <w:u w:val="single"/>
    </w:rPr>
  </w:style>
  <w:style w:type="paragraph" w:customStyle="1" w:styleId="licenceconditionmainpara">
    <w:name w:val="licence condition main para"/>
    <w:basedOn w:val="BodyText"/>
    <w:autoRedefine/>
    <w:pPr>
      <w:spacing w:before="60" w:after="60" w:line="435" w:lineRule="atLeast"/>
      <w:ind w:left="360"/>
      <w:outlineLvl w:val="9"/>
    </w:pPr>
    <w:rPr>
      <w:rFonts w:cs="Arial"/>
      <w:sz w:val="20"/>
      <w:szCs w:val="24"/>
      <w:vertAlign w:val="subscript"/>
    </w:rPr>
  </w:style>
  <w:style w:type="paragraph" w:customStyle="1" w:styleId="licenceconditionmainparanumbered">
    <w:name w:val="licence condition main para numbered"/>
    <w:basedOn w:val="licenceconditionmainpara"/>
    <w:autoRedefine/>
    <w:pPr>
      <w:tabs>
        <w:tab w:val="left" w:pos="71"/>
      </w:tabs>
      <w:spacing w:line="435" w:lineRule="exact"/>
      <w:ind w:left="71" w:firstLine="18"/>
    </w:pPr>
  </w:style>
  <w:style w:type="paragraph" w:customStyle="1" w:styleId="definitionoftermpara">
    <w:name w:val="definition of term para"/>
    <w:basedOn w:val="licenceconditionmainpara"/>
    <w:autoRedefine/>
    <w:pPr>
      <w:ind w:left="1080" w:hanging="720"/>
    </w:pPr>
  </w:style>
  <w:style w:type="paragraph" w:styleId="BodyTextIndent2">
    <w:name w:val="Body Text Indent 2"/>
    <w:basedOn w:val="Normal"/>
    <w:semiHidden/>
    <w:pPr>
      <w:tabs>
        <w:tab w:val="left" w:pos="720"/>
      </w:tabs>
      <w:ind w:left="720"/>
    </w:pPr>
    <w:rPr>
      <w:rFonts w:cs="Arial"/>
      <w:sz w:val="24"/>
      <w:szCs w:val="24"/>
    </w:rPr>
  </w:style>
  <w:style w:type="character" w:styleId="Emphasis">
    <w:name w:val="Emphasis"/>
    <w:qFormat/>
    <w:rPr>
      <w:i/>
      <w:iCs/>
    </w:rPr>
  </w:style>
  <w:style w:type="paragraph" w:styleId="BalloonText">
    <w:name w:val="Balloon Text"/>
    <w:basedOn w:val="Normal"/>
    <w:link w:val="BalloonTextChar"/>
    <w:uiPriority w:val="99"/>
    <w:semiHidden/>
    <w:unhideWhenUsed/>
    <w:rsid w:val="0078592A"/>
    <w:rPr>
      <w:rFonts w:ascii="Tahoma" w:hAnsi="Tahoma" w:cs="Tahoma"/>
      <w:sz w:val="16"/>
      <w:szCs w:val="16"/>
    </w:rPr>
  </w:style>
  <w:style w:type="character" w:customStyle="1" w:styleId="BalloonTextChar">
    <w:name w:val="Balloon Text Char"/>
    <w:link w:val="BalloonText"/>
    <w:uiPriority w:val="99"/>
    <w:semiHidden/>
    <w:rsid w:val="0078592A"/>
    <w:rPr>
      <w:rFonts w:ascii="Tahoma" w:hAnsi="Tahoma" w:cs="Tahoma"/>
      <w:sz w:val="16"/>
      <w:szCs w:val="16"/>
      <w:lang w:eastAsia="en-US"/>
    </w:rPr>
  </w:style>
  <w:style w:type="character" w:customStyle="1" w:styleId="HeaderChar">
    <w:name w:val="Header Char"/>
    <w:basedOn w:val="DefaultParagraphFont"/>
    <w:link w:val="Header"/>
    <w:uiPriority w:val="99"/>
    <w:rsid w:val="004B15F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EF7AA-FC8C-47CE-B8C8-978659DC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4884</Characters>
  <Application>Microsoft Office Word</Application>
  <DocSecurity>0</DocSecurity>
  <Lines>111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2026-01-15T10:37:00Z</dcterms:created>
  <dcterms:modified xsi:type="dcterms:W3CDTF">2026-01-15T10:37:00Z</dcterms:modified>
</cp:coreProperties>
</file>