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09997" w14:textId="77777777" w:rsidR="00B90122" w:rsidRDefault="00B901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D3349D">
        <w:trPr>
          <w:trHeight w:val="2759"/>
        </w:trPr>
        <w:tc>
          <w:tcPr>
            <w:tcW w:w="6663" w:type="dxa"/>
          </w:tcPr>
          <w:p w14:paraId="14C970DF" w14:textId="70D1C64B" w:rsidR="004A1DF9" w:rsidRPr="006C5910" w:rsidRDefault="00C8789E" w:rsidP="006C5910">
            <w:pPr>
              <w:pStyle w:val="Documenttitle"/>
              <w:rPr>
                <w:szCs w:val="88"/>
              </w:rPr>
            </w:pPr>
            <w:r>
              <w:rPr>
                <w:szCs w:val="88"/>
              </w:rPr>
              <w:t>PUBLIC SERVICES REFORM (SCOTLAND) ACT 2010</w:t>
            </w:r>
          </w:p>
          <w:p w14:paraId="495062F0" w14:textId="5367EE84" w:rsidR="00B90122" w:rsidRPr="000F548A" w:rsidRDefault="004A1DF9" w:rsidP="004A1DF9">
            <w:pPr>
              <w:pStyle w:val="Documenttitle"/>
              <w:rPr>
                <w:sz w:val="32"/>
                <w:szCs w:val="32"/>
              </w:rPr>
            </w:pPr>
            <w:r w:rsidRPr="000F548A">
              <w:rPr>
                <w:sz w:val="32"/>
                <w:szCs w:val="32"/>
              </w:rPr>
              <w:t>Report for the year ended 31 march 2025</w:t>
            </w:r>
          </w:p>
        </w:tc>
      </w:tr>
      <w:tr w:rsidR="00805421" w:rsidRPr="00A87DBB" w14:paraId="3FBED2F1" w14:textId="77777777" w:rsidTr="00D3349D">
        <w:trPr>
          <w:trHeight w:val="1561"/>
        </w:trPr>
        <w:tc>
          <w:tcPr>
            <w:tcW w:w="6663" w:type="dxa"/>
          </w:tcPr>
          <w:p w14:paraId="437A23DE" w14:textId="4C110246" w:rsidR="00805421" w:rsidRPr="00B90122" w:rsidRDefault="00805421">
            <w:pPr>
              <w:pStyle w:val="Documentsubtitle"/>
              <w:rPr>
                <w:sz w:val="32"/>
                <w:szCs w:val="32"/>
              </w:rPr>
            </w:pPr>
          </w:p>
        </w:tc>
      </w:tr>
      <w:tr w:rsidR="00805421" w:rsidRPr="00A87DBB" w14:paraId="25B3ADDF" w14:textId="77777777" w:rsidTr="00D3349D">
        <w:trPr>
          <w:trHeight w:val="1134"/>
        </w:trPr>
        <w:tc>
          <w:tcPr>
            <w:tcW w:w="6663" w:type="dxa"/>
          </w:tcPr>
          <w:p w14:paraId="7B8169F9" w14:textId="77777777" w:rsidR="00C018B1" w:rsidRPr="00D3349D" w:rsidRDefault="006C5910" w:rsidP="00D3349D">
            <w:pPr>
              <w:pStyle w:val="Coverinfo"/>
              <w:rPr>
                <w:color w:val="5F7577" w:themeColor="accent2"/>
              </w:rPr>
            </w:pPr>
            <w:r w:rsidRPr="00D3349D">
              <w:rPr>
                <w:color w:val="5F7577" w:themeColor="accent2"/>
              </w:rPr>
              <w:t>Owner: Director of Finance &amp; Corporate Services</w:t>
            </w:r>
          </w:p>
          <w:p w14:paraId="7A41A59C" w14:textId="77777777" w:rsidR="00C018B1" w:rsidRPr="00D3349D" w:rsidRDefault="006C5910" w:rsidP="00D3349D">
            <w:pPr>
              <w:pStyle w:val="Coverinfo"/>
              <w:rPr>
                <w:color w:val="5F7577" w:themeColor="accent2"/>
              </w:rPr>
            </w:pPr>
            <w:r w:rsidRPr="00D3349D">
              <w:rPr>
                <w:color w:val="5F7577" w:themeColor="accent2"/>
              </w:rPr>
              <w:t>Author: Head of Finance</w:t>
            </w:r>
          </w:p>
          <w:p w14:paraId="203ED665" w14:textId="226E3DB2" w:rsidR="00805421" w:rsidRPr="00C018B1" w:rsidRDefault="006C5910" w:rsidP="00D3349D">
            <w:pPr>
              <w:pStyle w:val="Coverinfo"/>
            </w:pPr>
            <w:r w:rsidRPr="00C018B1">
              <w:rPr>
                <w:color w:val="5F7577" w:themeColor="accent2"/>
              </w:rPr>
              <w:t>Last published: December 2025</w:t>
            </w:r>
          </w:p>
        </w:tc>
      </w:tr>
      <w:tr w:rsidR="00805421" w:rsidRPr="00A87DBB" w14:paraId="2B3D2FB0" w14:textId="77777777" w:rsidTr="00D3349D">
        <w:trPr>
          <w:trHeight w:val="567"/>
        </w:trPr>
        <w:tc>
          <w:tcPr>
            <w:tcW w:w="6663" w:type="dxa"/>
          </w:tcPr>
          <w:p w14:paraId="06028F39" w14:textId="01AEC5E8" w:rsidR="00805421" w:rsidRPr="00805421" w:rsidRDefault="00805421" w:rsidP="00805421">
            <w:pPr>
              <w:pStyle w:val="Coverinfo"/>
              <w:rPr>
                <w:b/>
                <w:bCs/>
              </w:rPr>
            </w:pPr>
          </w:p>
        </w:tc>
      </w:tr>
    </w:tbl>
    <w:p w14:paraId="6C639259" w14:textId="77777777" w:rsidR="009215D0" w:rsidRDefault="009215D0" w:rsidP="00805421">
      <w:pPr>
        <w:jc w:val="both"/>
        <w:sectPr w:rsidR="009215D0" w:rsidSect="00694710">
          <w:headerReference w:type="default" r:id="rId11"/>
          <w:footerReference w:type="default" r:id="rId12"/>
          <w:headerReference w:type="first" r:id="rId13"/>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065988EA" w:rsidR="009215D0" w:rsidRPr="00C723B4" w:rsidRDefault="009215D0" w:rsidP="00A1503F">
      <w:pPr>
        <w:pStyle w:val="Heading10"/>
        <w:rPr>
          <w:b/>
          <w:bCs/>
          <w:sz w:val="40"/>
          <w:szCs w:val="40"/>
        </w:rPr>
      </w:pPr>
      <w:bookmarkStart w:id="0" w:name="_Toc215838052"/>
      <w:r w:rsidRPr="00C723B4">
        <w:rPr>
          <w:b/>
          <w:bCs/>
          <w:sz w:val="40"/>
          <w:szCs w:val="40"/>
        </w:rPr>
        <w:lastRenderedPageBreak/>
        <w:t>C</w:t>
      </w:r>
      <w:r w:rsidR="00A1503F" w:rsidRPr="00C723B4">
        <w:rPr>
          <w:b/>
          <w:bCs/>
          <w:sz w:val="40"/>
          <w:szCs w:val="40"/>
        </w:rPr>
        <w:t>ontents</w:t>
      </w:r>
      <w:bookmarkEnd w:id="0"/>
    </w:p>
    <w:p w14:paraId="03E5D4A3" w14:textId="460DEB8F" w:rsidR="000505AA" w:rsidRDefault="00ED0985">
      <w:pPr>
        <w:pStyle w:val="TOC1"/>
        <w:tabs>
          <w:tab w:val="right" w:leader="dot" w:pos="9628"/>
        </w:tabs>
        <w:rPr>
          <w:rFonts w:eastAsiaTheme="minorEastAsia"/>
          <w:b w:val="0"/>
          <w:noProof/>
          <w:color w:val="auto"/>
          <w:kern w:val="2"/>
          <w:szCs w:val="24"/>
          <w:lang w:eastAsia="en-GB"/>
          <w14:ligatures w14:val="standardContextual"/>
        </w:rPr>
      </w:pPr>
      <w:r>
        <w:fldChar w:fldCharType="begin"/>
      </w:r>
      <w:r>
        <w:instrText xml:space="preserve"> TOC \o "1-2" \h \z \u </w:instrText>
      </w:r>
      <w:r>
        <w:fldChar w:fldCharType="separate"/>
      </w:r>
      <w:hyperlink w:anchor="_Toc215838052" w:history="1">
        <w:r w:rsidR="000505AA" w:rsidRPr="000D1CB7">
          <w:rPr>
            <w:rStyle w:val="Hyperlink"/>
            <w:bCs/>
            <w:noProof/>
          </w:rPr>
          <w:t>Contents</w:t>
        </w:r>
        <w:r w:rsidR="000505AA">
          <w:rPr>
            <w:noProof/>
            <w:webHidden/>
          </w:rPr>
          <w:tab/>
        </w:r>
        <w:r w:rsidR="000505AA">
          <w:rPr>
            <w:noProof/>
            <w:webHidden/>
          </w:rPr>
          <w:fldChar w:fldCharType="begin"/>
        </w:r>
        <w:r w:rsidR="000505AA">
          <w:rPr>
            <w:noProof/>
            <w:webHidden/>
          </w:rPr>
          <w:instrText xml:space="preserve"> PAGEREF _Toc215838052 \h </w:instrText>
        </w:r>
        <w:r w:rsidR="000505AA">
          <w:rPr>
            <w:noProof/>
            <w:webHidden/>
          </w:rPr>
        </w:r>
        <w:r w:rsidR="000505AA">
          <w:rPr>
            <w:noProof/>
            <w:webHidden/>
          </w:rPr>
          <w:fldChar w:fldCharType="separate"/>
        </w:r>
        <w:r w:rsidR="000505AA">
          <w:rPr>
            <w:noProof/>
            <w:webHidden/>
          </w:rPr>
          <w:t>2</w:t>
        </w:r>
        <w:r w:rsidR="000505AA">
          <w:rPr>
            <w:noProof/>
            <w:webHidden/>
          </w:rPr>
          <w:fldChar w:fldCharType="end"/>
        </w:r>
      </w:hyperlink>
    </w:p>
    <w:p w14:paraId="231B357A" w14:textId="28AC8F88" w:rsidR="000505AA" w:rsidRDefault="000505AA">
      <w:pPr>
        <w:pStyle w:val="TOC1"/>
        <w:tabs>
          <w:tab w:val="right" w:leader="dot" w:pos="9628"/>
        </w:tabs>
        <w:rPr>
          <w:rFonts w:eastAsiaTheme="minorEastAsia"/>
          <w:b w:val="0"/>
          <w:noProof/>
          <w:color w:val="auto"/>
          <w:kern w:val="2"/>
          <w:szCs w:val="24"/>
          <w:lang w:eastAsia="en-GB"/>
          <w14:ligatures w14:val="standardContextual"/>
        </w:rPr>
      </w:pPr>
      <w:hyperlink w:anchor="_Toc215838053" w:history="1">
        <w:r w:rsidRPr="000D1CB7">
          <w:rPr>
            <w:rStyle w:val="Hyperlink"/>
            <w:bCs/>
            <w:noProof/>
          </w:rPr>
          <w:t>Introduction</w:t>
        </w:r>
        <w:r>
          <w:rPr>
            <w:noProof/>
            <w:webHidden/>
          </w:rPr>
          <w:tab/>
        </w:r>
        <w:r>
          <w:rPr>
            <w:noProof/>
            <w:webHidden/>
          </w:rPr>
          <w:fldChar w:fldCharType="begin"/>
        </w:r>
        <w:r>
          <w:rPr>
            <w:noProof/>
            <w:webHidden/>
          </w:rPr>
          <w:instrText xml:space="preserve"> PAGEREF _Toc215838053 \h </w:instrText>
        </w:r>
        <w:r>
          <w:rPr>
            <w:noProof/>
            <w:webHidden/>
          </w:rPr>
        </w:r>
        <w:r>
          <w:rPr>
            <w:noProof/>
            <w:webHidden/>
          </w:rPr>
          <w:fldChar w:fldCharType="separate"/>
        </w:r>
        <w:r>
          <w:rPr>
            <w:noProof/>
            <w:webHidden/>
          </w:rPr>
          <w:t>3</w:t>
        </w:r>
        <w:r>
          <w:rPr>
            <w:noProof/>
            <w:webHidden/>
          </w:rPr>
          <w:fldChar w:fldCharType="end"/>
        </w:r>
      </w:hyperlink>
    </w:p>
    <w:p w14:paraId="65DF4F00" w14:textId="6930ED1F" w:rsidR="000505AA" w:rsidRDefault="000505AA">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5838054" w:history="1">
        <w:r w:rsidRPr="000D1CB7">
          <w:rPr>
            <w:rStyle w:val="Hyperlink"/>
            <w:bCs/>
            <w:noProof/>
          </w:rPr>
          <w:t>1.</w:t>
        </w:r>
        <w:r>
          <w:rPr>
            <w:rFonts w:eastAsiaTheme="minorEastAsia"/>
            <w:b w:val="0"/>
            <w:noProof/>
            <w:color w:val="auto"/>
            <w:kern w:val="2"/>
            <w:szCs w:val="24"/>
            <w:lang w:eastAsia="en-GB"/>
            <w14:ligatures w14:val="standardContextual"/>
          </w:rPr>
          <w:tab/>
        </w:r>
        <w:r w:rsidRPr="000D1CB7">
          <w:rPr>
            <w:rStyle w:val="Hyperlink"/>
            <w:bCs/>
            <w:noProof/>
          </w:rPr>
          <w:t>Steps to promote sustainable growth</w:t>
        </w:r>
        <w:r>
          <w:rPr>
            <w:noProof/>
            <w:webHidden/>
          </w:rPr>
          <w:tab/>
        </w:r>
        <w:r>
          <w:rPr>
            <w:noProof/>
            <w:webHidden/>
          </w:rPr>
          <w:fldChar w:fldCharType="begin"/>
        </w:r>
        <w:r>
          <w:rPr>
            <w:noProof/>
            <w:webHidden/>
          </w:rPr>
          <w:instrText xml:space="preserve"> PAGEREF _Toc215838054 \h </w:instrText>
        </w:r>
        <w:r>
          <w:rPr>
            <w:noProof/>
            <w:webHidden/>
          </w:rPr>
        </w:r>
        <w:r>
          <w:rPr>
            <w:noProof/>
            <w:webHidden/>
          </w:rPr>
          <w:fldChar w:fldCharType="separate"/>
        </w:r>
        <w:r>
          <w:rPr>
            <w:noProof/>
            <w:webHidden/>
          </w:rPr>
          <w:t>4</w:t>
        </w:r>
        <w:r>
          <w:rPr>
            <w:noProof/>
            <w:webHidden/>
          </w:rPr>
          <w:fldChar w:fldCharType="end"/>
        </w:r>
      </w:hyperlink>
    </w:p>
    <w:p w14:paraId="42E6B05B" w14:textId="13106A77" w:rsidR="000505AA" w:rsidRDefault="000505AA">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5838055" w:history="1">
        <w:r w:rsidRPr="000D1CB7">
          <w:rPr>
            <w:rStyle w:val="Hyperlink"/>
            <w:bCs/>
            <w:noProof/>
          </w:rPr>
          <w:t>2.</w:t>
        </w:r>
        <w:r>
          <w:rPr>
            <w:rFonts w:eastAsiaTheme="minorEastAsia"/>
            <w:b w:val="0"/>
            <w:noProof/>
            <w:color w:val="auto"/>
            <w:kern w:val="2"/>
            <w:szCs w:val="24"/>
            <w:lang w:eastAsia="en-GB"/>
            <w14:ligatures w14:val="standardContextual"/>
          </w:rPr>
          <w:tab/>
        </w:r>
        <w:r w:rsidRPr="000D1CB7">
          <w:rPr>
            <w:rStyle w:val="Hyperlink"/>
            <w:bCs/>
            <w:noProof/>
          </w:rPr>
          <w:t>Steps to improve efficiency, effectiveness and economy</w:t>
        </w:r>
        <w:r>
          <w:rPr>
            <w:noProof/>
            <w:webHidden/>
          </w:rPr>
          <w:tab/>
        </w:r>
        <w:r>
          <w:rPr>
            <w:noProof/>
            <w:webHidden/>
          </w:rPr>
          <w:fldChar w:fldCharType="begin"/>
        </w:r>
        <w:r>
          <w:rPr>
            <w:noProof/>
            <w:webHidden/>
          </w:rPr>
          <w:instrText xml:space="preserve"> PAGEREF _Toc215838055 \h </w:instrText>
        </w:r>
        <w:r>
          <w:rPr>
            <w:noProof/>
            <w:webHidden/>
          </w:rPr>
        </w:r>
        <w:r>
          <w:rPr>
            <w:noProof/>
            <w:webHidden/>
          </w:rPr>
          <w:fldChar w:fldCharType="separate"/>
        </w:r>
        <w:r>
          <w:rPr>
            <w:noProof/>
            <w:webHidden/>
          </w:rPr>
          <w:t>5</w:t>
        </w:r>
        <w:r>
          <w:rPr>
            <w:noProof/>
            <w:webHidden/>
          </w:rPr>
          <w:fldChar w:fldCharType="end"/>
        </w:r>
      </w:hyperlink>
    </w:p>
    <w:p w14:paraId="2708687B" w14:textId="2A46CB69" w:rsidR="000505AA" w:rsidRDefault="000505AA">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5838056" w:history="1">
        <w:r w:rsidRPr="000D1CB7">
          <w:rPr>
            <w:rStyle w:val="Hyperlink"/>
            <w:bCs/>
            <w:noProof/>
          </w:rPr>
          <w:t>3.</w:t>
        </w:r>
        <w:r>
          <w:rPr>
            <w:rFonts w:eastAsiaTheme="minorEastAsia"/>
            <w:b w:val="0"/>
            <w:noProof/>
            <w:color w:val="auto"/>
            <w:kern w:val="2"/>
            <w:szCs w:val="24"/>
            <w:lang w:eastAsia="en-GB"/>
            <w14:ligatures w14:val="standardContextual"/>
          </w:rPr>
          <w:tab/>
        </w:r>
        <w:r w:rsidRPr="000D1CB7">
          <w:rPr>
            <w:rStyle w:val="Hyperlink"/>
            <w:bCs/>
            <w:noProof/>
          </w:rPr>
          <w:t>Expenditure information</w:t>
        </w:r>
        <w:r>
          <w:rPr>
            <w:noProof/>
            <w:webHidden/>
          </w:rPr>
          <w:tab/>
        </w:r>
        <w:r>
          <w:rPr>
            <w:noProof/>
            <w:webHidden/>
          </w:rPr>
          <w:fldChar w:fldCharType="begin"/>
        </w:r>
        <w:r>
          <w:rPr>
            <w:noProof/>
            <w:webHidden/>
          </w:rPr>
          <w:instrText xml:space="preserve"> PAGEREF _Toc215838056 \h </w:instrText>
        </w:r>
        <w:r>
          <w:rPr>
            <w:noProof/>
            <w:webHidden/>
          </w:rPr>
        </w:r>
        <w:r>
          <w:rPr>
            <w:noProof/>
            <w:webHidden/>
          </w:rPr>
          <w:fldChar w:fldCharType="separate"/>
        </w:r>
        <w:r>
          <w:rPr>
            <w:noProof/>
            <w:webHidden/>
          </w:rPr>
          <w:t>6</w:t>
        </w:r>
        <w:r>
          <w:rPr>
            <w:noProof/>
            <w:webHidden/>
          </w:rPr>
          <w:fldChar w:fldCharType="end"/>
        </w:r>
      </w:hyperlink>
    </w:p>
    <w:p w14:paraId="089CECDC" w14:textId="194A45B6" w:rsidR="000505AA" w:rsidRDefault="000505AA">
      <w:pPr>
        <w:pStyle w:val="TOC2"/>
        <w:rPr>
          <w:rFonts w:eastAsiaTheme="minorEastAsia"/>
          <w:kern w:val="2"/>
          <w:sz w:val="24"/>
          <w:szCs w:val="24"/>
          <w:lang w:eastAsia="en-GB"/>
          <w14:ligatures w14:val="standardContextual"/>
        </w:rPr>
      </w:pPr>
      <w:hyperlink w:anchor="_Toc215838057" w:history="1">
        <w:r w:rsidRPr="000D1CB7">
          <w:rPr>
            <w:rStyle w:val="Hyperlink"/>
            <w:rFonts w:cstheme="minorHAnsi"/>
          </w:rPr>
          <w:t>3.1 Public relations</w:t>
        </w:r>
        <w:r>
          <w:rPr>
            <w:webHidden/>
          </w:rPr>
          <w:tab/>
        </w:r>
        <w:r>
          <w:rPr>
            <w:webHidden/>
          </w:rPr>
          <w:fldChar w:fldCharType="begin"/>
        </w:r>
        <w:r>
          <w:rPr>
            <w:webHidden/>
          </w:rPr>
          <w:instrText xml:space="preserve"> PAGEREF _Toc215838057 \h </w:instrText>
        </w:r>
        <w:r>
          <w:rPr>
            <w:webHidden/>
          </w:rPr>
        </w:r>
        <w:r>
          <w:rPr>
            <w:webHidden/>
          </w:rPr>
          <w:fldChar w:fldCharType="separate"/>
        </w:r>
        <w:r>
          <w:rPr>
            <w:webHidden/>
          </w:rPr>
          <w:t>6</w:t>
        </w:r>
        <w:r>
          <w:rPr>
            <w:webHidden/>
          </w:rPr>
          <w:fldChar w:fldCharType="end"/>
        </w:r>
      </w:hyperlink>
    </w:p>
    <w:p w14:paraId="073773EA" w14:textId="128FBE84" w:rsidR="000505AA" w:rsidRDefault="000505AA">
      <w:pPr>
        <w:pStyle w:val="TOC2"/>
        <w:rPr>
          <w:rFonts w:eastAsiaTheme="minorEastAsia"/>
          <w:kern w:val="2"/>
          <w:sz w:val="24"/>
          <w:szCs w:val="24"/>
          <w:lang w:eastAsia="en-GB"/>
          <w14:ligatures w14:val="standardContextual"/>
        </w:rPr>
      </w:pPr>
      <w:hyperlink w:anchor="_Toc215838058" w:history="1">
        <w:r w:rsidRPr="000D1CB7">
          <w:rPr>
            <w:rStyle w:val="Hyperlink"/>
            <w:rFonts w:cstheme="minorHAnsi"/>
          </w:rPr>
          <w:t>3.2 Overseas travel</w:t>
        </w:r>
        <w:r>
          <w:rPr>
            <w:webHidden/>
          </w:rPr>
          <w:tab/>
        </w:r>
        <w:r>
          <w:rPr>
            <w:webHidden/>
          </w:rPr>
          <w:fldChar w:fldCharType="begin"/>
        </w:r>
        <w:r>
          <w:rPr>
            <w:webHidden/>
          </w:rPr>
          <w:instrText xml:space="preserve"> PAGEREF _Toc215838058 \h </w:instrText>
        </w:r>
        <w:r>
          <w:rPr>
            <w:webHidden/>
          </w:rPr>
        </w:r>
        <w:r>
          <w:rPr>
            <w:webHidden/>
          </w:rPr>
          <w:fldChar w:fldCharType="separate"/>
        </w:r>
        <w:r>
          <w:rPr>
            <w:webHidden/>
          </w:rPr>
          <w:t>6</w:t>
        </w:r>
        <w:r>
          <w:rPr>
            <w:webHidden/>
          </w:rPr>
          <w:fldChar w:fldCharType="end"/>
        </w:r>
      </w:hyperlink>
    </w:p>
    <w:p w14:paraId="75669020" w14:textId="3C486AE4" w:rsidR="000505AA" w:rsidRDefault="000505AA">
      <w:pPr>
        <w:pStyle w:val="TOC2"/>
        <w:rPr>
          <w:rFonts w:eastAsiaTheme="minorEastAsia"/>
          <w:kern w:val="2"/>
          <w:sz w:val="24"/>
          <w:szCs w:val="24"/>
          <w:lang w:eastAsia="en-GB"/>
          <w14:ligatures w14:val="standardContextual"/>
        </w:rPr>
      </w:pPr>
      <w:hyperlink w:anchor="_Toc215838059" w:history="1">
        <w:r w:rsidRPr="000D1CB7">
          <w:rPr>
            <w:rStyle w:val="Hyperlink"/>
            <w:rFonts w:cstheme="minorHAnsi"/>
          </w:rPr>
          <w:t>3.3 Hospitality and entertainment</w:t>
        </w:r>
        <w:r>
          <w:rPr>
            <w:webHidden/>
          </w:rPr>
          <w:tab/>
        </w:r>
        <w:r>
          <w:rPr>
            <w:webHidden/>
          </w:rPr>
          <w:fldChar w:fldCharType="begin"/>
        </w:r>
        <w:r>
          <w:rPr>
            <w:webHidden/>
          </w:rPr>
          <w:instrText xml:space="preserve"> PAGEREF _Toc215838059 \h </w:instrText>
        </w:r>
        <w:r>
          <w:rPr>
            <w:webHidden/>
          </w:rPr>
        </w:r>
        <w:r>
          <w:rPr>
            <w:webHidden/>
          </w:rPr>
          <w:fldChar w:fldCharType="separate"/>
        </w:r>
        <w:r>
          <w:rPr>
            <w:webHidden/>
          </w:rPr>
          <w:t>6</w:t>
        </w:r>
        <w:r>
          <w:rPr>
            <w:webHidden/>
          </w:rPr>
          <w:fldChar w:fldCharType="end"/>
        </w:r>
      </w:hyperlink>
    </w:p>
    <w:p w14:paraId="7AB41DB2" w14:textId="581B1258" w:rsidR="000505AA" w:rsidRDefault="000505AA">
      <w:pPr>
        <w:pStyle w:val="TOC2"/>
        <w:rPr>
          <w:rFonts w:eastAsiaTheme="minorEastAsia"/>
          <w:kern w:val="2"/>
          <w:sz w:val="24"/>
          <w:szCs w:val="24"/>
          <w:lang w:eastAsia="en-GB"/>
          <w14:ligatures w14:val="standardContextual"/>
        </w:rPr>
      </w:pPr>
      <w:hyperlink w:anchor="_Toc215838060" w:history="1">
        <w:r w:rsidRPr="000D1CB7">
          <w:rPr>
            <w:rStyle w:val="Hyperlink"/>
            <w:rFonts w:cstheme="minorHAnsi"/>
          </w:rPr>
          <w:t>3.4 External consultancy</w:t>
        </w:r>
        <w:r>
          <w:rPr>
            <w:webHidden/>
          </w:rPr>
          <w:tab/>
        </w:r>
        <w:r>
          <w:rPr>
            <w:webHidden/>
          </w:rPr>
          <w:fldChar w:fldCharType="begin"/>
        </w:r>
        <w:r>
          <w:rPr>
            <w:webHidden/>
          </w:rPr>
          <w:instrText xml:space="preserve"> PAGEREF _Toc215838060 \h </w:instrText>
        </w:r>
        <w:r>
          <w:rPr>
            <w:webHidden/>
          </w:rPr>
        </w:r>
        <w:r>
          <w:rPr>
            <w:webHidden/>
          </w:rPr>
          <w:fldChar w:fldCharType="separate"/>
        </w:r>
        <w:r>
          <w:rPr>
            <w:webHidden/>
          </w:rPr>
          <w:t>7</w:t>
        </w:r>
        <w:r>
          <w:rPr>
            <w:webHidden/>
          </w:rPr>
          <w:fldChar w:fldCharType="end"/>
        </w:r>
      </w:hyperlink>
    </w:p>
    <w:p w14:paraId="6AE44274" w14:textId="67740A07" w:rsidR="000505AA" w:rsidRDefault="000505AA">
      <w:pPr>
        <w:pStyle w:val="TOC2"/>
        <w:rPr>
          <w:rFonts w:eastAsiaTheme="minorEastAsia"/>
          <w:kern w:val="2"/>
          <w:sz w:val="24"/>
          <w:szCs w:val="24"/>
          <w:lang w:eastAsia="en-GB"/>
          <w14:ligatures w14:val="standardContextual"/>
        </w:rPr>
      </w:pPr>
      <w:hyperlink w:anchor="_Toc215838061" w:history="1">
        <w:r w:rsidRPr="000D1CB7">
          <w:rPr>
            <w:rStyle w:val="Hyperlink"/>
            <w:rFonts w:cstheme="minorHAnsi"/>
          </w:rPr>
          <w:t>3.5 Payments in excess of £25,000</w:t>
        </w:r>
        <w:r>
          <w:rPr>
            <w:webHidden/>
          </w:rPr>
          <w:tab/>
        </w:r>
        <w:r>
          <w:rPr>
            <w:webHidden/>
          </w:rPr>
          <w:fldChar w:fldCharType="begin"/>
        </w:r>
        <w:r>
          <w:rPr>
            <w:webHidden/>
          </w:rPr>
          <w:instrText xml:space="preserve"> PAGEREF _Toc215838061 \h </w:instrText>
        </w:r>
        <w:r>
          <w:rPr>
            <w:webHidden/>
          </w:rPr>
        </w:r>
        <w:r>
          <w:rPr>
            <w:webHidden/>
          </w:rPr>
          <w:fldChar w:fldCharType="separate"/>
        </w:r>
        <w:r>
          <w:rPr>
            <w:webHidden/>
          </w:rPr>
          <w:t>8</w:t>
        </w:r>
        <w:r>
          <w:rPr>
            <w:webHidden/>
          </w:rPr>
          <w:fldChar w:fldCharType="end"/>
        </w:r>
      </w:hyperlink>
    </w:p>
    <w:p w14:paraId="51D641AB" w14:textId="5B486395" w:rsidR="000505AA" w:rsidRDefault="000505AA">
      <w:pPr>
        <w:pStyle w:val="TOC2"/>
        <w:rPr>
          <w:rFonts w:eastAsiaTheme="minorEastAsia"/>
          <w:kern w:val="2"/>
          <w:sz w:val="24"/>
          <w:szCs w:val="24"/>
          <w:lang w:eastAsia="en-GB"/>
          <w14:ligatures w14:val="standardContextual"/>
        </w:rPr>
      </w:pPr>
      <w:hyperlink w:anchor="_Toc215838062" w:history="1">
        <w:r w:rsidRPr="000D1CB7">
          <w:rPr>
            <w:rStyle w:val="Hyperlink"/>
            <w:rFonts w:cstheme="minorHAnsi"/>
          </w:rPr>
          <w:t>3.6 Remuneration</w:t>
        </w:r>
        <w:r>
          <w:rPr>
            <w:webHidden/>
          </w:rPr>
          <w:tab/>
        </w:r>
        <w:r>
          <w:rPr>
            <w:webHidden/>
          </w:rPr>
          <w:fldChar w:fldCharType="begin"/>
        </w:r>
        <w:r>
          <w:rPr>
            <w:webHidden/>
          </w:rPr>
          <w:instrText xml:space="preserve"> PAGEREF _Toc215838062 \h </w:instrText>
        </w:r>
        <w:r>
          <w:rPr>
            <w:webHidden/>
          </w:rPr>
        </w:r>
        <w:r>
          <w:rPr>
            <w:webHidden/>
          </w:rPr>
          <w:fldChar w:fldCharType="separate"/>
        </w:r>
        <w:r>
          <w:rPr>
            <w:webHidden/>
          </w:rPr>
          <w:t>8</w:t>
        </w:r>
        <w:r>
          <w:rPr>
            <w:webHidden/>
          </w:rPr>
          <w:fldChar w:fldCharType="end"/>
        </w:r>
      </w:hyperlink>
    </w:p>
    <w:p w14:paraId="303CEB3F" w14:textId="23A21BC2" w:rsidR="00450C94" w:rsidRDefault="00ED0985" w:rsidP="00805421">
      <w:pPr>
        <w:jc w:val="both"/>
      </w:pPr>
      <w:r>
        <w:fldChar w:fldCharType="end"/>
      </w:r>
    </w:p>
    <w:p w14:paraId="0E52021B" w14:textId="0AD02A81" w:rsidR="00450C94" w:rsidRDefault="00450C94" w:rsidP="00805421">
      <w:pPr>
        <w:jc w:val="both"/>
      </w:pPr>
    </w:p>
    <w:p w14:paraId="143807AB" w14:textId="72EFCB85" w:rsidR="00450C94" w:rsidRDefault="00450C94" w:rsidP="00805421">
      <w:pPr>
        <w:jc w:val="both"/>
      </w:pPr>
    </w:p>
    <w:p w14:paraId="43CA464B" w14:textId="77777777" w:rsidR="00EA5341" w:rsidRDefault="00EA5341" w:rsidP="00ED0985">
      <w:pPr>
        <w:pStyle w:val="Heading10"/>
        <w:rPr>
          <w:sz w:val="40"/>
          <w:szCs w:val="40"/>
        </w:rPr>
        <w:sectPr w:rsidR="00EA5341" w:rsidSect="009215D0">
          <w:headerReference w:type="default" r:id="rId14"/>
          <w:type w:val="continuous"/>
          <w:pgSz w:w="11906" w:h="16838" w:code="9"/>
          <w:pgMar w:top="1134" w:right="1134" w:bottom="1134" w:left="1134" w:header="567" w:footer="567" w:gutter="0"/>
          <w:cols w:space="708"/>
          <w:docGrid w:linePitch="360"/>
        </w:sectPr>
      </w:pPr>
    </w:p>
    <w:p w14:paraId="582F31E5" w14:textId="6BCBE1B0" w:rsidR="007E7292" w:rsidRPr="00C723B4" w:rsidRDefault="007E7292" w:rsidP="00ED0985">
      <w:pPr>
        <w:pStyle w:val="Heading10"/>
        <w:rPr>
          <w:b/>
          <w:bCs/>
          <w:sz w:val="40"/>
          <w:szCs w:val="40"/>
        </w:rPr>
      </w:pPr>
      <w:bookmarkStart w:id="1" w:name="_Toc215838053"/>
      <w:r w:rsidRPr="00C723B4">
        <w:rPr>
          <w:b/>
          <w:bCs/>
          <w:sz w:val="40"/>
          <w:szCs w:val="40"/>
        </w:rPr>
        <w:lastRenderedPageBreak/>
        <w:t>Introduction</w:t>
      </w:r>
      <w:bookmarkEnd w:id="1"/>
    </w:p>
    <w:p w14:paraId="2E41AC0E" w14:textId="77777777" w:rsidR="00E92BFF" w:rsidRDefault="00E92BFF" w:rsidP="00E92BFF">
      <w:pPr>
        <w:pStyle w:val="Bullet1"/>
        <w:numPr>
          <w:ilvl w:val="0"/>
          <w:numId w:val="0"/>
        </w:numPr>
        <w:spacing w:line="23" w:lineRule="atLeast"/>
        <w:jc w:val="both"/>
      </w:pPr>
      <w:r w:rsidRPr="00E92BFF">
        <w:t>Part 3 of the Public Services Reform (Scotland) Act 2010 (PSRA) requires the Scottish Government and listed public bodies to publish information after the end of each financial year on steps taken to promote sustainable growth and to improve efficiency, effectiveness and economy. These duties came into force on 1 October 2010 and are intended to support transparency and public accountability.</w:t>
      </w:r>
    </w:p>
    <w:p w14:paraId="34E77F29" w14:textId="77777777" w:rsidR="00E92BFF" w:rsidRPr="00E92BFF" w:rsidRDefault="00E92BFF" w:rsidP="00E92BFF">
      <w:pPr>
        <w:pStyle w:val="Bullet1"/>
        <w:numPr>
          <w:ilvl w:val="0"/>
          <w:numId w:val="0"/>
        </w:numPr>
        <w:spacing w:line="23" w:lineRule="atLeast"/>
        <w:jc w:val="both"/>
      </w:pPr>
    </w:p>
    <w:p w14:paraId="2872639D" w14:textId="77777777" w:rsidR="00E92BFF" w:rsidRDefault="00E92BFF" w:rsidP="00E92BFF">
      <w:pPr>
        <w:pStyle w:val="Bullet1"/>
        <w:numPr>
          <w:ilvl w:val="0"/>
          <w:numId w:val="0"/>
        </w:numPr>
        <w:spacing w:line="23" w:lineRule="atLeast"/>
        <w:jc w:val="both"/>
      </w:pPr>
      <w:r w:rsidRPr="00E92BFF">
        <w:t>This report sets out how the Water Industry Commission for Scotland (WICS) has met these requirements during 2024–25. It has been prepared in line with Scottish Government guidance.</w:t>
      </w:r>
    </w:p>
    <w:p w14:paraId="67040C72" w14:textId="77777777" w:rsidR="00E92BFF" w:rsidRPr="00E92BFF" w:rsidRDefault="00E92BFF" w:rsidP="00E92BFF">
      <w:pPr>
        <w:pStyle w:val="Bullet1"/>
        <w:numPr>
          <w:ilvl w:val="0"/>
          <w:numId w:val="0"/>
        </w:numPr>
        <w:spacing w:line="23" w:lineRule="atLeast"/>
        <w:jc w:val="both"/>
      </w:pPr>
    </w:p>
    <w:p w14:paraId="47643F4C" w14:textId="77777777" w:rsidR="00E92BFF" w:rsidRPr="00E92BFF" w:rsidRDefault="00E92BFF" w:rsidP="00E92BFF">
      <w:pPr>
        <w:pStyle w:val="Bullet1"/>
        <w:numPr>
          <w:ilvl w:val="0"/>
          <w:numId w:val="0"/>
        </w:numPr>
        <w:spacing w:line="23" w:lineRule="atLeast"/>
        <w:jc w:val="both"/>
      </w:pPr>
      <w:r w:rsidRPr="00E92BFF">
        <w:t>Further information on WICS’ work is available on the WICS website. Full audited financial information is contained within the 2024–25 Annual Report and Accounts.</w:t>
      </w:r>
    </w:p>
    <w:p w14:paraId="25DE2D92" w14:textId="4D7C226E" w:rsidR="007E7292" w:rsidRPr="00C55970" w:rsidRDefault="007E7292" w:rsidP="00E92BFF">
      <w:pPr>
        <w:pStyle w:val="Bullet1"/>
        <w:numPr>
          <w:ilvl w:val="0"/>
          <w:numId w:val="0"/>
        </w:numPr>
        <w:spacing w:line="23" w:lineRule="atLeast"/>
        <w:jc w:val="both"/>
      </w:pPr>
      <w:r>
        <w:br w:type="page"/>
      </w:r>
    </w:p>
    <w:p w14:paraId="68E0B068" w14:textId="08657B90" w:rsidR="007E7292" w:rsidRPr="00C723B4" w:rsidRDefault="007E7292" w:rsidP="00C723B4">
      <w:pPr>
        <w:pStyle w:val="Heading10"/>
        <w:numPr>
          <w:ilvl w:val="0"/>
          <w:numId w:val="31"/>
        </w:numPr>
        <w:rPr>
          <w:b/>
          <w:bCs/>
          <w:sz w:val="40"/>
          <w:szCs w:val="40"/>
        </w:rPr>
      </w:pPr>
      <w:bookmarkStart w:id="2" w:name="_Toc215838054"/>
      <w:r w:rsidRPr="00C723B4">
        <w:rPr>
          <w:b/>
          <w:bCs/>
          <w:sz w:val="40"/>
          <w:szCs w:val="40"/>
        </w:rPr>
        <w:lastRenderedPageBreak/>
        <w:t>Steps to promote sustainable growth</w:t>
      </w:r>
      <w:bookmarkEnd w:id="2"/>
    </w:p>
    <w:p w14:paraId="67094377" w14:textId="56371376" w:rsidR="00023449" w:rsidRDefault="00023449" w:rsidP="00023449">
      <w:pPr>
        <w:pStyle w:val="NormalWeb"/>
        <w:spacing w:before="0" w:beforeAutospacing="0" w:after="0" w:afterAutospacing="0" w:line="23" w:lineRule="atLeast"/>
        <w:jc w:val="both"/>
        <w:rPr>
          <w:rFonts w:asciiTheme="minorHAnsi" w:hAnsiTheme="minorHAnsi" w:cstheme="minorHAnsi"/>
        </w:rPr>
      </w:pPr>
      <w:bookmarkStart w:id="3" w:name="_Toc184223602"/>
      <w:bookmarkEnd w:id="3"/>
      <w:r w:rsidRPr="00023449">
        <w:rPr>
          <w:rFonts w:asciiTheme="minorHAnsi" w:hAnsiTheme="minorHAnsi" w:cstheme="minorHAnsi"/>
        </w:rPr>
        <w:t xml:space="preserve">As Scotland’s economic regulator for water, WICS’ </w:t>
      </w:r>
      <w:r w:rsidR="00105ADB">
        <w:rPr>
          <w:rFonts w:asciiTheme="minorHAnsi" w:hAnsiTheme="minorHAnsi" w:cstheme="minorHAnsi"/>
        </w:rPr>
        <w:t>ensures</w:t>
      </w:r>
      <w:r w:rsidRPr="00023449">
        <w:rPr>
          <w:rFonts w:asciiTheme="minorHAnsi" w:hAnsiTheme="minorHAnsi" w:cstheme="minorHAnsi"/>
        </w:rPr>
        <w:t xml:space="preserve"> that high-quality water and wastewater services are delivered efficiently and sustainably for current and future generations. During 2024–25, WICS published the final methodology for the Strategic Review of Charges 2027–33 (SRC27), which sets the long-term framework for investment, performance and customer charges across the next regulatory period.</w:t>
      </w:r>
    </w:p>
    <w:p w14:paraId="1FE215BF" w14:textId="77777777" w:rsidR="0065666F" w:rsidRPr="00023449" w:rsidRDefault="0065666F" w:rsidP="00023449">
      <w:pPr>
        <w:pStyle w:val="NormalWeb"/>
        <w:spacing w:before="0" w:beforeAutospacing="0" w:after="0" w:afterAutospacing="0" w:line="23" w:lineRule="atLeast"/>
        <w:jc w:val="both"/>
        <w:rPr>
          <w:rFonts w:asciiTheme="minorHAnsi" w:hAnsiTheme="minorHAnsi" w:cstheme="minorHAnsi"/>
        </w:rPr>
      </w:pPr>
    </w:p>
    <w:p w14:paraId="696E24DD" w14:textId="496C7685" w:rsidR="00023449"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The SRC27 methodology embeds sustainability at its core. It strengthens outcome-based regulation, enhances long-term planning, and places greater emphasis on resilience, climate adaptation and evidence-based investment. It enables Scottish Water to plan for net-zero delivery by 2040, while maintaining service quality for customers.</w:t>
      </w:r>
    </w:p>
    <w:p w14:paraId="55BE8D16" w14:textId="77777777" w:rsidR="0065666F" w:rsidRPr="00023449" w:rsidRDefault="0065666F" w:rsidP="00023449">
      <w:pPr>
        <w:pStyle w:val="NormalWeb"/>
        <w:spacing w:before="0" w:beforeAutospacing="0" w:after="0" w:afterAutospacing="0" w:line="23" w:lineRule="atLeast"/>
        <w:jc w:val="both"/>
        <w:rPr>
          <w:rFonts w:asciiTheme="minorHAnsi" w:hAnsiTheme="minorHAnsi" w:cstheme="minorHAnsi"/>
        </w:rPr>
      </w:pPr>
    </w:p>
    <w:p w14:paraId="41891D0F" w14:textId="77777777" w:rsidR="00023449" w:rsidRPr="00023449" w:rsidRDefault="00023449" w:rsidP="00023449">
      <w:pPr>
        <w:pStyle w:val="Heading30"/>
        <w:spacing w:before="0" w:after="0" w:line="23" w:lineRule="atLeast"/>
        <w:jc w:val="both"/>
        <w:rPr>
          <w:rFonts w:asciiTheme="minorHAnsi" w:hAnsiTheme="minorHAnsi" w:cstheme="minorHAnsi"/>
          <w:sz w:val="24"/>
        </w:rPr>
      </w:pPr>
      <w:r w:rsidRPr="00023449">
        <w:rPr>
          <w:rFonts w:asciiTheme="minorHAnsi" w:hAnsiTheme="minorHAnsi" w:cstheme="minorHAnsi"/>
          <w:sz w:val="24"/>
        </w:rPr>
        <w:t>Enabling sustainable economic growth</w:t>
      </w:r>
    </w:p>
    <w:p w14:paraId="442C9C12" w14:textId="149C391B" w:rsidR="00023449"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By setting clear regulatory expectations and maintaining a stable investment framework, WICS continued to support sustainable economic growth across Scotland. Through scrutiny of Scottish Water’s costs, performance</w:t>
      </w:r>
      <w:r w:rsidR="0065666F">
        <w:rPr>
          <w:rFonts w:asciiTheme="minorHAnsi" w:hAnsiTheme="minorHAnsi" w:cstheme="minorHAnsi"/>
        </w:rPr>
        <w:t xml:space="preserve">, and investment plans, WICS ensured that infrastructure investment remained efficient and </w:t>
      </w:r>
      <w:r w:rsidR="008C4FFE">
        <w:rPr>
          <w:rFonts w:asciiTheme="minorHAnsi" w:hAnsiTheme="minorHAnsi" w:cstheme="minorHAnsi"/>
        </w:rPr>
        <w:t xml:space="preserve">delivered at reasonable overall cost </w:t>
      </w:r>
      <w:r w:rsidR="0065666F">
        <w:rPr>
          <w:rFonts w:asciiTheme="minorHAnsi" w:hAnsiTheme="minorHAnsi" w:cstheme="minorHAnsi"/>
        </w:rPr>
        <w:t>for households, businesses,</w:t>
      </w:r>
      <w:r w:rsidRPr="00023449">
        <w:rPr>
          <w:rFonts w:asciiTheme="minorHAnsi" w:hAnsiTheme="minorHAnsi" w:cstheme="minorHAnsi"/>
        </w:rPr>
        <w:t xml:space="preserve"> and public bodies.</w:t>
      </w:r>
    </w:p>
    <w:p w14:paraId="412D74A4" w14:textId="77777777" w:rsidR="0065666F" w:rsidRPr="00023449" w:rsidRDefault="0065666F" w:rsidP="00023449">
      <w:pPr>
        <w:pStyle w:val="NormalWeb"/>
        <w:spacing w:before="0" w:beforeAutospacing="0" w:after="0" w:afterAutospacing="0" w:line="23" w:lineRule="atLeast"/>
        <w:jc w:val="both"/>
        <w:rPr>
          <w:rFonts w:asciiTheme="minorHAnsi" w:hAnsiTheme="minorHAnsi" w:cstheme="minorHAnsi"/>
        </w:rPr>
      </w:pPr>
    </w:p>
    <w:p w14:paraId="7E6C2D49" w14:textId="4102109A" w:rsidR="00023449"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Average household water charges in Scotland remain among the lowest in the UK while sustaining high levels of investment.</w:t>
      </w:r>
    </w:p>
    <w:p w14:paraId="0195EAF9" w14:textId="77777777" w:rsidR="0065666F" w:rsidRPr="00023449" w:rsidRDefault="0065666F" w:rsidP="00023449">
      <w:pPr>
        <w:pStyle w:val="NormalWeb"/>
        <w:spacing w:before="0" w:beforeAutospacing="0" w:after="0" w:afterAutospacing="0" w:line="23" w:lineRule="atLeast"/>
        <w:jc w:val="both"/>
        <w:rPr>
          <w:rFonts w:asciiTheme="minorHAnsi" w:hAnsiTheme="minorHAnsi" w:cstheme="minorHAnsi"/>
        </w:rPr>
      </w:pPr>
    </w:p>
    <w:p w14:paraId="1712460E" w14:textId="77777777" w:rsidR="00023449" w:rsidRPr="00023449" w:rsidRDefault="00023449" w:rsidP="00023449">
      <w:pPr>
        <w:pStyle w:val="Heading30"/>
        <w:spacing w:before="0" w:after="0" w:line="23" w:lineRule="atLeast"/>
        <w:jc w:val="both"/>
        <w:rPr>
          <w:rFonts w:asciiTheme="minorHAnsi" w:hAnsiTheme="minorHAnsi" w:cstheme="minorHAnsi"/>
          <w:sz w:val="24"/>
        </w:rPr>
      </w:pPr>
      <w:r w:rsidRPr="00023449">
        <w:rPr>
          <w:rFonts w:asciiTheme="minorHAnsi" w:hAnsiTheme="minorHAnsi" w:cstheme="minorHAnsi"/>
          <w:sz w:val="24"/>
        </w:rPr>
        <w:t>Strengthening the non-household retail market</w:t>
      </w:r>
    </w:p>
    <w:p w14:paraId="3316365E" w14:textId="77777777" w:rsidR="00023449"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WICS took further steps to promote sustainable growth in the competitive non-household water retail market. A new market-wide Code of Practice was developed collaboratively with licensed providers, Consumer Scotland, Scottish Water and the Central Market Agency. This sets clear service standards that go beyond minimum licence conditions and strengthens customer confidence.</w:t>
      </w:r>
    </w:p>
    <w:p w14:paraId="0778040F" w14:textId="77777777" w:rsidR="0065666F" w:rsidRPr="00023449" w:rsidRDefault="0065666F" w:rsidP="00023449">
      <w:pPr>
        <w:pStyle w:val="NormalWeb"/>
        <w:spacing w:before="0" w:beforeAutospacing="0" w:after="0" w:afterAutospacing="0" w:line="23" w:lineRule="atLeast"/>
        <w:jc w:val="both"/>
        <w:rPr>
          <w:rFonts w:asciiTheme="minorHAnsi" w:hAnsiTheme="minorHAnsi" w:cstheme="minorHAnsi"/>
        </w:rPr>
      </w:pPr>
    </w:p>
    <w:p w14:paraId="76307F39" w14:textId="0743CB93" w:rsidR="00023449"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 xml:space="preserve">In parallel, WICS introduced the Market Health Check, an independent assurance process allowing retailers to demonstrate </w:t>
      </w:r>
      <w:r w:rsidR="0047360F">
        <w:rPr>
          <w:rFonts w:asciiTheme="minorHAnsi" w:hAnsiTheme="minorHAnsi" w:cstheme="minorHAnsi"/>
        </w:rPr>
        <w:t>they</w:t>
      </w:r>
      <w:r w:rsidRPr="00023449">
        <w:rPr>
          <w:rFonts w:asciiTheme="minorHAnsi" w:hAnsiTheme="minorHAnsi" w:cstheme="minorHAnsi"/>
        </w:rPr>
        <w:t xml:space="preserve"> </w:t>
      </w:r>
      <w:r w:rsidR="0047360F" w:rsidRPr="0047360F">
        <w:rPr>
          <w:rFonts w:asciiTheme="minorHAnsi" w:hAnsiTheme="minorHAnsi" w:cstheme="minorHAnsi"/>
        </w:rPr>
        <w:t xml:space="preserve">are delivering </w:t>
      </w:r>
      <w:r w:rsidR="003A1513">
        <w:rPr>
          <w:rFonts w:asciiTheme="minorHAnsi" w:hAnsiTheme="minorHAnsi" w:cstheme="minorHAnsi"/>
        </w:rPr>
        <w:t>these enhanced service standards</w:t>
      </w:r>
      <w:r w:rsidRPr="00023449">
        <w:rPr>
          <w:rFonts w:asciiTheme="minorHAnsi" w:hAnsiTheme="minorHAnsi" w:cstheme="minorHAnsi"/>
        </w:rPr>
        <w:t>. These measures support a fair, competitive and sustainable retail market that delivers tangible benefits for business customers.</w:t>
      </w:r>
    </w:p>
    <w:p w14:paraId="0453AF5A" w14:textId="77777777" w:rsidR="0065666F" w:rsidRPr="00023449" w:rsidRDefault="0065666F" w:rsidP="00023449">
      <w:pPr>
        <w:pStyle w:val="NormalWeb"/>
        <w:spacing w:before="0" w:beforeAutospacing="0" w:after="0" w:afterAutospacing="0" w:line="23" w:lineRule="atLeast"/>
        <w:jc w:val="both"/>
        <w:rPr>
          <w:rFonts w:asciiTheme="minorHAnsi" w:hAnsiTheme="minorHAnsi" w:cstheme="minorHAnsi"/>
        </w:rPr>
      </w:pPr>
    </w:p>
    <w:p w14:paraId="3D8DAE0F" w14:textId="77777777" w:rsidR="00023449" w:rsidRPr="00023449" w:rsidRDefault="00023449" w:rsidP="00023449">
      <w:pPr>
        <w:pStyle w:val="Heading30"/>
        <w:spacing w:before="0" w:after="0" w:line="23" w:lineRule="atLeast"/>
        <w:jc w:val="both"/>
        <w:rPr>
          <w:rFonts w:asciiTheme="minorHAnsi" w:hAnsiTheme="minorHAnsi" w:cstheme="minorHAnsi"/>
          <w:sz w:val="24"/>
        </w:rPr>
      </w:pPr>
      <w:r w:rsidRPr="00023449">
        <w:rPr>
          <w:rFonts w:asciiTheme="minorHAnsi" w:hAnsiTheme="minorHAnsi" w:cstheme="minorHAnsi"/>
          <w:sz w:val="24"/>
        </w:rPr>
        <w:t>Knowledge sharing and international engagement</w:t>
      </w:r>
    </w:p>
    <w:p w14:paraId="7F5B5521" w14:textId="77777777" w:rsidR="00023449" w:rsidRPr="00023449"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During 2024–25, WICS refocused its international engagement to support its domestic regulatory priorities. Revenue-generating international consultancy was paused in line with Scottish Government direction. However, WICS continued to contribute to global regulatory learning through networks such as the OECD Network of Economic Regulators, and by sharing Scotland’s regulatory experience with international partners through targeted knowledge-exchange activity.</w:t>
      </w:r>
    </w:p>
    <w:p w14:paraId="6DDDD177" w14:textId="1A7DE86C" w:rsidR="00683FE1" w:rsidRDefault="00023449" w:rsidP="00023449">
      <w:pPr>
        <w:pStyle w:val="NormalWeb"/>
        <w:spacing w:before="0" w:beforeAutospacing="0" w:after="0" w:afterAutospacing="0" w:line="23" w:lineRule="atLeast"/>
        <w:jc w:val="both"/>
        <w:rPr>
          <w:rFonts w:asciiTheme="minorHAnsi" w:hAnsiTheme="minorHAnsi" w:cstheme="minorHAnsi"/>
        </w:rPr>
      </w:pPr>
      <w:r w:rsidRPr="00023449">
        <w:rPr>
          <w:rFonts w:asciiTheme="minorHAnsi" w:hAnsiTheme="minorHAnsi" w:cstheme="minorHAnsi"/>
        </w:rPr>
        <w:t>This ensures that Scottish regulation continues to benefit from international best practice while maintaining a clear focus on domestic sustainability and value for customers.</w:t>
      </w:r>
    </w:p>
    <w:p w14:paraId="6B4A3858" w14:textId="77777777" w:rsidR="00683FE1" w:rsidRDefault="00683FE1">
      <w:pPr>
        <w:spacing w:after="160" w:line="259" w:lineRule="auto"/>
        <w:rPr>
          <w:rFonts w:eastAsia="Times New Roman" w:cstheme="minorHAnsi"/>
          <w:szCs w:val="24"/>
          <w:lang w:eastAsia="en-GB"/>
        </w:rPr>
      </w:pPr>
      <w:r>
        <w:rPr>
          <w:rFonts w:cstheme="minorHAnsi"/>
        </w:rPr>
        <w:br w:type="page"/>
      </w:r>
    </w:p>
    <w:p w14:paraId="5589974A" w14:textId="77777777" w:rsidR="00023449" w:rsidRPr="00023449" w:rsidRDefault="00023449" w:rsidP="00023449">
      <w:pPr>
        <w:pStyle w:val="NormalWeb"/>
        <w:spacing w:before="0" w:beforeAutospacing="0" w:after="0" w:afterAutospacing="0" w:line="23" w:lineRule="atLeast"/>
        <w:jc w:val="both"/>
        <w:rPr>
          <w:rFonts w:asciiTheme="minorHAnsi" w:hAnsiTheme="minorHAnsi" w:cstheme="minorHAnsi"/>
        </w:rPr>
      </w:pPr>
    </w:p>
    <w:p w14:paraId="32C75611" w14:textId="70E9A497" w:rsidR="007E7292" w:rsidRPr="00C723B4" w:rsidRDefault="007E7292" w:rsidP="00C723B4">
      <w:pPr>
        <w:pStyle w:val="Heading10"/>
        <w:numPr>
          <w:ilvl w:val="0"/>
          <w:numId w:val="31"/>
        </w:numPr>
        <w:rPr>
          <w:b/>
          <w:bCs/>
          <w:sz w:val="40"/>
          <w:szCs w:val="40"/>
        </w:rPr>
      </w:pPr>
      <w:bookmarkStart w:id="4" w:name="_Toc215838055"/>
      <w:r w:rsidRPr="00C723B4">
        <w:rPr>
          <w:b/>
          <w:bCs/>
          <w:sz w:val="40"/>
          <w:szCs w:val="40"/>
        </w:rPr>
        <w:t>Steps to improve efficiency, effectiveness and economy</w:t>
      </w:r>
      <w:bookmarkEnd w:id="4"/>
    </w:p>
    <w:p w14:paraId="0BA32336" w14:textId="77777777" w:rsidR="00025AC2" w:rsidRDefault="00025AC2" w:rsidP="00EB3873">
      <w:pPr>
        <w:pStyle w:val="NormalWeb"/>
        <w:spacing w:before="0" w:beforeAutospacing="0" w:after="0" w:afterAutospacing="0" w:line="23" w:lineRule="atLeast"/>
        <w:jc w:val="both"/>
        <w:rPr>
          <w:rFonts w:asciiTheme="minorHAnsi" w:hAnsiTheme="minorHAnsi" w:cstheme="minorHAnsi"/>
        </w:rPr>
      </w:pPr>
      <w:r w:rsidRPr="00EB3873">
        <w:rPr>
          <w:rFonts w:asciiTheme="minorHAnsi" w:hAnsiTheme="minorHAnsi" w:cstheme="minorHAnsi"/>
        </w:rPr>
        <w:t>During 2024–25, WICS delivered a wide-ranging programme of organisational reform in response to the Section 22 report and subsequent parliamentary scrutiny. A revised governance framework and updated Scheme of Delegation were implemented, clearly defining the respective roles of the Board, the Chief Executive and the Executive leadership team.</w:t>
      </w:r>
    </w:p>
    <w:p w14:paraId="7E9F2962" w14:textId="77777777" w:rsidR="00EB3873" w:rsidRPr="00EB3873" w:rsidRDefault="00EB3873" w:rsidP="00EB3873">
      <w:pPr>
        <w:pStyle w:val="NormalWeb"/>
        <w:spacing w:before="0" w:beforeAutospacing="0" w:after="0" w:afterAutospacing="0" w:line="23" w:lineRule="atLeast"/>
        <w:jc w:val="both"/>
        <w:rPr>
          <w:rFonts w:asciiTheme="minorHAnsi" w:hAnsiTheme="minorHAnsi" w:cstheme="minorHAnsi"/>
        </w:rPr>
      </w:pPr>
    </w:p>
    <w:p w14:paraId="0C8A7C7A" w14:textId="77777777" w:rsidR="00025AC2" w:rsidRDefault="00025AC2" w:rsidP="00EB3873">
      <w:pPr>
        <w:pStyle w:val="NormalWeb"/>
        <w:spacing w:before="0" w:beforeAutospacing="0" w:after="0" w:afterAutospacing="0" w:line="23" w:lineRule="atLeast"/>
        <w:jc w:val="both"/>
        <w:rPr>
          <w:rFonts w:asciiTheme="minorHAnsi" w:hAnsiTheme="minorHAnsi" w:cstheme="minorHAnsi"/>
        </w:rPr>
      </w:pPr>
      <w:r w:rsidRPr="00EB3873">
        <w:rPr>
          <w:rFonts w:asciiTheme="minorHAnsi" w:hAnsiTheme="minorHAnsi" w:cstheme="minorHAnsi"/>
        </w:rPr>
        <w:t>Financial controls were significantly strengthened through revised financial, procurement, expenses, training and fraud policies. Cross-functional approval processes were introduced for significant expenditure, and compliance reporting to the Board and Audit and Risk Committee was enhanced. Internal audit providers and Audit Scotland both acknowledged substantial improvements in governance and control arrangements during the year.</w:t>
      </w:r>
    </w:p>
    <w:p w14:paraId="19181C90" w14:textId="77777777" w:rsidR="001F78BF" w:rsidRPr="00EB3873" w:rsidRDefault="001F78BF" w:rsidP="00EB3873">
      <w:pPr>
        <w:pStyle w:val="NormalWeb"/>
        <w:spacing w:before="0" w:beforeAutospacing="0" w:after="0" w:afterAutospacing="0" w:line="23" w:lineRule="atLeast"/>
        <w:jc w:val="both"/>
        <w:rPr>
          <w:rFonts w:asciiTheme="minorHAnsi" w:hAnsiTheme="minorHAnsi" w:cstheme="minorHAnsi"/>
        </w:rPr>
      </w:pPr>
    </w:p>
    <w:p w14:paraId="37D60E17" w14:textId="77777777" w:rsidR="00025AC2" w:rsidRPr="00EB3873" w:rsidRDefault="00025AC2" w:rsidP="00EB3873">
      <w:pPr>
        <w:pStyle w:val="Heading30"/>
        <w:spacing w:before="0" w:after="0" w:line="23" w:lineRule="atLeast"/>
        <w:jc w:val="both"/>
        <w:rPr>
          <w:rFonts w:asciiTheme="minorHAnsi" w:hAnsiTheme="minorHAnsi" w:cstheme="minorHAnsi"/>
          <w:sz w:val="24"/>
        </w:rPr>
      </w:pPr>
      <w:r w:rsidRPr="00EB3873">
        <w:rPr>
          <w:rFonts w:asciiTheme="minorHAnsi" w:hAnsiTheme="minorHAnsi" w:cstheme="minorHAnsi"/>
          <w:sz w:val="24"/>
        </w:rPr>
        <w:t>Delivering value for money</w:t>
      </w:r>
    </w:p>
    <w:p w14:paraId="2CF106DD" w14:textId="4EE581E5" w:rsidR="00025AC2" w:rsidRDefault="00025AC2" w:rsidP="00EB3873">
      <w:pPr>
        <w:pStyle w:val="NormalWeb"/>
        <w:spacing w:before="0" w:beforeAutospacing="0" w:after="0" w:afterAutospacing="0" w:line="23" w:lineRule="atLeast"/>
        <w:jc w:val="both"/>
        <w:rPr>
          <w:rFonts w:asciiTheme="minorHAnsi" w:hAnsiTheme="minorHAnsi" w:cstheme="minorHAnsi"/>
        </w:rPr>
      </w:pPr>
      <w:r w:rsidRPr="00EB3873">
        <w:rPr>
          <w:rFonts w:asciiTheme="minorHAnsi" w:hAnsiTheme="minorHAnsi" w:cstheme="minorHAnsi"/>
        </w:rPr>
        <w:t>WICS restructured its senior leadership into four directorates, creating a smaller and more accountable senior team. Executive pay was realigned with public sector benchmarks, delivering recurring savings that were reinvested into building internal capability and reducing reliance on consultants.</w:t>
      </w:r>
      <w:r w:rsidR="002B1F87">
        <w:rPr>
          <w:rFonts w:asciiTheme="minorHAnsi" w:hAnsiTheme="minorHAnsi" w:cstheme="minorHAnsi"/>
        </w:rPr>
        <w:t xml:space="preserve"> </w:t>
      </w:r>
      <w:r w:rsidRPr="00EB3873">
        <w:rPr>
          <w:rFonts w:asciiTheme="minorHAnsi" w:hAnsiTheme="minorHAnsi" w:cstheme="minorHAnsi"/>
        </w:rPr>
        <w:t xml:space="preserve">Key regulatory work, including the SRC27 methodology, was </w:t>
      </w:r>
      <w:r w:rsidR="00B51014">
        <w:rPr>
          <w:rFonts w:asciiTheme="minorHAnsi" w:hAnsiTheme="minorHAnsi" w:cstheme="minorHAnsi"/>
        </w:rPr>
        <w:t>delivered entirely</w:t>
      </w:r>
      <w:r w:rsidRPr="00EB3873">
        <w:rPr>
          <w:rFonts w:asciiTheme="minorHAnsi" w:hAnsiTheme="minorHAnsi" w:cstheme="minorHAnsi"/>
        </w:rPr>
        <w:t xml:space="preserve"> in-house. The use of Scottish Government procurement frameworks for IT, professional services and support functions reduced overheads while maintaining service quality. </w:t>
      </w:r>
    </w:p>
    <w:p w14:paraId="3E2C1DF8" w14:textId="77777777" w:rsidR="002B1F87" w:rsidRPr="00EB3873" w:rsidRDefault="002B1F87" w:rsidP="00EB3873">
      <w:pPr>
        <w:pStyle w:val="NormalWeb"/>
        <w:spacing w:before="0" w:beforeAutospacing="0" w:after="0" w:afterAutospacing="0" w:line="23" w:lineRule="atLeast"/>
        <w:jc w:val="both"/>
        <w:rPr>
          <w:rFonts w:asciiTheme="minorHAnsi" w:hAnsiTheme="minorHAnsi" w:cstheme="minorHAnsi"/>
        </w:rPr>
      </w:pPr>
    </w:p>
    <w:p w14:paraId="35A1139E" w14:textId="77777777" w:rsidR="00025AC2" w:rsidRPr="00EB3873" w:rsidRDefault="00025AC2" w:rsidP="00EB3873">
      <w:pPr>
        <w:pStyle w:val="Heading30"/>
        <w:spacing w:before="0" w:after="0" w:line="23" w:lineRule="atLeast"/>
        <w:jc w:val="both"/>
        <w:rPr>
          <w:rFonts w:asciiTheme="minorHAnsi" w:hAnsiTheme="minorHAnsi" w:cstheme="minorHAnsi"/>
          <w:sz w:val="24"/>
        </w:rPr>
      </w:pPr>
      <w:r w:rsidRPr="00EB3873">
        <w:rPr>
          <w:rFonts w:asciiTheme="minorHAnsi" w:hAnsiTheme="minorHAnsi" w:cstheme="minorHAnsi"/>
          <w:sz w:val="24"/>
        </w:rPr>
        <w:t>Shared services, accommodation and digital efficiency</w:t>
      </w:r>
    </w:p>
    <w:p w14:paraId="1670F102" w14:textId="71AF3C36" w:rsidR="00025AC2" w:rsidRDefault="00025AC2" w:rsidP="00EB3873">
      <w:pPr>
        <w:pStyle w:val="NormalWeb"/>
        <w:spacing w:before="0" w:beforeAutospacing="0" w:after="0" w:afterAutospacing="0" w:line="23" w:lineRule="atLeast"/>
        <w:jc w:val="both"/>
        <w:rPr>
          <w:rFonts w:asciiTheme="minorHAnsi" w:hAnsiTheme="minorHAnsi" w:cstheme="minorHAnsi"/>
        </w:rPr>
      </w:pPr>
      <w:r w:rsidRPr="00EB3873">
        <w:rPr>
          <w:rFonts w:asciiTheme="minorHAnsi" w:hAnsiTheme="minorHAnsi" w:cstheme="minorHAnsi"/>
        </w:rPr>
        <w:t>WICS adopted wider shared services arrangements during the year, including shared accommodation. This supported better use of public assets and reduced operating costs. IT systems were further optimised following earlier migration to cloud-based infrastructure, delivering ongoing annual savings while maintaining cyber resilience.</w:t>
      </w:r>
      <w:r w:rsidR="002B1F87">
        <w:rPr>
          <w:rFonts w:asciiTheme="minorHAnsi" w:hAnsiTheme="minorHAnsi" w:cstheme="minorHAnsi"/>
        </w:rPr>
        <w:t xml:space="preserve"> </w:t>
      </w:r>
      <w:r w:rsidRPr="00EB3873">
        <w:rPr>
          <w:rFonts w:asciiTheme="minorHAnsi" w:hAnsiTheme="minorHAnsi" w:cstheme="minorHAnsi"/>
        </w:rPr>
        <w:t>Hybrid working was embedded as the standard operating model, supporting staff wellbeing while reducing travel, accommodation and estate costs.</w:t>
      </w:r>
    </w:p>
    <w:p w14:paraId="76D9D147" w14:textId="77777777" w:rsidR="002B1F87" w:rsidRPr="00EB3873" w:rsidRDefault="002B1F87" w:rsidP="00EB3873">
      <w:pPr>
        <w:pStyle w:val="NormalWeb"/>
        <w:spacing w:before="0" w:beforeAutospacing="0" w:after="0" w:afterAutospacing="0" w:line="23" w:lineRule="atLeast"/>
        <w:jc w:val="both"/>
        <w:rPr>
          <w:rFonts w:asciiTheme="minorHAnsi" w:hAnsiTheme="minorHAnsi" w:cstheme="minorHAnsi"/>
        </w:rPr>
      </w:pPr>
    </w:p>
    <w:p w14:paraId="05DA984C" w14:textId="77777777" w:rsidR="00025AC2" w:rsidRPr="00EB3873" w:rsidRDefault="00025AC2" w:rsidP="00EB3873">
      <w:pPr>
        <w:pStyle w:val="Heading30"/>
        <w:spacing w:before="0" w:after="0" w:line="23" w:lineRule="atLeast"/>
        <w:jc w:val="both"/>
        <w:rPr>
          <w:rFonts w:asciiTheme="minorHAnsi" w:hAnsiTheme="minorHAnsi" w:cstheme="minorHAnsi"/>
          <w:sz w:val="24"/>
        </w:rPr>
      </w:pPr>
      <w:r w:rsidRPr="00EB3873">
        <w:rPr>
          <w:rFonts w:asciiTheme="minorHAnsi" w:hAnsiTheme="minorHAnsi" w:cstheme="minorHAnsi"/>
          <w:sz w:val="24"/>
        </w:rPr>
        <w:t>Cyber resilience and risk management</w:t>
      </w:r>
    </w:p>
    <w:p w14:paraId="672E0685" w14:textId="6CA75072" w:rsidR="00025AC2" w:rsidRDefault="002B1F87" w:rsidP="00EB3873">
      <w:pPr>
        <w:pStyle w:val="NormalWeb"/>
        <w:spacing w:before="0" w:beforeAutospacing="0" w:after="0" w:afterAutospacing="0" w:line="23" w:lineRule="atLeast"/>
        <w:jc w:val="both"/>
        <w:rPr>
          <w:rFonts w:asciiTheme="minorHAnsi" w:hAnsiTheme="minorHAnsi" w:cstheme="minorHAnsi"/>
        </w:rPr>
      </w:pPr>
      <w:r>
        <w:rPr>
          <w:rFonts w:asciiTheme="minorHAnsi" w:hAnsiTheme="minorHAnsi" w:cstheme="minorHAnsi"/>
        </w:rPr>
        <w:t>Cybersecurity</w:t>
      </w:r>
      <w:r w:rsidR="00025AC2" w:rsidRPr="00EB3873">
        <w:rPr>
          <w:rFonts w:asciiTheme="minorHAnsi" w:hAnsiTheme="minorHAnsi" w:cstheme="minorHAnsi"/>
        </w:rPr>
        <w:t xml:space="preserve"> remained a key organisational priority. WICS successfully renewed its Cyber Essentials Plus accreditation, strengthened Board-level oversight of cyber risk, and delivered mandatory cyber awareness training for all staff and Board members.</w:t>
      </w:r>
      <w:r>
        <w:rPr>
          <w:rFonts w:asciiTheme="minorHAnsi" w:hAnsiTheme="minorHAnsi" w:cstheme="minorHAnsi"/>
        </w:rPr>
        <w:t xml:space="preserve"> </w:t>
      </w:r>
      <w:r w:rsidR="00025AC2" w:rsidRPr="00EB3873">
        <w:rPr>
          <w:rFonts w:asciiTheme="minorHAnsi" w:hAnsiTheme="minorHAnsi" w:cstheme="minorHAnsi"/>
        </w:rPr>
        <w:t xml:space="preserve">A revised risk management framework was introduced, aligned </w:t>
      </w:r>
      <w:r>
        <w:rPr>
          <w:rFonts w:asciiTheme="minorHAnsi" w:hAnsiTheme="minorHAnsi" w:cstheme="minorHAnsi"/>
        </w:rPr>
        <w:t>with</w:t>
      </w:r>
      <w:r w:rsidR="00025AC2" w:rsidRPr="00EB3873">
        <w:rPr>
          <w:rFonts w:asciiTheme="minorHAnsi" w:hAnsiTheme="minorHAnsi" w:cstheme="minorHAnsi"/>
        </w:rPr>
        <w:t xml:space="preserve"> the organisation’s strategic objectives. This strengthened WICS’ ability to identify, monitor</w:t>
      </w:r>
      <w:r>
        <w:rPr>
          <w:rFonts w:asciiTheme="minorHAnsi" w:hAnsiTheme="minorHAnsi" w:cstheme="minorHAnsi"/>
        </w:rPr>
        <w:t>, and mitigate financial, operational, regulatory, and reputational risks in a proportionate and structured manner</w:t>
      </w:r>
      <w:r w:rsidR="00025AC2" w:rsidRPr="00EB3873">
        <w:rPr>
          <w:rFonts w:asciiTheme="minorHAnsi" w:hAnsiTheme="minorHAnsi" w:cstheme="minorHAnsi"/>
        </w:rPr>
        <w:t>.</w:t>
      </w:r>
    </w:p>
    <w:p w14:paraId="519742BE" w14:textId="77777777" w:rsidR="002B1F87" w:rsidRPr="00EB3873" w:rsidRDefault="002B1F87" w:rsidP="00EB3873">
      <w:pPr>
        <w:pStyle w:val="NormalWeb"/>
        <w:spacing w:before="0" w:beforeAutospacing="0" w:after="0" w:afterAutospacing="0" w:line="23" w:lineRule="atLeast"/>
        <w:jc w:val="both"/>
        <w:rPr>
          <w:rFonts w:asciiTheme="minorHAnsi" w:hAnsiTheme="minorHAnsi" w:cstheme="minorHAnsi"/>
        </w:rPr>
      </w:pPr>
    </w:p>
    <w:p w14:paraId="6BBCFB9F" w14:textId="77777777" w:rsidR="00025AC2" w:rsidRPr="00EB3873" w:rsidRDefault="00025AC2" w:rsidP="00EB3873">
      <w:pPr>
        <w:pStyle w:val="Heading30"/>
        <w:spacing w:before="0" w:after="0" w:line="23" w:lineRule="atLeast"/>
        <w:jc w:val="both"/>
        <w:rPr>
          <w:rFonts w:asciiTheme="minorHAnsi" w:hAnsiTheme="minorHAnsi" w:cstheme="minorHAnsi"/>
          <w:sz w:val="24"/>
        </w:rPr>
      </w:pPr>
      <w:r w:rsidRPr="00EB3873">
        <w:rPr>
          <w:rFonts w:asciiTheme="minorHAnsi" w:hAnsiTheme="minorHAnsi" w:cstheme="minorHAnsi"/>
          <w:sz w:val="24"/>
        </w:rPr>
        <w:t>Transparency, accountability and assurance</w:t>
      </w:r>
    </w:p>
    <w:p w14:paraId="3CB36C96" w14:textId="56738E0F" w:rsidR="00BC0250" w:rsidRPr="009E14E0" w:rsidRDefault="00025AC2" w:rsidP="009E14E0">
      <w:pPr>
        <w:pStyle w:val="NormalWeb"/>
        <w:spacing w:before="0" w:beforeAutospacing="0" w:after="0" w:afterAutospacing="0" w:line="23" w:lineRule="atLeast"/>
        <w:jc w:val="both"/>
        <w:rPr>
          <w:rFonts w:asciiTheme="minorHAnsi" w:hAnsiTheme="minorHAnsi" w:cstheme="minorHAnsi"/>
        </w:rPr>
      </w:pPr>
      <w:r w:rsidRPr="00EB3873">
        <w:rPr>
          <w:rFonts w:asciiTheme="minorHAnsi" w:hAnsiTheme="minorHAnsi" w:cstheme="minorHAnsi"/>
        </w:rPr>
        <w:t>WICS actively engaged with Audit Scotland, the Public Audit Committee and the Scottish Government throughout the year. It supported the Scottish Government’s independent review and responded transparently to parliamentary scrutiny.</w:t>
      </w:r>
      <w:r w:rsidR="002B1F87">
        <w:rPr>
          <w:rFonts w:asciiTheme="minorHAnsi" w:hAnsiTheme="minorHAnsi" w:cstheme="minorHAnsi"/>
        </w:rPr>
        <w:t xml:space="preserve"> </w:t>
      </w:r>
      <w:r w:rsidRPr="00EB3873">
        <w:rPr>
          <w:rFonts w:asciiTheme="minorHAnsi" w:hAnsiTheme="minorHAnsi" w:cstheme="minorHAnsi"/>
        </w:rPr>
        <w:t>Whistleblowing arrangements were strengthened internally and externally. One external whistleblowing report relating to Scottish Water was investigated during the year and closed following a full independent review.</w:t>
      </w:r>
      <w:r w:rsidR="009E14E0">
        <w:rPr>
          <w:rFonts w:asciiTheme="minorHAnsi" w:hAnsiTheme="minorHAnsi" w:cstheme="minorHAnsi"/>
        </w:rPr>
        <w:t xml:space="preserve"> </w:t>
      </w:r>
      <w:r w:rsidRPr="00EB3873">
        <w:rPr>
          <w:rFonts w:asciiTheme="minorHAnsi" w:hAnsiTheme="minorHAnsi" w:cstheme="minorHAnsi"/>
        </w:rPr>
        <w:t>WICS continued to publish regulatory reports, performance assessments and consultation materials openly, reinforcing its commitment to transparency and public accountability.</w:t>
      </w:r>
    </w:p>
    <w:p w14:paraId="4DBC0CC9" w14:textId="3D5A7788" w:rsidR="007E7292" w:rsidRPr="00C723B4" w:rsidRDefault="007E7292" w:rsidP="00C723B4">
      <w:pPr>
        <w:pStyle w:val="Heading10"/>
        <w:numPr>
          <w:ilvl w:val="0"/>
          <w:numId w:val="31"/>
        </w:numPr>
        <w:rPr>
          <w:b/>
          <w:bCs/>
          <w:sz w:val="40"/>
          <w:szCs w:val="40"/>
        </w:rPr>
      </w:pPr>
      <w:bookmarkStart w:id="5" w:name="_Toc215838056"/>
      <w:r w:rsidRPr="00C723B4">
        <w:rPr>
          <w:b/>
          <w:bCs/>
          <w:sz w:val="40"/>
          <w:szCs w:val="40"/>
        </w:rPr>
        <w:lastRenderedPageBreak/>
        <w:t>Expenditure information</w:t>
      </w:r>
      <w:bookmarkEnd w:id="5"/>
    </w:p>
    <w:p w14:paraId="4E363A3F" w14:textId="2578D9C0" w:rsidR="007C1BEF" w:rsidRPr="0018556E" w:rsidRDefault="007C1BEF" w:rsidP="0018556E">
      <w:pPr>
        <w:spacing w:line="23" w:lineRule="atLeast"/>
        <w:jc w:val="both"/>
        <w:rPr>
          <w:rFonts w:cstheme="minorHAnsi"/>
          <w:color w:val="000000" w:themeColor="text1"/>
          <w:szCs w:val="20"/>
        </w:rPr>
      </w:pPr>
      <w:r w:rsidRPr="0018556E">
        <w:rPr>
          <w:rFonts w:cstheme="minorHAnsi"/>
          <w:color w:val="000000" w:themeColor="text1"/>
          <w:szCs w:val="20"/>
        </w:rPr>
        <w:t xml:space="preserve">All </w:t>
      </w:r>
      <w:r w:rsidR="00BC0250" w:rsidRPr="0018556E">
        <w:rPr>
          <w:rFonts w:cstheme="minorHAnsi"/>
          <w:color w:val="000000" w:themeColor="text1"/>
          <w:szCs w:val="20"/>
        </w:rPr>
        <w:t>expenditures</w:t>
      </w:r>
      <w:r w:rsidRPr="0018556E">
        <w:rPr>
          <w:rFonts w:cstheme="minorHAnsi"/>
          <w:color w:val="000000" w:themeColor="text1"/>
          <w:szCs w:val="20"/>
        </w:rPr>
        <w:t xml:space="preserve"> disclosed in the sections below include VAT</w:t>
      </w:r>
      <w:r w:rsidR="00490E1F">
        <w:rPr>
          <w:rFonts w:cstheme="minorHAnsi"/>
          <w:color w:val="000000" w:themeColor="text1"/>
          <w:szCs w:val="20"/>
        </w:rPr>
        <w:t>, as WICS is not VAT registered</w:t>
      </w:r>
      <w:r w:rsidRPr="0018556E">
        <w:rPr>
          <w:rFonts w:cstheme="minorHAnsi"/>
          <w:color w:val="000000" w:themeColor="text1"/>
          <w:szCs w:val="20"/>
        </w:rPr>
        <w:t xml:space="preserve">. </w:t>
      </w:r>
    </w:p>
    <w:p w14:paraId="699AAE2F" w14:textId="77777777" w:rsidR="007C1BEF" w:rsidRPr="0018556E" w:rsidRDefault="007C1BEF" w:rsidP="0018556E">
      <w:pPr>
        <w:spacing w:line="23" w:lineRule="atLeast"/>
        <w:jc w:val="both"/>
        <w:rPr>
          <w:rFonts w:cstheme="minorHAnsi"/>
          <w:color w:val="000000" w:themeColor="text1"/>
          <w:szCs w:val="20"/>
        </w:rPr>
      </w:pPr>
    </w:p>
    <w:p w14:paraId="3EA33212" w14:textId="3DB27AC8" w:rsidR="007E7292" w:rsidRPr="0018556E" w:rsidRDefault="00ED0985" w:rsidP="0018556E">
      <w:pPr>
        <w:pStyle w:val="Heading20"/>
        <w:spacing w:before="0" w:after="0" w:line="23" w:lineRule="atLeast"/>
        <w:jc w:val="both"/>
        <w:rPr>
          <w:rFonts w:cstheme="minorHAnsi"/>
        </w:rPr>
      </w:pPr>
      <w:bookmarkStart w:id="6" w:name="_Toc215838057"/>
      <w:r w:rsidRPr="0018556E">
        <w:rPr>
          <w:rFonts w:cstheme="minorHAnsi"/>
        </w:rPr>
        <w:t xml:space="preserve">3.1 </w:t>
      </w:r>
      <w:r w:rsidR="007E7292" w:rsidRPr="0018556E">
        <w:rPr>
          <w:rFonts w:cstheme="minorHAnsi"/>
        </w:rPr>
        <w:t>Public relations</w:t>
      </w:r>
      <w:bookmarkEnd w:id="6"/>
    </w:p>
    <w:p w14:paraId="0447F12A" w14:textId="04305E89" w:rsidR="00BC1B3E" w:rsidRDefault="002E059D" w:rsidP="0018556E">
      <w:pPr>
        <w:spacing w:line="23" w:lineRule="atLeast"/>
        <w:jc w:val="both"/>
        <w:rPr>
          <w:rFonts w:cstheme="minorHAnsi"/>
          <w:color w:val="000000" w:themeColor="text1"/>
          <w:szCs w:val="20"/>
        </w:rPr>
      </w:pPr>
      <w:r w:rsidRPr="0018556E">
        <w:rPr>
          <w:rFonts w:cstheme="minorHAnsi"/>
          <w:color w:val="000000" w:themeColor="text1"/>
          <w:szCs w:val="20"/>
        </w:rPr>
        <w:t xml:space="preserve">WICS </w:t>
      </w:r>
      <w:r w:rsidR="00D214BB" w:rsidRPr="0018556E">
        <w:rPr>
          <w:rFonts w:cstheme="minorHAnsi"/>
          <w:color w:val="000000" w:themeColor="text1"/>
          <w:szCs w:val="20"/>
        </w:rPr>
        <w:t>must</w:t>
      </w:r>
      <w:r w:rsidRPr="0018556E">
        <w:rPr>
          <w:rFonts w:cstheme="minorHAnsi"/>
          <w:color w:val="000000" w:themeColor="text1"/>
          <w:szCs w:val="20"/>
        </w:rPr>
        <w:t xml:space="preserve"> publish a</w:t>
      </w:r>
      <w:r w:rsidR="007C1BEF" w:rsidRPr="0018556E">
        <w:rPr>
          <w:rFonts w:cstheme="minorHAnsi"/>
          <w:color w:val="000000" w:themeColor="text1"/>
          <w:szCs w:val="20"/>
        </w:rPr>
        <w:t xml:space="preserve"> statement of expenditure during the year on all external communications, including the cost of in-house and contracted staff and consultants. Expenditure on 'public relations' includes (for example) marketing, PR campaigns, media relations, marketing research and evaluation, branding and design, promotional events, external events, conferences and exhibitions, corporate communications, sponsorship, publications and printing, digital communications, advertising and media planning.</w:t>
      </w:r>
      <w:r w:rsidR="008479F1">
        <w:rPr>
          <w:rFonts w:cstheme="minorHAnsi"/>
          <w:color w:val="000000" w:themeColor="text1"/>
          <w:szCs w:val="20"/>
        </w:rPr>
        <w:t xml:space="preserve"> </w:t>
      </w:r>
      <w:r w:rsidR="008F1DD1" w:rsidRPr="0018556E">
        <w:rPr>
          <w:rFonts w:cstheme="minorHAnsi"/>
          <w:color w:val="000000" w:themeColor="text1"/>
          <w:szCs w:val="20"/>
        </w:rPr>
        <w:t>The following categories of expenditure incurred by WICS relate to</w:t>
      </w:r>
      <w:r w:rsidRPr="0018556E">
        <w:rPr>
          <w:rFonts w:cstheme="minorHAnsi"/>
          <w:color w:val="000000" w:themeColor="text1"/>
          <w:szCs w:val="20"/>
        </w:rPr>
        <w:t xml:space="preserve"> </w:t>
      </w:r>
      <w:r w:rsidR="008F1DD1" w:rsidRPr="0018556E">
        <w:rPr>
          <w:rFonts w:cstheme="minorHAnsi"/>
          <w:color w:val="000000" w:themeColor="text1"/>
          <w:szCs w:val="20"/>
        </w:rPr>
        <w:t>public relations</w:t>
      </w:r>
      <w:r w:rsidR="00490E1F">
        <w:rPr>
          <w:rFonts w:cstheme="minorHAnsi"/>
          <w:color w:val="000000" w:themeColor="text1"/>
          <w:szCs w:val="20"/>
        </w:rPr>
        <w:t>:</w:t>
      </w:r>
    </w:p>
    <w:p w14:paraId="59A36332" w14:textId="77777777" w:rsidR="008479F1" w:rsidRPr="0018556E" w:rsidRDefault="008479F1" w:rsidP="0018556E">
      <w:pPr>
        <w:spacing w:line="23" w:lineRule="atLeast"/>
        <w:jc w:val="both"/>
        <w:rPr>
          <w:rFonts w:cstheme="minorHAnsi"/>
          <w:color w:val="000000" w:themeColor="text1"/>
          <w:szCs w:val="20"/>
        </w:rPr>
      </w:pPr>
    </w:p>
    <w:tbl>
      <w:tblPr>
        <w:tblStyle w:val="Blueline"/>
        <w:tblW w:w="7740" w:type="dxa"/>
        <w:tblInd w:w="-90" w:type="dxa"/>
        <w:tblLook w:val="04E0" w:firstRow="1" w:lastRow="1" w:firstColumn="1" w:lastColumn="0" w:noHBand="0" w:noVBand="1"/>
      </w:tblPr>
      <w:tblGrid>
        <w:gridCol w:w="4410"/>
        <w:gridCol w:w="1620"/>
        <w:gridCol w:w="1710"/>
      </w:tblGrid>
      <w:tr w:rsidR="00A22C84" w:rsidRPr="0018556E" w14:paraId="5C09736F" w14:textId="77777777" w:rsidTr="00A22C84">
        <w:trPr>
          <w:cnfStyle w:val="100000000000" w:firstRow="1" w:lastRow="0" w:firstColumn="0" w:lastColumn="0" w:oddVBand="0" w:evenVBand="0" w:oddHBand="0" w:evenHBand="0" w:firstRowFirstColumn="0" w:firstRowLastColumn="0" w:lastRowFirstColumn="0" w:lastRowLastColumn="0"/>
        </w:trPr>
        <w:tc>
          <w:tcPr>
            <w:tcW w:w="4410" w:type="dxa"/>
          </w:tcPr>
          <w:p w14:paraId="56FB8AAF" w14:textId="77777777" w:rsidR="00A22C84" w:rsidRPr="0018556E" w:rsidRDefault="00A22C84" w:rsidP="0018556E">
            <w:pPr>
              <w:spacing w:line="23" w:lineRule="atLeast"/>
              <w:jc w:val="both"/>
              <w:rPr>
                <w:rFonts w:asciiTheme="minorHAnsi" w:hAnsiTheme="minorHAnsi" w:cstheme="minorHAnsi"/>
              </w:rPr>
            </w:pPr>
            <w:r w:rsidRPr="0018556E">
              <w:rPr>
                <w:rFonts w:asciiTheme="minorHAnsi" w:hAnsiTheme="minorHAnsi" w:cstheme="minorHAnsi"/>
              </w:rPr>
              <w:t>Expenditure type</w:t>
            </w:r>
          </w:p>
        </w:tc>
        <w:tc>
          <w:tcPr>
            <w:tcW w:w="1620" w:type="dxa"/>
          </w:tcPr>
          <w:p w14:paraId="0B043EC8" w14:textId="5A0E73CF" w:rsidR="00A22C84" w:rsidRPr="0018556E" w:rsidRDefault="00A22C84" w:rsidP="00216B28">
            <w:pPr>
              <w:spacing w:line="23" w:lineRule="atLeast"/>
              <w:jc w:val="right"/>
              <w:rPr>
                <w:rFonts w:asciiTheme="minorHAnsi" w:hAnsiTheme="minorHAnsi" w:cstheme="minorHAnsi"/>
                <w:b w:val="0"/>
              </w:rPr>
            </w:pPr>
            <w:r w:rsidRPr="0018556E">
              <w:rPr>
                <w:rFonts w:asciiTheme="minorHAnsi" w:hAnsiTheme="minorHAnsi" w:cstheme="minorHAnsi"/>
              </w:rPr>
              <w:t>2024-25 (£)</w:t>
            </w:r>
          </w:p>
        </w:tc>
        <w:tc>
          <w:tcPr>
            <w:tcW w:w="1710" w:type="dxa"/>
          </w:tcPr>
          <w:p w14:paraId="7830E1C5" w14:textId="1761BE03" w:rsidR="00A22C84" w:rsidRPr="0018556E" w:rsidRDefault="00A22C84" w:rsidP="00216B28">
            <w:pPr>
              <w:spacing w:line="23" w:lineRule="atLeast"/>
              <w:jc w:val="right"/>
              <w:rPr>
                <w:rFonts w:asciiTheme="minorHAnsi" w:hAnsiTheme="minorHAnsi" w:cstheme="minorHAnsi"/>
              </w:rPr>
            </w:pPr>
            <w:r w:rsidRPr="0018556E">
              <w:rPr>
                <w:rFonts w:asciiTheme="minorHAnsi" w:hAnsiTheme="minorHAnsi" w:cstheme="minorHAnsi"/>
              </w:rPr>
              <w:t>2023-24 (£)</w:t>
            </w:r>
          </w:p>
        </w:tc>
      </w:tr>
      <w:tr w:rsidR="00A22C84" w:rsidRPr="0018556E" w14:paraId="7BD632E7" w14:textId="77777777" w:rsidTr="00A22C84">
        <w:tc>
          <w:tcPr>
            <w:tcW w:w="4410" w:type="dxa"/>
          </w:tcPr>
          <w:p w14:paraId="719E4003" w14:textId="67398DEC" w:rsidR="00A22C84" w:rsidRPr="0018556E" w:rsidRDefault="00A22C84" w:rsidP="0018556E">
            <w:pPr>
              <w:spacing w:line="23" w:lineRule="atLeast"/>
              <w:jc w:val="both"/>
              <w:rPr>
                <w:rFonts w:cstheme="minorHAnsi"/>
              </w:rPr>
            </w:pPr>
            <w:r w:rsidRPr="0018556E">
              <w:rPr>
                <w:rFonts w:cstheme="minorHAnsi"/>
              </w:rPr>
              <w:t>External media support</w:t>
            </w:r>
          </w:p>
        </w:tc>
        <w:tc>
          <w:tcPr>
            <w:tcW w:w="1620" w:type="dxa"/>
          </w:tcPr>
          <w:p w14:paraId="5F0AB95C" w14:textId="1ED93387" w:rsidR="00A22C84" w:rsidRPr="0018556E" w:rsidRDefault="00125EDC" w:rsidP="00216B28">
            <w:pPr>
              <w:spacing w:line="23" w:lineRule="atLeast"/>
              <w:jc w:val="right"/>
              <w:rPr>
                <w:rFonts w:cstheme="minorHAnsi"/>
              </w:rPr>
            </w:pPr>
            <w:r>
              <w:rPr>
                <w:rFonts w:cstheme="minorHAnsi"/>
              </w:rPr>
              <w:t>48,720</w:t>
            </w:r>
          </w:p>
        </w:tc>
        <w:tc>
          <w:tcPr>
            <w:tcW w:w="1710" w:type="dxa"/>
          </w:tcPr>
          <w:p w14:paraId="2BE2071A" w14:textId="1BC33F9A" w:rsidR="00A22C84" w:rsidRPr="0018556E" w:rsidRDefault="00A22C84" w:rsidP="00216B28">
            <w:pPr>
              <w:spacing w:line="23" w:lineRule="atLeast"/>
              <w:jc w:val="right"/>
              <w:rPr>
                <w:rFonts w:cstheme="minorHAnsi"/>
              </w:rPr>
            </w:pPr>
            <w:r w:rsidRPr="0018556E">
              <w:rPr>
                <w:rFonts w:cstheme="minorHAnsi"/>
              </w:rPr>
              <w:t>26,220</w:t>
            </w:r>
          </w:p>
        </w:tc>
      </w:tr>
      <w:tr w:rsidR="00A22C84" w:rsidRPr="0018556E" w14:paraId="551E7285" w14:textId="77777777" w:rsidTr="00A22C84">
        <w:tc>
          <w:tcPr>
            <w:tcW w:w="4410" w:type="dxa"/>
          </w:tcPr>
          <w:p w14:paraId="72E7D678" w14:textId="2553538C" w:rsidR="00A22C84" w:rsidRPr="0018556E" w:rsidRDefault="00A22C84" w:rsidP="0018556E">
            <w:pPr>
              <w:spacing w:line="23" w:lineRule="atLeast"/>
              <w:jc w:val="both"/>
              <w:rPr>
                <w:rFonts w:cstheme="minorHAnsi"/>
              </w:rPr>
            </w:pPr>
            <w:r w:rsidRPr="0018556E">
              <w:rPr>
                <w:rFonts w:cstheme="minorHAnsi"/>
              </w:rPr>
              <w:t>Website hosting</w:t>
            </w:r>
            <w:r w:rsidRPr="0018556E">
              <w:rPr>
                <w:rStyle w:val="FootnoteReference"/>
                <w:rFonts w:cstheme="minorHAnsi"/>
              </w:rPr>
              <w:footnoteReference w:id="2"/>
            </w:r>
          </w:p>
        </w:tc>
        <w:tc>
          <w:tcPr>
            <w:tcW w:w="1620" w:type="dxa"/>
          </w:tcPr>
          <w:p w14:paraId="431BB7EC" w14:textId="7B1CB9FE" w:rsidR="00A22C84" w:rsidRPr="0018556E" w:rsidRDefault="009367AD" w:rsidP="00216B28">
            <w:pPr>
              <w:spacing w:line="23" w:lineRule="atLeast"/>
              <w:jc w:val="right"/>
              <w:rPr>
                <w:rFonts w:cstheme="minorHAnsi"/>
              </w:rPr>
            </w:pPr>
            <w:r>
              <w:rPr>
                <w:rFonts w:cstheme="minorHAnsi"/>
              </w:rPr>
              <w:t>6,486</w:t>
            </w:r>
          </w:p>
        </w:tc>
        <w:tc>
          <w:tcPr>
            <w:tcW w:w="1710" w:type="dxa"/>
          </w:tcPr>
          <w:p w14:paraId="2D6C6043" w14:textId="2C6BA780" w:rsidR="00A22C84" w:rsidRPr="0018556E" w:rsidRDefault="00A22C84" w:rsidP="00216B28">
            <w:pPr>
              <w:spacing w:line="23" w:lineRule="atLeast"/>
              <w:jc w:val="right"/>
              <w:rPr>
                <w:rFonts w:cstheme="minorHAnsi"/>
              </w:rPr>
            </w:pPr>
            <w:r w:rsidRPr="0018556E">
              <w:rPr>
                <w:rFonts w:cstheme="minorHAnsi"/>
              </w:rPr>
              <w:t>4,633</w:t>
            </w:r>
          </w:p>
        </w:tc>
      </w:tr>
      <w:tr w:rsidR="00A22C84" w:rsidRPr="0018556E" w14:paraId="3742EB17" w14:textId="77777777" w:rsidTr="00A22C84">
        <w:trPr>
          <w:cnfStyle w:val="010000000000" w:firstRow="0" w:lastRow="1" w:firstColumn="0" w:lastColumn="0" w:oddVBand="0" w:evenVBand="0" w:oddHBand="0" w:evenHBand="0" w:firstRowFirstColumn="0" w:firstRowLastColumn="0" w:lastRowFirstColumn="0" w:lastRowLastColumn="0"/>
        </w:trPr>
        <w:tc>
          <w:tcPr>
            <w:tcW w:w="4410" w:type="dxa"/>
          </w:tcPr>
          <w:p w14:paraId="3C09927D" w14:textId="30BEC358" w:rsidR="00A22C84" w:rsidRPr="0018556E" w:rsidRDefault="00A22C84" w:rsidP="0018556E">
            <w:pPr>
              <w:spacing w:line="23" w:lineRule="atLeast"/>
              <w:jc w:val="both"/>
              <w:rPr>
                <w:rFonts w:cstheme="minorHAnsi"/>
              </w:rPr>
            </w:pPr>
            <w:r w:rsidRPr="0018556E">
              <w:rPr>
                <w:rFonts w:cstheme="minorHAnsi"/>
              </w:rPr>
              <w:t>Website development and maintenance</w:t>
            </w:r>
          </w:p>
        </w:tc>
        <w:tc>
          <w:tcPr>
            <w:tcW w:w="1620" w:type="dxa"/>
          </w:tcPr>
          <w:p w14:paraId="5645991B" w14:textId="3DB27DD8" w:rsidR="00A22C84" w:rsidRPr="0018556E" w:rsidRDefault="009367AD" w:rsidP="009367AD">
            <w:pPr>
              <w:spacing w:line="23" w:lineRule="atLeast"/>
              <w:jc w:val="right"/>
              <w:rPr>
                <w:rFonts w:cstheme="minorHAnsi"/>
              </w:rPr>
            </w:pPr>
            <w:r>
              <w:rPr>
                <w:rFonts w:cstheme="minorHAnsi"/>
              </w:rPr>
              <w:t>18,506</w:t>
            </w:r>
          </w:p>
        </w:tc>
        <w:tc>
          <w:tcPr>
            <w:tcW w:w="1710" w:type="dxa"/>
          </w:tcPr>
          <w:p w14:paraId="7FD35E6E" w14:textId="3905A7F3" w:rsidR="00A22C84" w:rsidRPr="0018556E" w:rsidRDefault="00A22C84" w:rsidP="00216B28">
            <w:pPr>
              <w:spacing w:line="23" w:lineRule="atLeast"/>
              <w:jc w:val="right"/>
              <w:rPr>
                <w:rFonts w:cstheme="minorHAnsi"/>
              </w:rPr>
            </w:pPr>
            <w:r w:rsidRPr="0018556E">
              <w:rPr>
                <w:rFonts w:cstheme="minorHAnsi"/>
              </w:rPr>
              <w:t>19,106</w:t>
            </w:r>
          </w:p>
        </w:tc>
      </w:tr>
    </w:tbl>
    <w:p w14:paraId="7E0B8BCC" w14:textId="77777777" w:rsidR="00BC1B3E" w:rsidRPr="0018556E" w:rsidRDefault="00BC1B3E" w:rsidP="0018556E">
      <w:pPr>
        <w:spacing w:line="23" w:lineRule="atLeast"/>
        <w:jc w:val="both"/>
        <w:rPr>
          <w:rFonts w:cstheme="minorHAnsi"/>
        </w:rPr>
      </w:pPr>
    </w:p>
    <w:p w14:paraId="33A4B7C0" w14:textId="18358C96" w:rsidR="00057E09" w:rsidRPr="0018556E" w:rsidRDefault="002B51DF" w:rsidP="0018556E">
      <w:pPr>
        <w:spacing w:line="23" w:lineRule="atLeast"/>
        <w:jc w:val="both"/>
        <w:rPr>
          <w:rFonts w:cstheme="minorHAnsi"/>
        </w:rPr>
      </w:pPr>
      <w:r w:rsidRPr="0018556E">
        <w:rPr>
          <w:rFonts w:cstheme="minorHAnsi"/>
        </w:rPr>
        <w:t xml:space="preserve">No employees at WICS have been </w:t>
      </w:r>
      <w:r w:rsidR="003B5F3D" w:rsidRPr="0018556E">
        <w:rPr>
          <w:rFonts w:cstheme="minorHAnsi"/>
        </w:rPr>
        <w:t>explicitly employed</w:t>
      </w:r>
      <w:r w:rsidRPr="0018556E">
        <w:rPr>
          <w:rFonts w:cstheme="minorHAnsi"/>
        </w:rPr>
        <w:t xml:space="preserve"> to </w:t>
      </w:r>
      <w:r w:rsidR="00057E09" w:rsidRPr="0018556E">
        <w:rPr>
          <w:rFonts w:cstheme="minorHAnsi"/>
        </w:rPr>
        <w:t>perform a role in any of these areas.</w:t>
      </w:r>
    </w:p>
    <w:p w14:paraId="29D27C12" w14:textId="77777777" w:rsidR="00057E09" w:rsidRPr="0018556E" w:rsidRDefault="00057E09" w:rsidP="0018556E">
      <w:pPr>
        <w:spacing w:line="23" w:lineRule="atLeast"/>
        <w:jc w:val="both"/>
        <w:rPr>
          <w:rFonts w:cstheme="minorHAnsi"/>
        </w:rPr>
      </w:pPr>
    </w:p>
    <w:p w14:paraId="4D4611D7" w14:textId="6F108ADE" w:rsidR="007E7292" w:rsidRPr="0018556E" w:rsidRDefault="00ED0985" w:rsidP="0018556E">
      <w:pPr>
        <w:pStyle w:val="Heading20"/>
        <w:spacing w:before="0" w:after="0" w:line="23" w:lineRule="atLeast"/>
        <w:jc w:val="both"/>
        <w:rPr>
          <w:rFonts w:cstheme="minorHAnsi"/>
        </w:rPr>
      </w:pPr>
      <w:bookmarkStart w:id="7" w:name="_Toc215838058"/>
      <w:r w:rsidRPr="0018556E">
        <w:rPr>
          <w:rFonts w:cstheme="minorHAnsi"/>
        </w:rPr>
        <w:t xml:space="preserve">3.2 </w:t>
      </w:r>
      <w:r w:rsidR="007E7292" w:rsidRPr="0018556E">
        <w:rPr>
          <w:rFonts w:cstheme="minorHAnsi"/>
        </w:rPr>
        <w:t>Overseas travel</w:t>
      </w:r>
      <w:bookmarkEnd w:id="7"/>
    </w:p>
    <w:p w14:paraId="759F8E32" w14:textId="27C1BF79" w:rsidR="006824FC" w:rsidRPr="0018556E" w:rsidRDefault="002E059D" w:rsidP="0018556E">
      <w:pPr>
        <w:pStyle w:val="SMALLHEADINGALLCAPS"/>
        <w:spacing w:after="0" w:line="23" w:lineRule="atLeast"/>
        <w:jc w:val="both"/>
        <w:rPr>
          <w:rFonts w:cstheme="minorHAnsi"/>
          <w:b w:val="0"/>
          <w:caps w:val="0"/>
          <w:color w:val="000000" w:themeColor="text1"/>
          <w:szCs w:val="20"/>
        </w:rPr>
      </w:pPr>
      <w:r w:rsidRPr="0018556E">
        <w:rPr>
          <w:rFonts w:cstheme="minorHAnsi"/>
          <w:b w:val="0"/>
          <w:caps w:val="0"/>
          <w:color w:val="000000" w:themeColor="text1"/>
          <w:szCs w:val="20"/>
        </w:rPr>
        <w:t>WICS is required to publish a</w:t>
      </w:r>
      <w:r w:rsidR="006824FC" w:rsidRPr="0018556E">
        <w:rPr>
          <w:rFonts w:cstheme="minorHAnsi"/>
          <w:b w:val="0"/>
          <w:caps w:val="0"/>
          <w:color w:val="000000" w:themeColor="text1"/>
          <w:szCs w:val="20"/>
        </w:rPr>
        <w:t xml:space="preserve"> statement of </w:t>
      </w:r>
      <w:r w:rsidR="00D214BB" w:rsidRPr="0018556E">
        <w:rPr>
          <w:rFonts w:cstheme="minorHAnsi"/>
          <w:b w:val="0"/>
          <w:caps w:val="0"/>
          <w:color w:val="000000" w:themeColor="text1"/>
          <w:szCs w:val="20"/>
        </w:rPr>
        <w:t>expenditures incurred on overseas travel, including travel to and from the United Kingdom. The following should be included: the cost of hotels, conference fees, travel and subsistence during the overseas visit, and any other related expenditures</w:t>
      </w:r>
      <w:r w:rsidR="006824FC" w:rsidRPr="0018556E">
        <w:rPr>
          <w:rFonts w:cstheme="minorHAnsi"/>
          <w:b w:val="0"/>
          <w:caps w:val="0"/>
          <w:color w:val="000000" w:themeColor="text1"/>
          <w:szCs w:val="20"/>
        </w:rPr>
        <w:t>.</w:t>
      </w:r>
    </w:p>
    <w:p w14:paraId="7EDD5851" w14:textId="77777777" w:rsidR="0020216F" w:rsidRPr="0018556E" w:rsidRDefault="0020216F" w:rsidP="0018556E">
      <w:pPr>
        <w:spacing w:line="23" w:lineRule="atLeast"/>
        <w:jc w:val="both"/>
        <w:rPr>
          <w:rFonts w:cstheme="minorHAnsi"/>
        </w:rPr>
      </w:pPr>
    </w:p>
    <w:tbl>
      <w:tblPr>
        <w:tblStyle w:val="Blueline"/>
        <w:tblW w:w="7650" w:type="dxa"/>
        <w:tblLook w:val="04E0" w:firstRow="1" w:lastRow="1" w:firstColumn="1" w:lastColumn="0" w:noHBand="0" w:noVBand="1"/>
      </w:tblPr>
      <w:tblGrid>
        <w:gridCol w:w="3600"/>
        <w:gridCol w:w="2340"/>
        <w:gridCol w:w="1710"/>
      </w:tblGrid>
      <w:tr w:rsidR="003B5F3D" w:rsidRPr="0018556E" w14:paraId="3AC325E3" w14:textId="77777777" w:rsidTr="003B5F3D">
        <w:trPr>
          <w:cnfStyle w:val="100000000000" w:firstRow="1" w:lastRow="0" w:firstColumn="0" w:lastColumn="0" w:oddVBand="0" w:evenVBand="0" w:oddHBand="0" w:evenHBand="0" w:firstRowFirstColumn="0" w:firstRowLastColumn="0" w:lastRowFirstColumn="0" w:lastRowLastColumn="0"/>
        </w:trPr>
        <w:tc>
          <w:tcPr>
            <w:tcW w:w="3600" w:type="dxa"/>
          </w:tcPr>
          <w:p w14:paraId="73443588" w14:textId="6FACABF8" w:rsidR="003B5F3D" w:rsidRPr="0018556E" w:rsidRDefault="003B5F3D" w:rsidP="0018556E">
            <w:pPr>
              <w:spacing w:line="23" w:lineRule="atLeast"/>
              <w:jc w:val="both"/>
              <w:rPr>
                <w:rFonts w:asciiTheme="minorHAnsi" w:hAnsiTheme="minorHAnsi" w:cstheme="minorHAnsi"/>
              </w:rPr>
            </w:pPr>
            <w:r w:rsidRPr="0018556E">
              <w:rPr>
                <w:rFonts w:asciiTheme="minorHAnsi" w:hAnsiTheme="minorHAnsi" w:cstheme="minorHAnsi"/>
              </w:rPr>
              <w:t>Type of expense</w:t>
            </w:r>
          </w:p>
        </w:tc>
        <w:tc>
          <w:tcPr>
            <w:tcW w:w="2340" w:type="dxa"/>
          </w:tcPr>
          <w:p w14:paraId="7EC41BB6" w14:textId="38E75828" w:rsidR="003B5F3D" w:rsidRPr="0018556E" w:rsidRDefault="003B5F3D" w:rsidP="00216B28">
            <w:pPr>
              <w:spacing w:line="23" w:lineRule="atLeast"/>
              <w:jc w:val="right"/>
              <w:rPr>
                <w:rFonts w:asciiTheme="minorHAnsi" w:hAnsiTheme="minorHAnsi" w:cstheme="minorHAnsi"/>
              </w:rPr>
            </w:pPr>
            <w:r w:rsidRPr="0018556E">
              <w:rPr>
                <w:rFonts w:asciiTheme="minorHAnsi" w:hAnsiTheme="minorHAnsi" w:cstheme="minorHAnsi"/>
              </w:rPr>
              <w:t>2024-25 (£)</w:t>
            </w:r>
          </w:p>
        </w:tc>
        <w:tc>
          <w:tcPr>
            <w:tcW w:w="1710" w:type="dxa"/>
          </w:tcPr>
          <w:p w14:paraId="01F13083" w14:textId="205779DB" w:rsidR="003B5F3D" w:rsidRPr="0018556E" w:rsidRDefault="003B5F3D" w:rsidP="00216B28">
            <w:pPr>
              <w:spacing w:line="23" w:lineRule="atLeast"/>
              <w:jc w:val="right"/>
              <w:rPr>
                <w:rFonts w:asciiTheme="minorHAnsi" w:hAnsiTheme="minorHAnsi" w:cstheme="minorHAnsi"/>
              </w:rPr>
            </w:pPr>
            <w:r w:rsidRPr="0018556E">
              <w:rPr>
                <w:rFonts w:asciiTheme="minorHAnsi" w:hAnsiTheme="minorHAnsi" w:cstheme="minorHAnsi"/>
              </w:rPr>
              <w:t>2023-24 (£)</w:t>
            </w:r>
            <w:r w:rsidR="00215D14" w:rsidRPr="0018556E">
              <w:rPr>
                <w:rStyle w:val="FootnoteReference"/>
                <w:rFonts w:asciiTheme="minorHAnsi" w:hAnsiTheme="minorHAnsi" w:cstheme="minorHAnsi"/>
              </w:rPr>
              <w:footnoteReference w:id="3"/>
            </w:r>
          </w:p>
        </w:tc>
      </w:tr>
      <w:tr w:rsidR="003B5F3D" w:rsidRPr="0018556E" w14:paraId="106CA371" w14:textId="77777777" w:rsidTr="003B5F3D">
        <w:tc>
          <w:tcPr>
            <w:tcW w:w="3600" w:type="dxa"/>
          </w:tcPr>
          <w:p w14:paraId="6B913C0C" w14:textId="684F4501" w:rsidR="003B5F3D" w:rsidRPr="0018556E" w:rsidRDefault="003B5F3D" w:rsidP="0018556E">
            <w:pPr>
              <w:spacing w:line="23" w:lineRule="atLeast"/>
              <w:jc w:val="both"/>
              <w:rPr>
                <w:rFonts w:cstheme="minorHAnsi"/>
              </w:rPr>
            </w:pPr>
            <w:r w:rsidRPr="0018556E">
              <w:rPr>
                <w:rFonts w:cstheme="minorHAnsi"/>
              </w:rPr>
              <w:t>Flights</w:t>
            </w:r>
          </w:p>
        </w:tc>
        <w:tc>
          <w:tcPr>
            <w:tcW w:w="2340" w:type="dxa"/>
          </w:tcPr>
          <w:p w14:paraId="449C572C" w14:textId="07AC0263" w:rsidR="003B5F3D" w:rsidRPr="0018556E" w:rsidRDefault="0006282F" w:rsidP="00216B28">
            <w:pPr>
              <w:spacing w:line="23" w:lineRule="atLeast"/>
              <w:jc w:val="right"/>
              <w:rPr>
                <w:rFonts w:cstheme="minorHAnsi"/>
              </w:rPr>
            </w:pPr>
            <w:r>
              <w:rPr>
                <w:rFonts w:cstheme="minorHAnsi"/>
              </w:rPr>
              <w:t>211</w:t>
            </w:r>
          </w:p>
        </w:tc>
        <w:tc>
          <w:tcPr>
            <w:tcW w:w="1710" w:type="dxa"/>
          </w:tcPr>
          <w:p w14:paraId="05FE4AB5" w14:textId="537742A8" w:rsidR="003B5F3D" w:rsidRPr="0018556E" w:rsidRDefault="003B5F3D" w:rsidP="00216B28">
            <w:pPr>
              <w:spacing w:line="23" w:lineRule="atLeast"/>
              <w:jc w:val="right"/>
              <w:rPr>
                <w:rFonts w:cstheme="minorHAnsi"/>
              </w:rPr>
            </w:pPr>
            <w:r w:rsidRPr="0018556E">
              <w:rPr>
                <w:rFonts w:cstheme="minorHAnsi"/>
              </w:rPr>
              <w:t>35,235</w:t>
            </w:r>
          </w:p>
        </w:tc>
      </w:tr>
      <w:tr w:rsidR="003B5F3D" w:rsidRPr="0018556E" w14:paraId="0769C482" w14:textId="77777777" w:rsidTr="003B5F3D">
        <w:tc>
          <w:tcPr>
            <w:tcW w:w="3600" w:type="dxa"/>
          </w:tcPr>
          <w:p w14:paraId="32C6CD77" w14:textId="07046C1C" w:rsidR="003B5F3D" w:rsidRPr="0018556E" w:rsidRDefault="003B5F3D" w:rsidP="0018556E">
            <w:pPr>
              <w:spacing w:line="23" w:lineRule="atLeast"/>
              <w:jc w:val="both"/>
              <w:rPr>
                <w:rFonts w:cstheme="minorHAnsi"/>
              </w:rPr>
            </w:pPr>
            <w:r w:rsidRPr="0018556E">
              <w:rPr>
                <w:rFonts w:cstheme="minorHAnsi"/>
              </w:rPr>
              <w:t>Accommodation</w:t>
            </w:r>
          </w:p>
        </w:tc>
        <w:tc>
          <w:tcPr>
            <w:tcW w:w="2340" w:type="dxa"/>
          </w:tcPr>
          <w:p w14:paraId="77BD92DF" w14:textId="7E8A894D" w:rsidR="003B5F3D" w:rsidRPr="0018556E" w:rsidRDefault="001048B6" w:rsidP="00216B28">
            <w:pPr>
              <w:spacing w:line="23" w:lineRule="atLeast"/>
              <w:jc w:val="right"/>
              <w:rPr>
                <w:rFonts w:cstheme="minorHAnsi"/>
              </w:rPr>
            </w:pPr>
            <w:r>
              <w:rPr>
                <w:rFonts w:cstheme="minorHAnsi"/>
              </w:rPr>
              <w:t>586</w:t>
            </w:r>
          </w:p>
        </w:tc>
        <w:tc>
          <w:tcPr>
            <w:tcW w:w="1710" w:type="dxa"/>
          </w:tcPr>
          <w:p w14:paraId="7C68B067" w14:textId="2145115B" w:rsidR="003B5F3D" w:rsidRPr="0018556E" w:rsidRDefault="003B5F3D" w:rsidP="00216B28">
            <w:pPr>
              <w:spacing w:line="23" w:lineRule="atLeast"/>
              <w:jc w:val="right"/>
              <w:rPr>
                <w:rFonts w:cstheme="minorHAnsi"/>
              </w:rPr>
            </w:pPr>
            <w:r w:rsidRPr="0018556E">
              <w:rPr>
                <w:rFonts w:cstheme="minorHAnsi"/>
              </w:rPr>
              <w:t>11,672</w:t>
            </w:r>
          </w:p>
        </w:tc>
      </w:tr>
      <w:tr w:rsidR="003B5F3D" w:rsidRPr="0018556E" w14:paraId="0A301B0E" w14:textId="77777777" w:rsidTr="003B5F3D">
        <w:tc>
          <w:tcPr>
            <w:tcW w:w="3600" w:type="dxa"/>
          </w:tcPr>
          <w:p w14:paraId="7FA4670B" w14:textId="5DCB60E2" w:rsidR="003B5F3D" w:rsidRPr="0018556E" w:rsidRDefault="003B5F3D" w:rsidP="0018556E">
            <w:pPr>
              <w:spacing w:line="23" w:lineRule="atLeast"/>
              <w:jc w:val="both"/>
              <w:rPr>
                <w:rFonts w:cstheme="minorHAnsi"/>
              </w:rPr>
            </w:pPr>
            <w:r w:rsidRPr="0018556E">
              <w:rPr>
                <w:rFonts w:cstheme="minorHAnsi"/>
              </w:rPr>
              <w:t>Subsistence</w:t>
            </w:r>
          </w:p>
        </w:tc>
        <w:tc>
          <w:tcPr>
            <w:tcW w:w="2340" w:type="dxa"/>
          </w:tcPr>
          <w:p w14:paraId="043E5411" w14:textId="25839480" w:rsidR="003B5F3D" w:rsidRPr="0018556E" w:rsidRDefault="001048B6" w:rsidP="00216B28">
            <w:pPr>
              <w:spacing w:line="23" w:lineRule="atLeast"/>
              <w:jc w:val="right"/>
              <w:rPr>
                <w:rFonts w:cstheme="minorHAnsi"/>
              </w:rPr>
            </w:pPr>
            <w:r>
              <w:rPr>
                <w:rFonts w:cstheme="minorHAnsi"/>
              </w:rPr>
              <w:t>24</w:t>
            </w:r>
          </w:p>
        </w:tc>
        <w:tc>
          <w:tcPr>
            <w:tcW w:w="1710" w:type="dxa"/>
          </w:tcPr>
          <w:p w14:paraId="6428CF36" w14:textId="71B7A03B" w:rsidR="003B5F3D" w:rsidRPr="0018556E" w:rsidRDefault="003B5F3D" w:rsidP="00216B28">
            <w:pPr>
              <w:spacing w:line="23" w:lineRule="atLeast"/>
              <w:jc w:val="right"/>
              <w:rPr>
                <w:rFonts w:cstheme="minorHAnsi"/>
              </w:rPr>
            </w:pPr>
            <w:r w:rsidRPr="0018556E">
              <w:rPr>
                <w:rFonts w:cstheme="minorHAnsi"/>
              </w:rPr>
              <w:t>16,646</w:t>
            </w:r>
          </w:p>
        </w:tc>
      </w:tr>
      <w:tr w:rsidR="003B5F3D" w:rsidRPr="0018556E" w14:paraId="02CC2409" w14:textId="77777777" w:rsidTr="003B5F3D">
        <w:trPr>
          <w:cnfStyle w:val="010000000000" w:firstRow="0" w:lastRow="1" w:firstColumn="0" w:lastColumn="0" w:oddVBand="0" w:evenVBand="0" w:oddHBand="0" w:evenHBand="0" w:firstRowFirstColumn="0" w:firstRowLastColumn="0" w:lastRowFirstColumn="0" w:lastRowLastColumn="0"/>
        </w:trPr>
        <w:tc>
          <w:tcPr>
            <w:tcW w:w="3600" w:type="dxa"/>
          </w:tcPr>
          <w:p w14:paraId="728AAE37" w14:textId="0D634ACD" w:rsidR="003B5F3D" w:rsidRPr="0018556E" w:rsidRDefault="003B5F3D" w:rsidP="0018556E">
            <w:pPr>
              <w:spacing w:line="23" w:lineRule="atLeast"/>
              <w:jc w:val="both"/>
              <w:rPr>
                <w:rFonts w:cstheme="minorHAnsi"/>
              </w:rPr>
            </w:pPr>
            <w:r w:rsidRPr="0018556E">
              <w:rPr>
                <w:rFonts w:cstheme="minorHAnsi"/>
              </w:rPr>
              <w:t>Other travel and expenses</w:t>
            </w:r>
          </w:p>
        </w:tc>
        <w:tc>
          <w:tcPr>
            <w:tcW w:w="2340" w:type="dxa"/>
          </w:tcPr>
          <w:p w14:paraId="5744F19A" w14:textId="64F5978B" w:rsidR="003B5F3D" w:rsidRPr="0018556E" w:rsidRDefault="001048B6" w:rsidP="00216B28">
            <w:pPr>
              <w:spacing w:line="23" w:lineRule="atLeast"/>
              <w:jc w:val="right"/>
              <w:rPr>
                <w:rFonts w:cstheme="minorHAnsi"/>
              </w:rPr>
            </w:pPr>
            <w:r>
              <w:rPr>
                <w:rFonts w:cstheme="minorHAnsi"/>
              </w:rPr>
              <w:t>17</w:t>
            </w:r>
          </w:p>
        </w:tc>
        <w:tc>
          <w:tcPr>
            <w:tcW w:w="1710" w:type="dxa"/>
          </w:tcPr>
          <w:p w14:paraId="10C55DF6" w14:textId="2C8ADEE9" w:rsidR="003B5F3D" w:rsidRPr="0018556E" w:rsidRDefault="003B5F3D" w:rsidP="00216B28">
            <w:pPr>
              <w:spacing w:line="23" w:lineRule="atLeast"/>
              <w:jc w:val="right"/>
              <w:rPr>
                <w:rFonts w:cstheme="minorHAnsi"/>
              </w:rPr>
            </w:pPr>
            <w:r w:rsidRPr="0018556E">
              <w:rPr>
                <w:rFonts w:cstheme="minorHAnsi"/>
              </w:rPr>
              <w:t>7,770</w:t>
            </w:r>
          </w:p>
        </w:tc>
      </w:tr>
    </w:tbl>
    <w:p w14:paraId="63C09FAA" w14:textId="77777777" w:rsidR="008A3B8E" w:rsidRPr="0018556E" w:rsidRDefault="008A3B8E" w:rsidP="0018556E">
      <w:pPr>
        <w:spacing w:line="23" w:lineRule="atLeast"/>
        <w:jc w:val="both"/>
        <w:rPr>
          <w:rFonts w:cstheme="minorHAnsi"/>
        </w:rPr>
      </w:pPr>
    </w:p>
    <w:p w14:paraId="63885395" w14:textId="090132C5" w:rsidR="007E7292" w:rsidRPr="0018556E" w:rsidRDefault="00ED0985" w:rsidP="0018556E">
      <w:pPr>
        <w:pStyle w:val="Heading20"/>
        <w:spacing w:before="0" w:after="0" w:line="23" w:lineRule="atLeast"/>
        <w:jc w:val="both"/>
        <w:rPr>
          <w:rFonts w:cstheme="minorHAnsi"/>
        </w:rPr>
      </w:pPr>
      <w:bookmarkStart w:id="8" w:name="_Toc215838059"/>
      <w:r w:rsidRPr="0018556E">
        <w:rPr>
          <w:rFonts w:cstheme="minorHAnsi"/>
        </w:rPr>
        <w:t xml:space="preserve">3.3 </w:t>
      </w:r>
      <w:r w:rsidR="007E7292" w:rsidRPr="0018556E">
        <w:rPr>
          <w:rFonts w:cstheme="minorHAnsi"/>
        </w:rPr>
        <w:t>Hospitality and entertainment</w:t>
      </w:r>
      <w:bookmarkEnd w:id="8"/>
    </w:p>
    <w:p w14:paraId="0B76F032" w14:textId="6877F428" w:rsidR="004E7FFD" w:rsidRPr="0018556E" w:rsidRDefault="00296484"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r w:rsidRPr="0018556E">
        <w:rPr>
          <w:rFonts w:asciiTheme="minorHAnsi" w:hAnsiTheme="minorHAnsi" w:cstheme="minorHAnsi"/>
          <w:color w:val="000000" w:themeColor="text1"/>
          <w:spacing w:val="0"/>
          <w:sz w:val="24"/>
          <w:szCs w:val="20"/>
        </w:rPr>
        <w:t>WIC</w:t>
      </w:r>
      <w:r w:rsidR="00D214BB" w:rsidRPr="0018556E">
        <w:rPr>
          <w:rFonts w:asciiTheme="minorHAnsi" w:hAnsiTheme="minorHAnsi" w:cstheme="minorHAnsi"/>
          <w:color w:val="000000" w:themeColor="text1"/>
          <w:spacing w:val="0"/>
          <w:sz w:val="24"/>
          <w:szCs w:val="20"/>
        </w:rPr>
        <w:t>S</w:t>
      </w:r>
      <w:r w:rsidRPr="0018556E">
        <w:rPr>
          <w:rFonts w:asciiTheme="minorHAnsi" w:hAnsiTheme="minorHAnsi" w:cstheme="minorHAnsi"/>
          <w:color w:val="000000" w:themeColor="text1"/>
          <w:spacing w:val="0"/>
          <w:sz w:val="24"/>
          <w:szCs w:val="20"/>
        </w:rPr>
        <w:t xml:space="preserve"> is required to publish a </w:t>
      </w:r>
      <w:r w:rsidR="00A924CD" w:rsidRPr="0018556E">
        <w:rPr>
          <w:rFonts w:asciiTheme="minorHAnsi" w:hAnsiTheme="minorHAnsi" w:cstheme="minorHAnsi"/>
          <w:color w:val="000000" w:themeColor="text1"/>
          <w:spacing w:val="0"/>
          <w:sz w:val="24"/>
          <w:szCs w:val="20"/>
        </w:rPr>
        <w:t>statement of expenditure on hospitality and entertainment, which is widely interpreted as including any gifts, meals, parties, receptions, tickets for or invitations to public, sporting, cultural or other events or other similar benefits accorded by a public body to its own members, employees,</w:t>
      </w:r>
      <w:r w:rsidR="009F3A14" w:rsidRPr="0018556E">
        <w:rPr>
          <w:rFonts w:asciiTheme="minorHAnsi" w:hAnsiTheme="minorHAnsi" w:cstheme="minorHAnsi"/>
          <w:color w:val="000000" w:themeColor="text1"/>
          <w:spacing w:val="0"/>
          <w:sz w:val="24"/>
          <w:szCs w:val="20"/>
        </w:rPr>
        <w:t xml:space="preserve"> or third parties for whatever reason. </w:t>
      </w:r>
    </w:p>
    <w:p w14:paraId="020AE002" w14:textId="77777777" w:rsidR="004E7FFD" w:rsidRPr="0018556E" w:rsidRDefault="004E7FFD"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p>
    <w:p w14:paraId="2E066C31" w14:textId="2893037F" w:rsidR="009F3A14" w:rsidRPr="0018556E" w:rsidRDefault="009F3A14"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r w:rsidRPr="0018556E">
        <w:rPr>
          <w:rFonts w:asciiTheme="minorHAnsi" w:hAnsiTheme="minorHAnsi" w:cstheme="minorHAnsi"/>
          <w:color w:val="000000" w:themeColor="text1"/>
          <w:spacing w:val="0"/>
          <w:sz w:val="24"/>
          <w:szCs w:val="20"/>
        </w:rPr>
        <w:t xml:space="preserve">The payment of reasonable travel and subsistence allowances and the reimbursement of expenses that are necessarily incurred in relation to service as a member or employee of a public body </w:t>
      </w:r>
      <w:r w:rsidR="00232765" w:rsidRPr="0018556E">
        <w:rPr>
          <w:rFonts w:asciiTheme="minorHAnsi" w:hAnsiTheme="minorHAnsi" w:cstheme="minorHAnsi"/>
          <w:color w:val="000000" w:themeColor="text1"/>
          <w:spacing w:val="0"/>
          <w:sz w:val="24"/>
          <w:szCs w:val="20"/>
        </w:rPr>
        <w:t>are</w:t>
      </w:r>
      <w:r w:rsidRPr="0018556E">
        <w:rPr>
          <w:rFonts w:asciiTheme="minorHAnsi" w:hAnsiTheme="minorHAnsi" w:cstheme="minorHAnsi"/>
          <w:color w:val="000000" w:themeColor="text1"/>
          <w:spacing w:val="0"/>
          <w:sz w:val="24"/>
          <w:szCs w:val="20"/>
        </w:rPr>
        <w:t xml:space="preserve"> excluded. Gifts and benefits which are wholly trivial and of minimal value </w:t>
      </w:r>
      <w:r w:rsidR="00232765" w:rsidRPr="0018556E">
        <w:rPr>
          <w:rFonts w:asciiTheme="minorHAnsi" w:hAnsiTheme="minorHAnsi" w:cstheme="minorHAnsi"/>
          <w:color w:val="000000" w:themeColor="text1"/>
          <w:spacing w:val="0"/>
          <w:sz w:val="24"/>
          <w:szCs w:val="20"/>
        </w:rPr>
        <w:t>are also</w:t>
      </w:r>
      <w:r w:rsidRPr="0018556E">
        <w:rPr>
          <w:rFonts w:asciiTheme="minorHAnsi" w:hAnsiTheme="minorHAnsi" w:cstheme="minorHAnsi"/>
          <w:color w:val="000000" w:themeColor="text1"/>
          <w:spacing w:val="0"/>
          <w:sz w:val="24"/>
          <w:szCs w:val="20"/>
        </w:rPr>
        <w:t xml:space="preserve"> excluded as de minimis. WICS has disclosed gifts over £50 for '</w:t>
      </w:r>
      <w:r w:rsidR="009E5A33" w:rsidRPr="0018556E">
        <w:rPr>
          <w:rFonts w:asciiTheme="minorHAnsi" w:hAnsiTheme="minorHAnsi" w:cstheme="minorHAnsi"/>
          <w:color w:val="000000" w:themeColor="text1"/>
          <w:spacing w:val="0"/>
          <w:sz w:val="24"/>
          <w:szCs w:val="20"/>
        </w:rPr>
        <w:t>one-off</w:t>
      </w:r>
      <w:r w:rsidRPr="0018556E">
        <w:rPr>
          <w:rFonts w:asciiTheme="minorHAnsi" w:hAnsiTheme="minorHAnsi" w:cstheme="minorHAnsi"/>
          <w:color w:val="000000" w:themeColor="text1"/>
          <w:spacing w:val="0"/>
          <w:sz w:val="24"/>
          <w:szCs w:val="20"/>
        </w:rPr>
        <w:t>' gifts or benefits.</w:t>
      </w:r>
    </w:p>
    <w:p w14:paraId="36076215" w14:textId="77777777" w:rsidR="00B402F2" w:rsidRPr="0018556E" w:rsidRDefault="00B402F2" w:rsidP="0018556E">
      <w:pPr>
        <w:pStyle w:val="SMALLHEADINGALLCAPS"/>
        <w:spacing w:after="0" w:line="23" w:lineRule="atLeast"/>
        <w:jc w:val="both"/>
        <w:rPr>
          <w:rFonts w:cstheme="minorHAnsi"/>
        </w:rPr>
      </w:pPr>
    </w:p>
    <w:p w14:paraId="7D7414B0" w14:textId="313EAD28" w:rsidR="00D07710" w:rsidRPr="0018556E" w:rsidRDefault="00766EA4" w:rsidP="0018556E">
      <w:pPr>
        <w:pStyle w:val="Summaryparagraphtextbold"/>
        <w:spacing w:after="0" w:line="23" w:lineRule="atLeast"/>
        <w:jc w:val="both"/>
        <w:rPr>
          <w:rFonts w:cstheme="minorHAnsi"/>
        </w:rPr>
      </w:pPr>
      <w:r w:rsidRPr="0018556E">
        <w:rPr>
          <w:rFonts w:cstheme="minorHAnsi"/>
        </w:rPr>
        <w:t>Meals</w:t>
      </w:r>
      <w:r w:rsidR="00C73311" w:rsidRPr="0018556E">
        <w:rPr>
          <w:rFonts w:cstheme="minorHAnsi"/>
        </w:rPr>
        <w:t xml:space="preserve"> and events</w:t>
      </w:r>
    </w:p>
    <w:tbl>
      <w:tblPr>
        <w:tblStyle w:val="Blueline"/>
        <w:tblW w:w="7740" w:type="dxa"/>
        <w:tblLook w:val="04E0" w:firstRow="1" w:lastRow="1" w:firstColumn="1" w:lastColumn="0" w:noHBand="0" w:noVBand="1"/>
      </w:tblPr>
      <w:tblGrid>
        <w:gridCol w:w="3600"/>
        <w:gridCol w:w="2700"/>
        <w:gridCol w:w="1440"/>
      </w:tblGrid>
      <w:tr w:rsidR="00F410E9" w:rsidRPr="0018556E" w14:paraId="7C4F9A27" w14:textId="77777777" w:rsidTr="00F410E9">
        <w:trPr>
          <w:cnfStyle w:val="100000000000" w:firstRow="1" w:lastRow="0" w:firstColumn="0" w:lastColumn="0" w:oddVBand="0" w:evenVBand="0" w:oddHBand="0" w:evenHBand="0" w:firstRowFirstColumn="0" w:firstRowLastColumn="0" w:lastRowFirstColumn="0" w:lastRowLastColumn="0"/>
        </w:trPr>
        <w:tc>
          <w:tcPr>
            <w:tcW w:w="3600" w:type="dxa"/>
          </w:tcPr>
          <w:p w14:paraId="08C0A2FA" w14:textId="3828C811" w:rsidR="00F410E9" w:rsidRPr="0018556E" w:rsidRDefault="00F410E9" w:rsidP="0018556E">
            <w:pPr>
              <w:spacing w:line="23" w:lineRule="atLeast"/>
              <w:jc w:val="both"/>
              <w:rPr>
                <w:rFonts w:asciiTheme="minorHAnsi" w:hAnsiTheme="minorHAnsi" w:cstheme="minorHAnsi"/>
              </w:rPr>
            </w:pPr>
            <w:r w:rsidRPr="0018556E">
              <w:rPr>
                <w:rFonts w:asciiTheme="minorHAnsi" w:hAnsiTheme="minorHAnsi" w:cstheme="minorHAnsi"/>
              </w:rPr>
              <w:t>Type of event</w:t>
            </w:r>
          </w:p>
        </w:tc>
        <w:tc>
          <w:tcPr>
            <w:tcW w:w="2700" w:type="dxa"/>
          </w:tcPr>
          <w:p w14:paraId="6FC1CD98" w14:textId="22C74EA0" w:rsidR="00F410E9" w:rsidRPr="0018556E" w:rsidRDefault="00F410E9" w:rsidP="00216B28">
            <w:pPr>
              <w:spacing w:line="23" w:lineRule="atLeast"/>
              <w:jc w:val="right"/>
              <w:rPr>
                <w:rFonts w:asciiTheme="minorHAnsi" w:hAnsiTheme="minorHAnsi" w:cstheme="minorHAnsi"/>
              </w:rPr>
            </w:pPr>
            <w:r w:rsidRPr="0018556E">
              <w:rPr>
                <w:rFonts w:asciiTheme="minorHAnsi" w:hAnsiTheme="minorHAnsi" w:cstheme="minorHAnsi"/>
              </w:rPr>
              <w:t>2024-25 (£)</w:t>
            </w:r>
          </w:p>
        </w:tc>
        <w:tc>
          <w:tcPr>
            <w:tcW w:w="1440" w:type="dxa"/>
          </w:tcPr>
          <w:p w14:paraId="407C0B34" w14:textId="0F47C504" w:rsidR="00F410E9" w:rsidRPr="0018556E" w:rsidRDefault="00F410E9" w:rsidP="00216B28">
            <w:pPr>
              <w:spacing w:line="23" w:lineRule="atLeast"/>
              <w:jc w:val="right"/>
              <w:rPr>
                <w:rFonts w:asciiTheme="minorHAnsi" w:hAnsiTheme="minorHAnsi" w:cstheme="minorHAnsi"/>
              </w:rPr>
            </w:pPr>
            <w:r w:rsidRPr="0018556E">
              <w:rPr>
                <w:rFonts w:asciiTheme="minorHAnsi" w:hAnsiTheme="minorHAnsi" w:cstheme="minorHAnsi"/>
              </w:rPr>
              <w:t>2023-24 (£)</w:t>
            </w:r>
          </w:p>
        </w:tc>
      </w:tr>
      <w:tr w:rsidR="00F410E9" w:rsidRPr="0018556E" w14:paraId="7F3823DC" w14:textId="77777777" w:rsidTr="00F410E9">
        <w:tc>
          <w:tcPr>
            <w:tcW w:w="3600" w:type="dxa"/>
          </w:tcPr>
          <w:p w14:paraId="14D9C2A8" w14:textId="66495999" w:rsidR="00F410E9" w:rsidRPr="0018556E" w:rsidRDefault="00F410E9" w:rsidP="0018556E">
            <w:pPr>
              <w:spacing w:line="23" w:lineRule="atLeast"/>
              <w:jc w:val="both"/>
              <w:rPr>
                <w:rFonts w:cstheme="minorHAnsi"/>
              </w:rPr>
            </w:pPr>
            <w:r w:rsidRPr="0018556E">
              <w:rPr>
                <w:rFonts w:cstheme="minorHAnsi"/>
              </w:rPr>
              <w:t xml:space="preserve">Staff related </w:t>
            </w:r>
          </w:p>
        </w:tc>
        <w:tc>
          <w:tcPr>
            <w:tcW w:w="2700" w:type="dxa"/>
          </w:tcPr>
          <w:p w14:paraId="02010F2E" w14:textId="5C5894A9" w:rsidR="00F410E9" w:rsidRPr="0018556E" w:rsidRDefault="001A7E18" w:rsidP="00216B28">
            <w:pPr>
              <w:spacing w:line="23" w:lineRule="atLeast"/>
              <w:jc w:val="right"/>
              <w:rPr>
                <w:rFonts w:cstheme="minorHAnsi"/>
              </w:rPr>
            </w:pPr>
            <w:r>
              <w:rPr>
                <w:rFonts w:cstheme="minorHAnsi"/>
              </w:rPr>
              <w:t>-</w:t>
            </w:r>
          </w:p>
        </w:tc>
        <w:tc>
          <w:tcPr>
            <w:tcW w:w="1440" w:type="dxa"/>
          </w:tcPr>
          <w:p w14:paraId="1CD6F94F" w14:textId="4F5DE2A6" w:rsidR="00F410E9" w:rsidRPr="0018556E" w:rsidRDefault="00F410E9" w:rsidP="00216B28">
            <w:pPr>
              <w:spacing w:line="23" w:lineRule="atLeast"/>
              <w:jc w:val="right"/>
              <w:rPr>
                <w:rFonts w:cstheme="minorHAnsi"/>
              </w:rPr>
            </w:pPr>
            <w:r w:rsidRPr="0018556E">
              <w:rPr>
                <w:rFonts w:cstheme="minorHAnsi"/>
              </w:rPr>
              <w:t>559</w:t>
            </w:r>
          </w:p>
        </w:tc>
      </w:tr>
      <w:tr w:rsidR="00F410E9" w:rsidRPr="0018556E" w14:paraId="3C076B13" w14:textId="77777777" w:rsidTr="00F410E9">
        <w:trPr>
          <w:cnfStyle w:val="010000000000" w:firstRow="0" w:lastRow="1" w:firstColumn="0" w:lastColumn="0" w:oddVBand="0" w:evenVBand="0" w:oddHBand="0" w:evenHBand="0" w:firstRowFirstColumn="0" w:firstRowLastColumn="0" w:lastRowFirstColumn="0" w:lastRowLastColumn="0"/>
        </w:trPr>
        <w:tc>
          <w:tcPr>
            <w:tcW w:w="3600" w:type="dxa"/>
          </w:tcPr>
          <w:p w14:paraId="27C4B38C" w14:textId="7A00B96D" w:rsidR="00F410E9" w:rsidRPr="0018556E" w:rsidRDefault="00F410E9" w:rsidP="0018556E">
            <w:pPr>
              <w:spacing w:line="23" w:lineRule="atLeast"/>
              <w:jc w:val="both"/>
              <w:rPr>
                <w:rFonts w:cstheme="minorHAnsi"/>
              </w:rPr>
            </w:pPr>
            <w:r w:rsidRPr="0018556E">
              <w:rPr>
                <w:rFonts w:cstheme="minorHAnsi"/>
              </w:rPr>
              <w:t>Stakeholder related</w:t>
            </w:r>
          </w:p>
        </w:tc>
        <w:tc>
          <w:tcPr>
            <w:tcW w:w="2700" w:type="dxa"/>
          </w:tcPr>
          <w:p w14:paraId="1E87D093" w14:textId="1135AD76" w:rsidR="00F410E9" w:rsidRPr="0018556E" w:rsidRDefault="001A7E18" w:rsidP="00216B28">
            <w:pPr>
              <w:spacing w:line="23" w:lineRule="atLeast"/>
              <w:jc w:val="right"/>
              <w:rPr>
                <w:rFonts w:cstheme="minorHAnsi"/>
              </w:rPr>
            </w:pPr>
            <w:r>
              <w:rPr>
                <w:rFonts w:cstheme="minorHAnsi"/>
              </w:rPr>
              <w:t>-</w:t>
            </w:r>
          </w:p>
        </w:tc>
        <w:tc>
          <w:tcPr>
            <w:tcW w:w="1440" w:type="dxa"/>
          </w:tcPr>
          <w:p w14:paraId="385DA7D9" w14:textId="5FCCDCFC" w:rsidR="00F410E9" w:rsidRPr="0018556E" w:rsidRDefault="00F410E9" w:rsidP="00216B28">
            <w:pPr>
              <w:spacing w:line="23" w:lineRule="atLeast"/>
              <w:jc w:val="right"/>
              <w:rPr>
                <w:rFonts w:cstheme="minorHAnsi"/>
              </w:rPr>
            </w:pPr>
            <w:r w:rsidRPr="0018556E">
              <w:rPr>
                <w:rFonts w:cstheme="minorHAnsi"/>
              </w:rPr>
              <w:t>1,791</w:t>
            </w:r>
          </w:p>
        </w:tc>
      </w:tr>
    </w:tbl>
    <w:p w14:paraId="4BD1F33A" w14:textId="77777777" w:rsidR="00164E8B" w:rsidRPr="0018556E" w:rsidRDefault="00164E8B" w:rsidP="0018556E">
      <w:pPr>
        <w:pStyle w:val="SMALLHEADINGALLCAPS"/>
        <w:spacing w:after="0" w:line="23" w:lineRule="atLeast"/>
        <w:jc w:val="both"/>
        <w:rPr>
          <w:rFonts w:cstheme="minorHAnsi"/>
        </w:rPr>
      </w:pPr>
    </w:p>
    <w:p w14:paraId="6290D300" w14:textId="6BA6EC21" w:rsidR="000A272B" w:rsidRPr="008F1DE4" w:rsidRDefault="000A272B" w:rsidP="008F1DE4">
      <w:pPr>
        <w:pStyle w:val="Summaryparagraphtextbold"/>
        <w:spacing w:after="0" w:line="23" w:lineRule="atLeast"/>
        <w:jc w:val="both"/>
        <w:rPr>
          <w:rFonts w:cstheme="minorHAnsi"/>
        </w:rPr>
      </w:pPr>
      <w:r w:rsidRPr="0018556E">
        <w:rPr>
          <w:rFonts w:cstheme="minorHAnsi"/>
        </w:rPr>
        <w:t>Gifts &gt; £50</w:t>
      </w:r>
    </w:p>
    <w:tbl>
      <w:tblPr>
        <w:tblStyle w:val="Blueline"/>
        <w:tblW w:w="7740" w:type="dxa"/>
        <w:tblLook w:val="04E0" w:firstRow="1" w:lastRow="1" w:firstColumn="1" w:lastColumn="0" w:noHBand="0" w:noVBand="1"/>
      </w:tblPr>
      <w:tblGrid>
        <w:gridCol w:w="3600"/>
        <w:gridCol w:w="2700"/>
        <w:gridCol w:w="1440"/>
      </w:tblGrid>
      <w:tr w:rsidR="00BE7FD0" w:rsidRPr="0018556E" w14:paraId="0504EE53" w14:textId="71DF9776" w:rsidTr="00BE7FD0">
        <w:trPr>
          <w:cnfStyle w:val="100000000000" w:firstRow="1" w:lastRow="0" w:firstColumn="0" w:lastColumn="0" w:oddVBand="0" w:evenVBand="0" w:oddHBand="0" w:evenHBand="0" w:firstRowFirstColumn="0" w:firstRowLastColumn="0" w:lastRowFirstColumn="0" w:lastRowLastColumn="0"/>
        </w:trPr>
        <w:tc>
          <w:tcPr>
            <w:tcW w:w="3600" w:type="dxa"/>
          </w:tcPr>
          <w:p w14:paraId="14D842B7" w14:textId="043828B9" w:rsidR="00BE7FD0" w:rsidRPr="0018556E" w:rsidRDefault="00BE7FD0" w:rsidP="0018556E">
            <w:pPr>
              <w:spacing w:line="23" w:lineRule="atLeast"/>
              <w:jc w:val="both"/>
              <w:rPr>
                <w:rFonts w:asciiTheme="minorHAnsi" w:hAnsiTheme="minorHAnsi" w:cstheme="minorHAnsi"/>
              </w:rPr>
            </w:pPr>
            <w:r w:rsidRPr="0018556E">
              <w:rPr>
                <w:rFonts w:asciiTheme="minorHAnsi" w:hAnsiTheme="minorHAnsi" w:cstheme="minorHAnsi"/>
              </w:rPr>
              <w:t>Recipient</w:t>
            </w:r>
          </w:p>
        </w:tc>
        <w:tc>
          <w:tcPr>
            <w:tcW w:w="2700" w:type="dxa"/>
          </w:tcPr>
          <w:p w14:paraId="254AA434" w14:textId="27FE98E3" w:rsidR="00BE7FD0" w:rsidRPr="0018556E" w:rsidRDefault="00BE7FD0" w:rsidP="00216B28">
            <w:pPr>
              <w:spacing w:line="23" w:lineRule="atLeast"/>
              <w:jc w:val="right"/>
              <w:rPr>
                <w:rFonts w:asciiTheme="minorHAnsi" w:hAnsiTheme="minorHAnsi" w:cstheme="minorHAnsi"/>
              </w:rPr>
            </w:pPr>
            <w:r w:rsidRPr="0018556E">
              <w:rPr>
                <w:rFonts w:asciiTheme="minorHAnsi" w:hAnsiTheme="minorHAnsi" w:cstheme="minorHAnsi"/>
              </w:rPr>
              <w:t>2024-25 (£)</w:t>
            </w:r>
          </w:p>
        </w:tc>
        <w:tc>
          <w:tcPr>
            <w:tcW w:w="1440" w:type="dxa"/>
          </w:tcPr>
          <w:p w14:paraId="723AE0D2" w14:textId="3513E201" w:rsidR="00BE7FD0" w:rsidRPr="0018556E" w:rsidRDefault="00BE7FD0" w:rsidP="00216B28">
            <w:pPr>
              <w:spacing w:line="23" w:lineRule="atLeast"/>
              <w:jc w:val="right"/>
              <w:rPr>
                <w:rFonts w:asciiTheme="minorHAnsi" w:hAnsiTheme="minorHAnsi" w:cstheme="minorHAnsi"/>
              </w:rPr>
            </w:pPr>
            <w:r w:rsidRPr="0018556E">
              <w:rPr>
                <w:rFonts w:asciiTheme="minorHAnsi" w:hAnsiTheme="minorHAnsi" w:cstheme="minorHAnsi"/>
              </w:rPr>
              <w:t>2023-24 (£)</w:t>
            </w:r>
          </w:p>
        </w:tc>
      </w:tr>
      <w:tr w:rsidR="00BE7FD0" w:rsidRPr="0018556E" w14:paraId="57873468" w14:textId="2340F404" w:rsidTr="00BE7FD0">
        <w:tc>
          <w:tcPr>
            <w:tcW w:w="3600" w:type="dxa"/>
          </w:tcPr>
          <w:p w14:paraId="2937AB9D" w14:textId="175587C9" w:rsidR="00BE7FD0" w:rsidRPr="0018556E" w:rsidRDefault="00BE7FD0" w:rsidP="0018556E">
            <w:pPr>
              <w:spacing w:line="23" w:lineRule="atLeast"/>
              <w:jc w:val="both"/>
              <w:rPr>
                <w:rFonts w:cstheme="minorHAnsi"/>
              </w:rPr>
            </w:pPr>
            <w:r w:rsidRPr="0018556E">
              <w:rPr>
                <w:rFonts w:cstheme="minorHAnsi"/>
              </w:rPr>
              <w:t>WICS employees and members</w:t>
            </w:r>
          </w:p>
        </w:tc>
        <w:tc>
          <w:tcPr>
            <w:tcW w:w="2700" w:type="dxa"/>
          </w:tcPr>
          <w:p w14:paraId="2304CAB3" w14:textId="05380E18" w:rsidR="00BE7FD0" w:rsidRPr="0018556E" w:rsidRDefault="001A7E18" w:rsidP="00216B28">
            <w:pPr>
              <w:spacing w:line="23" w:lineRule="atLeast"/>
              <w:jc w:val="right"/>
              <w:rPr>
                <w:rFonts w:cstheme="minorHAnsi"/>
              </w:rPr>
            </w:pPr>
            <w:r>
              <w:rPr>
                <w:rFonts w:cstheme="minorHAnsi"/>
              </w:rPr>
              <w:t>-</w:t>
            </w:r>
          </w:p>
        </w:tc>
        <w:tc>
          <w:tcPr>
            <w:tcW w:w="1440" w:type="dxa"/>
          </w:tcPr>
          <w:p w14:paraId="50490F55" w14:textId="56D2152E" w:rsidR="00BE7FD0" w:rsidRPr="0018556E" w:rsidRDefault="00BE7FD0" w:rsidP="00216B28">
            <w:pPr>
              <w:spacing w:line="23" w:lineRule="atLeast"/>
              <w:jc w:val="right"/>
              <w:rPr>
                <w:rFonts w:cstheme="minorHAnsi"/>
              </w:rPr>
            </w:pPr>
            <w:r w:rsidRPr="0018556E">
              <w:rPr>
                <w:rFonts w:cstheme="minorHAnsi"/>
              </w:rPr>
              <w:t>105</w:t>
            </w:r>
          </w:p>
        </w:tc>
      </w:tr>
      <w:tr w:rsidR="00BE7FD0" w:rsidRPr="0018556E" w14:paraId="5C2053E6" w14:textId="18003A29" w:rsidTr="00BE7FD0">
        <w:trPr>
          <w:cnfStyle w:val="010000000000" w:firstRow="0" w:lastRow="1" w:firstColumn="0" w:lastColumn="0" w:oddVBand="0" w:evenVBand="0" w:oddHBand="0" w:evenHBand="0" w:firstRowFirstColumn="0" w:firstRowLastColumn="0" w:lastRowFirstColumn="0" w:lastRowLastColumn="0"/>
        </w:trPr>
        <w:tc>
          <w:tcPr>
            <w:tcW w:w="3600" w:type="dxa"/>
          </w:tcPr>
          <w:p w14:paraId="78F26AB2" w14:textId="009C856A" w:rsidR="00BE7FD0" w:rsidRPr="0018556E" w:rsidRDefault="00BE7FD0" w:rsidP="0018556E">
            <w:pPr>
              <w:spacing w:line="23" w:lineRule="atLeast"/>
              <w:jc w:val="both"/>
              <w:rPr>
                <w:rFonts w:cstheme="minorHAnsi"/>
              </w:rPr>
            </w:pPr>
            <w:r w:rsidRPr="0018556E">
              <w:rPr>
                <w:rFonts w:cstheme="minorHAnsi"/>
              </w:rPr>
              <w:t>External stakeholders</w:t>
            </w:r>
          </w:p>
        </w:tc>
        <w:tc>
          <w:tcPr>
            <w:tcW w:w="2700" w:type="dxa"/>
          </w:tcPr>
          <w:p w14:paraId="730C2D03" w14:textId="3D4766A1" w:rsidR="00BE7FD0" w:rsidRPr="0018556E" w:rsidRDefault="00B45781" w:rsidP="00216B28">
            <w:pPr>
              <w:spacing w:line="23" w:lineRule="atLeast"/>
              <w:jc w:val="right"/>
              <w:rPr>
                <w:rFonts w:cstheme="minorHAnsi"/>
              </w:rPr>
            </w:pPr>
            <w:r>
              <w:rPr>
                <w:rFonts w:cstheme="minorHAnsi"/>
              </w:rPr>
              <w:t>-</w:t>
            </w:r>
          </w:p>
        </w:tc>
        <w:tc>
          <w:tcPr>
            <w:tcW w:w="1440" w:type="dxa"/>
          </w:tcPr>
          <w:p w14:paraId="21661DB5" w14:textId="5483773A" w:rsidR="00BE7FD0" w:rsidRPr="0018556E" w:rsidRDefault="00BE7FD0" w:rsidP="00216B28">
            <w:pPr>
              <w:spacing w:line="23" w:lineRule="atLeast"/>
              <w:jc w:val="right"/>
              <w:rPr>
                <w:rFonts w:cstheme="minorHAnsi"/>
              </w:rPr>
            </w:pPr>
            <w:r w:rsidRPr="0018556E">
              <w:rPr>
                <w:rFonts w:cstheme="minorHAnsi"/>
              </w:rPr>
              <w:t>192</w:t>
            </w:r>
          </w:p>
        </w:tc>
      </w:tr>
    </w:tbl>
    <w:p w14:paraId="2470E340" w14:textId="18376987" w:rsidR="008F1DD1" w:rsidRPr="0018556E" w:rsidRDefault="008F1DD1" w:rsidP="0018556E">
      <w:pPr>
        <w:spacing w:line="23" w:lineRule="atLeast"/>
        <w:jc w:val="both"/>
        <w:rPr>
          <w:rFonts w:cstheme="minorHAnsi"/>
          <w:color w:val="000000" w:themeColor="text1"/>
          <w:szCs w:val="20"/>
        </w:rPr>
      </w:pPr>
    </w:p>
    <w:p w14:paraId="5D2FCE7F" w14:textId="7A06C962" w:rsidR="007E7292" w:rsidRPr="0018556E" w:rsidRDefault="00ED0985" w:rsidP="0018556E">
      <w:pPr>
        <w:pStyle w:val="Heading20"/>
        <w:spacing w:before="0" w:after="0" w:line="23" w:lineRule="atLeast"/>
        <w:jc w:val="both"/>
        <w:rPr>
          <w:rFonts w:cstheme="minorHAnsi"/>
        </w:rPr>
      </w:pPr>
      <w:bookmarkStart w:id="9" w:name="_Toc215838060"/>
      <w:r w:rsidRPr="0018556E">
        <w:rPr>
          <w:rFonts w:cstheme="minorHAnsi"/>
        </w:rPr>
        <w:t xml:space="preserve">3.4 </w:t>
      </w:r>
      <w:r w:rsidR="007E7292" w:rsidRPr="0018556E">
        <w:rPr>
          <w:rFonts w:cstheme="minorHAnsi"/>
        </w:rPr>
        <w:t>External consultancy</w:t>
      </w:r>
      <w:bookmarkEnd w:id="9"/>
    </w:p>
    <w:p w14:paraId="0B77029A" w14:textId="55B51092" w:rsidR="008A3B8E" w:rsidRDefault="00137A08" w:rsidP="008F1DE4">
      <w:pPr>
        <w:spacing w:line="23" w:lineRule="atLeast"/>
        <w:jc w:val="both"/>
        <w:rPr>
          <w:rFonts w:cstheme="minorHAnsi"/>
          <w:color w:val="000000" w:themeColor="text1"/>
          <w:szCs w:val="20"/>
        </w:rPr>
      </w:pPr>
      <w:r w:rsidRPr="0018556E">
        <w:rPr>
          <w:rFonts w:cstheme="minorHAnsi"/>
          <w:color w:val="000000" w:themeColor="text1"/>
          <w:szCs w:val="20"/>
        </w:rPr>
        <w:t xml:space="preserve">WICS </w:t>
      </w:r>
      <w:r w:rsidR="00573040" w:rsidRPr="0018556E">
        <w:rPr>
          <w:rFonts w:cstheme="minorHAnsi"/>
          <w:color w:val="000000" w:themeColor="text1"/>
          <w:szCs w:val="20"/>
        </w:rPr>
        <w:t xml:space="preserve">must provide a statement on expenditures on “external consultancy” services, </w:t>
      </w:r>
      <w:r w:rsidR="00D66066" w:rsidRPr="0018556E">
        <w:rPr>
          <w:rFonts w:cstheme="minorHAnsi"/>
          <w:color w:val="000000" w:themeColor="text1"/>
          <w:szCs w:val="20"/>
        </w:rPr>
        <w:t xml:space="preserve">which are </w:t>
      </w:r>
      <w:r w:rsidR="00653D3D" w:rsidRPr="0018556E">
        <w:rPr>
          <w:rFonts w:cstheme="minorHAnsi"/>
          <w:color w:val="000000" w:themeColor="text1"/>
          <w:szCs w:val="20"/>
        </w:rPr>
        <w:t>defined as a wide range of professional services such as management consultancy, IT consultancy, financial consultancy, research and evaluation,</w:t>
      </w:r>
      <w:r w:rsidR="009A4B84" w:rsidRPr="0018556E">
        <w:rPr>
          <w:rFonts w:cstheme="minorHAnsi"/>
          <w:color w:val="000000" w:themeColor="text1"/>
          <w:szCs w:val="20"/>
        </w:rPr>
        <w:t xml:space="preserve"> and policy development. </w:t>
      </w:r>
      <w:r w:rsidR="002348EB" w:rsidRPr="0018556E">
        <w:rPr>
          <w:rFonts w:cstheme="minorHAnsi"/>
          <w:color w:val="000000" w:themeColor="text1"/>
          <w:szCs w:val="20"/>
        </w:rPr>
        <w:t xml:space="preserve">WICS requires wide-ranging advice to make appropriate assumptions about the reasonable costs </w:t>
      </w:r>
      <w:r w:rsidR="004E044E" w:rsidRPr="0018556E">
        <w:rPr>
          <w:rFonts w:cstheme="minorHAnsi"/>
          <w:color w:val="000000" w:themeColor="text1"/>
          <w:szCs w:val="20"/>
        </w:rPr>
        <w:t>it should allow</w:t>
      </w:r>
      <w:r w:rsidR="002348EB" w:rsidRPr="0018556E">
        <w:rPr>
          <w:rFonts w:cstheme="minorHAnsi"/>
          <w:color w:val="000000" w:themeColor="text1"/>
          <w:szCs w:val="20"/>
        </w:rPr>
        <w:t xml:space="preserve"> in setting prices. These assumptions must be robust to external </w:t>
      </w:r>
      <w:r w:rsidR="004E044E" w:rsidRPr="0018556E">
        <w:rPr>
          <w:rFonts w:cstheme="minorHAnsi"/>
          <w:color w:val="000000" w:themeColor="text1"/>
          <w:szCs w:val="20"/>
        </w:rPr>
        <w:t>challenges</w:t>
      </w:r>
      <w:r w:rsidR="002348EB" w:rsidRPr="0018556E">
        <w:rPr>
          <w:rFonts w:cstheme="minorHAnsi"/>
          <w:color w:val="000000" w:themeColor="text1"/>
          <w:szCs w:val="20"/>
        </w:rPr>
        <w:t xml:space="preserve">. </w:t>
      </w:r>
      <w:r w:rsidR="002E1661" w:rsidRPr="0018556E">
        <w:rPr>
          <w:rFonts w:cstheme="minorHAnsi"/>
          <w:color w:val="000000" w:themeColor="text1"/>
          <w:szCs w:val="20"/>
        </w:rPr>
        <w:t xml:space="preserve"> </w:t>
      </w:r>
      <w:r w:rsidR="002348EB" w:rsidRPr="0018556E">
        <w:rPr>
          <w:rFonts w:cstheme="minorHAnsi"/>
          <w:color w:val="000000" w:themeColor="text1"/>
          <w:szCs w:val="20"/>
        </w:rPr>
        <w:t>WICS must also ensure that its processes and decisions can withstand judicial scrutiny. Supplementing WICS’ expertise with that of outside experts provides significant reassurance of the quality and independence of its work.</w:t>
      </w:r>
      <w:r w:rsidR="00524D5F">
        <w:rPr>
          <w:rFonts w:cstheme="minorHAnsi"/>
          <w:color w:val="000000" w:themeColor="text1"/>
          <w:szCs w:val="20"/>
        </w:rPr>
        <w:t xml:space="preserve"> </w:t>
      </w:r>
      <w:r w:rsidR="009D6D83" w:rsidRPr="0018556E">
        <w:rPr>
          <w:rFonts w:cstheme="minorHAnsi"/>
          <w:color w:val="000000" w:themeColor="text1"/>
          <w:szCs w:val="20"/>
        </w:rPr>
        <w:t xml:space="preserve">As WICS is a small organisation with fewer than 25 employees, it requires the services of external experts for </w:t>
      </w:r>
      <w:r w:rsidR="00D038DD" w:rsidRPr="0018556E">
        <w:rPr>
          <w:rFonts w:cstheme="minorHAnsi"/>
          <w:color w:val="000000" w:themeColor="text1"/>
          <w:szCs w:val="20"/>
        </w:rPr>
        <w:t xml:space="preserve">activities such as HR and data protection. The cost of these external experts is considered to be better value for money than employing </w:t>
      </w:r>
      <w:r w:rsidR="00A51AD5" w:rsidRPr="0018556E">
        <w:rPr>
          <w:rFonts w:cstheme="minorHAnsi"/>
          <w:color w:val="000000" w:themeColor="text1"/>
          <w:szCs w:val="20"/>
        </w:rPr>
        <w:t>individuals to fill these roles.</w:t>
      </w:r>
      <w:r w:rsidR="008F1DE4">
        <w:rPr>
          <w:rFonts w:cstheme="minorHAnsi"/>
          <w:color w:val="000000" w:themeColor="text1"/>
          <w:szCs w:val="20"/>
        </w:rPr>
        <w:t xml:space="preserve"> </w:t>
      </w:r>
      <w:r w:rsidR="00123582" w:rsidRPr="0018556E">
        <w:rPr>
          <w:rFonts w:cstheme="minorHAnsi"/>
          <w:color w:val="000000" w:themeColor="text1"/>
          <w:szCs w:val="20"/>
        </w:rPr>
        <w:t>Expenditure on external consultancy services is outlined</w:t>
      </w:r>
      <w:r w:rsidR="004E044E" w:rsidRPr="0018556E">
        <w:rPr>
          <w:rFonts w:cstheme="minorHAnsi"/>
          <w:color w:val="000000" w:themeColor="text1"/>
          <w:szCs w:val="20"/>
        </w:rPr>
        <w:t xml:space="preserve"> by type</w:t>
      </w:r>
      <w:r w:rsidR="00123582" w:rsidRPr="0018556E">
        <w:rPr>
          <w:rFonts w:cstheme="minorHAnsi"/>
          <w:color w:val="000000" w:themeColor="text1"/>
          <w:szCs w:val="20"/>
        </w:rPr>
        <w:t xml:space="preserve"> in the table below.</w:t>
      </w:r>
    </w:p>
    <w:p w14:paraId="22368D82" w14:textId="77777777" w:rsidR="00F7310A" w:rsidRPr="0018556E" w:rsidRDefault="00F7310A" w:rsidP="0018556E">
      <w:pPr>
        <w:pStyle w:val="Heading2"/>
        <w:numPr>
          <w:ilvl w:val="0"/>
          <w:numId w:val="0"/>
        </w:numPr>
        <w:spacing w:before="0" w:after="0" w:line="23" w:lineRule="atLeast"/>
        <w:jc w:val="both"/>
        <w:rPr>
          <w:rFonts w:cstheme="minorHAnsi"/>
          <w:color w:val="000000" w:themeColor="text1"/>
          <w:sz w:val="24"/>
          <w:szCs w:val="20"/>
        </w:rPr>
      </w:pPr>
    </w:p>
    <w:tbl>
      <w:tblPr>
        <w:tblStyle w:val="Blueline"/>
        <w:tblW w:w="9498" w:type="dxa"/>
        <w:tblLook w:val="04E0" w:firstRow="1" w:lastRow="1" w:firstColumn="1" w:lastColumn="0" w:noHBand="0" w:noVBand="1"/>
      </w:tblPr>
      <w:tblGrid>
        <w:gridCol w:w="5245"/>
        <w:gridCol w:w="2693"/>
        <w:gridCol w:w="1560"/>
      </w:tblGrid>
      <w:tr w:rsidR="005B0199" w:rsidRPr="0018556E" w14:paraId="766E0FCA" w14:textId="77777777" w:rsidTr="003F754F">
        <w:trPr>
          <w:cnfStyle w:val="100000000000" w:firstRow="1" w:lastRow="0" w:firstColumn="0" w:lastColumn="0" w:oddVBand="0" w:evenVBand="0" w:oddHBand="0" w:evenHBand="0" w:firstRowFirstColumn="0" w:firstRowLastColumn="0" w:lastRowFirstColumn="0" w:lastRowLastColumn="0"/>
        </w:trPr>
        <w:tc>
          <w:tcPr>
            <w:tcW w:w="5245" w:type="dxa"/>
          </w:tcPr>
          <w:p w14:paraId="43E245F0" w14:textId="51EA83B5" w:rsidR="005B0199" w:rsidRPr="0018556E" w:rsidRDefault="005B0199" w:rsidP="0018556E">
            <w:pPr>
              <w:spacing w:line="23" w:lineRule="atLeast"/>
              <w:jc w:val="both"/>
              <w:rPr>
                <w:rFonts w:asciiTheme="minorHAnsi" w:hAnsiTheme="minorHAnsi" w:cstheme="minorHAnsi"/>
              </w:rPr>
            </w:pPr>
            <w:r w:rsidRPr="0018556E">
              <w:rPr>
                <w:rFonts w:asciiTheme="minorHAnsi" w:hAnsiTheme="minorHAnsi" w:cstheme="minorHAnsi"/>
              </w:rPr>
              <w:t>Type of consultancy service</w:t>
            </w:r>
          </w:p>
        </w:tc>
        <w:tc>
          <w:tcPr>
            <w:tcW w:w="2693" w:type="dxa"/>
          </w:tcPr>
          <w:p w14:paraId="71996EFE" w14:textId="0DCCC9EC" w:rsidR="005B0199" w:rsidRPr="0018556E" w:rsidRDefault="005B0199" w:rsidP="003F754F">
            <w:pPr>
              <w:spacing w:line="23" w:lineRule="atLeast"/>
              <w:jc w:val="right"/>
              <w:rPr>
                <w:rFonts w:asciiTheme="minorHAnsi" w:hAnsiTheme="minorHAnsi" w:cstheme="minorHAnsi"/>
              </w:rPr>
            </w:pPr>
            <w:r w:rsidRPr="0018556E">
              <w:rPr>
                <w:rFonts w:asciiTheme="minorHAnsi" w:hAnsiTheme="minorHAnsi" w:cstheme="minorHAnsi"/>
              </w:rPr>
              <w:t>2024-25 (£)</w:t>
            </w:r>
          </w:p>
        </w:tc>
        <w:tc>
          <w:tcPr>
            <w:tcW w:w="1560" w:type="dxa"/>
          </w:tcPr>
          <w:p w14:paraId="5A52207F" w14:textId="719E028A" w:rsidR="005B0199" w:rsidRPr="0018556E" w:rsidRDefault="005B0199" w:rsidP="00216B28">
            <w:pPr>
              <w:spacing w:line="23" w:lineRule="atLeast"/>
              <w:jc w:val="right"/>
              <w:rPr>
                <w:rFonts w:asciiTheme="minorHAnsi" w:hAnsiTheme="minorHAnsi" w:cstheme="minorHAnsi"/>
              </w:rPr>
            </w:pPr>
            <w:r w:rsidRPr="0018556E">
              <w:rPr>
                <w:rFonts w:asciiTheme="minorHAnsi" w:hAnsiTheme="minorHAnsi" w:cstheme="minorHAnsi"/>
              </w:rPr>
              <w:t>2023-24 (£)</w:t>
            </w:r>
          </w:p>
        </w:tc>
      </w:tr>
      <w:tr w:rsidR="005B0199" w:rsidRPr="0018556E" w14:paraId="66E5D8FE" w14:textId="77777777" w:rsidTr="003F754F">
        <w:tc>
          <w:tcPr>
            <w:tcW w:w="5245" w:type="dxa"/>
          </w:tcPr>
          <w:p w14:paraId="7760B177" w14:textId="19A763AD" w:rsidR="005B0199" w:rsidRPr="0018556E" w:rsidRDefault="005B0199" w:rsidP="0018556E">
            <w:pPr>
              <w:spacing w:line="23" w:lineRule="atLeast"/>
              <w:jc w:val="both"/>
              <w:rPr>
                <w:rFonts w:cstheme="minorHAnsi"/>
              </w:rPr>
            </w:pPr>
            <w:r w:rsidRPr="0018556E">
              <w:rPr>
                <w:rFonts w:cstheme="minorHAnsi"/>
              </w:rPr>
              <w:t>Regulation and licensing support</w:t>
            </w:r>
            <w:r w:rsidR="00F7310A">
              <w:rPr>
                <w:rStyle w:val="FootnoteReference"/>
                <w:rFonts w:cstheme="minorHAnsi"/>
              </w:rPr>
              <w:footnoteReference w:id="4"/>
            </w:r>
          </w:p>
        </w:tc>
        <w:tc>
          <w:tcPr>
            <w:tcW w:w="2693" w:type="dxa"/>
          </w:tcPr>
          <w:p w14:paraId="07F84339" w14:textId="1AB6A93D" w:rsidR="005B0199" w:rsidRPr="0018556E" w:rsidRDefault="003F754F" w:rsidP="003F754F">
            <w:pPr>
              <w:tabs>
                <w:tab w:val="left" w:pos="1290"/>
              </w:tabs>
              <w:spacing w:line="23" w:lineRule="atLeast"/>
              <w:jc w:val="right"/>
              <w:rPr>
                <w:rFonts w:cstheme="minorHAnsi"/>
              </w:rPr>
            </w:pPr>
            <w:r>
              <w:rPr>
                <w:rFonts w:cstheme="minorHAnsi"/>
              </w:rPr>
              <w:tab/>
              <w:t>213,408</w:t>
            </w:r>
          </w:p>
        </w:tc>
        <w:tc>
          <w:tcPr>
            <w:tcW w:w="1560" w:type="dxa"/>
          </w:tcPr>
          <w:p w14:paraId="047AC487" w14:textId="55D465C9" w:rsidR="005B0199" w:rsidRPr="0018556E" w:rsidRDefault="005B0199" w:rsidP="00216B28">
            <w:pPr>
              <w:spacing w:line="23" w:lineRule="atLeast"/>
              <w:jc w:val="right"/>
              <w:rPr>
                <w:rFonts w:cstheme="minorHAnsi"/>
              </w:rPr>
            </w:pPr>
            <w:r w:rsidRPr="0018556E">
              <w:rPr>
                <w:rFonts w:cstheme="minorHAnsi"/>
              </w:rPr>
              <w:t>297,391</w:t>
            </w:r>
          </w:p>
        </w:tc>
      </w:tr>
      <w:tr w:rsidR="005B0199" w:rsidRPr="0018556E" w14:paraId="2AE1CFC6" w14:textId="77777777" w:rsidTr="003F754F">
        <w:tc>
          <w:tcPr>
            <w:tcW w:w="5245" w:type="dxa"/>
          </w:tcPr>
          <w:p w14:paraId="6C5A4554" w14:textId="053ED535" w:rsidR="005B0199" w:rsidRPr="0018556E" w:rsidRDefault="005B0199" w:rsidP="0018556E">
            <w:pPr>
              <w:spacing w:line="23" w:lineRule="atLeast"/>
              <w:jc w:val="both"/>
              <w:rPr>
                <w:rFonts w:cstheme="minorHAnsi"/>
              </w:rPr>
            </w:pPr>
            <w:r w:rsidRPr="0018556E">
              <w:rPr>
                <w:rFonts w:cstheme="minorHAnsi"/>
              </w:rPr>
              <w:t>Internal audit and accounting</w:t>
            </w:r>
          </w:p>
        </w:tc>
        <w:tc>
          <w:tcPr>
            <w:tcW w:w="2693" w:type="dxa"/>
          </w:tcPr>
          <w:p w14:paraId="37CD30AC" w14:textId="3E30110A" w:rsidR="005B0199" w:rsidRPr="0018556E" w:rsidRDefault="002D23E1" w:rsidP="003F754F">
            <w:pPr>
              <w:spacing w:line="23" w:lineRule="atLeast"/>
              <w:jc w:val="right"/>
              <w:rPr>
                <w:rFonts w:cstheme="minorHAnsi"/>
              </w:rPr>
            </w:pPr>
            <w:r>
              <w:rPr>
                <w:rFonts w:cstheme="minorHAnsi"/>
              </w:rPr>
              <w:t>52,430</w:t>
            </w:r>
          </w:p>
        </w:tc>
        <w:tc>
          <w:tcPr>
            <w:tcW w:w="1560" w:type="dxa"/>
          </w:tcPr>
          <w:p w14:paraId="302A72D1" w14:textId="5051C163" w:rsidR="005B0199" w:rsidRPr="0018556E" w:rsidRDefault="005B0199" w:rsidP="00216B28">
            <w:pPr>
              <w:spacing w:line="23" w:lineRule="atLeast"/>
              <w:jc w:val="right"/>
              <w:rPr>
                <w:rFonts w:cstheme="minorHAnsi"/>
              </w:rPr>
            </w:pPr>
            <w:r w:rsidRPr="0018556E">
              <w:rPr>
                <w:rFonts w:cstheme="minorHAnsi"/>
              </w:rPr>
              <w:t>90,588</w:t>
            </w:r>
          </w:p>
        </w:tc>
      </w:tr>
      <w:tr w:rsidR="005B0199" w:rsidRPr="0018556E" w14:paraId="1B4F49BD" w14:textId="77777777" w:rsidTr="003F754F">
        <w:tc>
          <w:tcPr>
            <w:tcW w:w="5245" w:type="dxa"/>
          </w:tcPr>
          <w:p w14:paraId="7955F422" w14:textId="336FDB32" w:rsidR="005B0199" w:rsidRPr="0018556E" w:rsidRDefault="005B0199" w:rsidP="0018556E">
            <w:pPr>
              <w:spacing w:line="23" w:lineRule="atLeast"/>
              <w:jc w:val="both"/>
              <w:rPr>
                <w:rFonts w:cstheme="minorHAnsi"/>
              </w:rPr>
            </w:pPr>
            <w:r w:rsidRPr="0018556E">
              <w:rPr>
                <w:rFonts w:cstheme="minorHAnsi"/>
              </w:rPr>
              <w:t>Data protection services</w:t>
            </w:r>
          </w:p>
        </w:tc>
        <w:tc>
          <w:tcPr>
            <w:tcW w:w="2693" w:type="dxa"/>
          </w:tcPr>
          <w:p w14:paraId="7183A446" w14:textId="62D787B9" w:rsidR="005B0199" w:rsidRPr="0018556E" w:rsidRDefault="00695926" w:rsidP="003F754F">
            <w:pPr>
              <w:spacing w:line="23" w:lineRule="atLeast"/>
              <w:jc w:val="right"/>
              <w:rPr>
                <w:rFonts w:cstheme="minorHAnsi"/>
              </w:rPr>
            </w:pPr>
            <w:r>
              <w:rPr>
                <w:rFonts w:cstheme="minorHAnsi"/>
              </w:rPr>
              <w:t>31,481</w:t>
            </w:r>
          </w:p>
        </w:tc>
        <w:tc>
          <w:tcPr>
            <w:tcW w:w="1560" w:type="dxa"/>
          </w:tcPr>
          <w:p w14:paraId="56A8C1E7" w14:textId="6B74C5FC" w:rsidR="005B0199" w:rsidRPr="0018556E" w:rsidRDefault="005B0199" w:rsidP="00216B28">
            <w:pPr>
              <w:spacing w:line="23" w:lineRule="atLeast"/>
              <w:jc w:val="right"/>
              <w:rPr>
                <w:rFonts w:cstheme="minorHAnsi"/>
              </w:rPr>
            </w:pPr>
            <w:r w:rsidRPr="0018556E">
              <w:rPr>
                <w:rFonts w:cstheme="minorHAnsi"/>
              </w:rPr>
              <w:t>15,743</w:t>
            </w:r>
          </w:p>
        </w:tc>
      </w:tr>
      <w:tr w:rsidR="005B0199" w:rsidRPr="0018556E" w14:paraId="1D812285" w14:textId="77777777" w:rsidTr="003F754F">
        <w:tc>
          <w:tcPr>
            <w:tcW w:w="5245" w:type="dxa"/>
          </w:tcPr>
          <w:p w14:paraId="53ACA290" w14:textId="5BF173C7" w:rsidR="005B0199" w:rsidRPr="0018556E" w:rsidRDefault="005B0199" w:rsidP="0018556E">
            <w:pPr>
              <w:spacing w:line="23" w:lineRule="atLeast"/>
              <w:jc w:val="both"/>
              <w:rPr>
                <w:rFonts w:cstheme="minorHAnsi"/>
              </w:rPr>
            </w:pPr>
            <w:r w:rsidRPr="0018556E">
              <w:rPr>
                <w:rFonts w:cstheme="minorHAnsi"/>
              </w:rPr>
              <w:t>HR and recruitment</w:t>
            </w:r>
          </w:p>
        </w:tc>
        <w:tc>
          <w:tcPr>
            <w:tcW w:w="2693" w:type="dxa"/>
          </w:tcPr>
          <w:p w14:paraId="20E55737" w14:textId="701D1BA0" w:rsidR="005B0199" w:rsidRPr="0018556E" w:rsidRDefault="002D23E1" w:rsidP="003F754F">
            <w:pPr>
              <w:spacing w:line="23" w:lineRule="atLeast"/>
              <w:jc w:val="right"/>
              <w:rPr>
                <w:rFonts w:cstheme="minorHAnsi"/>
              </w:rPr>
            </w:pPr>
            <w:r>
              <w:rPr>
                <w:rFonts w:cstheme="minorHAnsi"/>
              </w:rPr>
              <w:t>63,494</w:t>
            </w:r>
          </w:p>
        </w:tc>
        <w:tc>
          <w:tcPr>
            <w:tcW w:w="1560" w:type="dxa"/>
          </w:tcPr>
          <w:p w14:paraId="09E93B81" w14:textId="79DC3846" w:rsidR="005B0199" w:rsidRPr="0018556E" w:rsidRDefault="005B0199" w:rsidP="00216B28">
            <w:pPr>
              <w:spacing w:line="23" w:lineRule="atLeast"/>
              <w:jc w:val="right"/>
              <w:rPr>
                <w:rFonts w:cstheme="minorHAnsi"/>
              </w:rPr>
            </w:pPr>
            <w:r w:rsidRPr="0018556E">
              <w:rPr>
                <w:rFonts w:cstheme="minorHAnsi"/>
              </w:rPr>
              <w:t>40,085</w:t>
            </w:r>
          </w:p>
        </w:tc>
      </w:tr>
      <w:tr w:rsidR="005B0199" w:rsidRPr="0018556E" w14:paraId="1AB81B1A" w14:textId="77777777" w:rsidTr="003F754F">
        <w:tc>
          <w:tcPr>
            <w:tcW w:w="5245" w:type="dxa"/>
          </w:tcPr>
          <w:p w14:paraId="53F34D35" w14:textId="6A263FBE" w:rsidR="005B0199" w:rsidRPr="0018556E" w:rsidRDefault="005B0199" w:rsidP="0018556E">
            <w:pPr>
              <w:spacing w:line="23" w:lineRule="atLeast"/>
              <w:jc w:val="both"/>
              <w:rPr>
                <w:rFonts w:cstheme="minorHAnsi"/>
              </w:rPr>
            </w:pPr>
            <w:r w:rsidRPr="0018556E">
              <w:rPr>
                <w:rFonts w:cstheme="minorHAnsi"/>
              </w:rPr>
              <w:t>Information technology</w:t>
            </w:r>
          </w:p>
        </w:tc>
        <w:tc>
          <w:tcPr>
            <w:tcW w:w="2693" w:type="dxa"/>
          </w:tcPr>
          <w:p w14:paraId="37E5CF7C" w14:textId="698844A7" w:rsidR="005B0199" w:rsidRPr="0018556E" w:rsidRDefault="00F7310A" w:rsidP="003F754F">
            <w:pPr>
              <w:spacing w:line="23" w:lineRule="atLeast"/>
              <w:jc w:val="right"/>
              <w:rPr>
                <w:rFonts w:cstheme="minorHAnsi"/>
              </w:rPr>
            </w:pPr>
            <w:r>
              <w:rPr>
                <w:rFonts w:cstheme="minorHAnsi"/>
              </w:rPr>
              <w:t>19,391</w:t>
            </w:r>
          </w:p>
        </w:tc>
        <w:tc>
          <w:tcPr>
            <w:tcW w:w="1560" w:type="dxa"/>
          </w:tcPr>
          <w:p w14:paraId="6436443E" w14:textId="1067CCA5" w:rsidR="005B0199" w:rsidRPr="0018556E" w:rsidRDefault="005B0199" w:rsidP="00216B28">
            <w:pPr>
              <w:spacing w:line="23" w:lineRule="atLeast"/>
              <w:jc w:val="right"/>
              <w:rPr>
                <w:rFonts w:cstheme="minorHAnsi"/>
              </w:rPr>
            </w:pPr>
            <w:r w:rsidRPr="0018556E">
              <w:rPr>
                <w:rFonts w:cstheme="minorHAnsi"/>
              </w:rPr>
              <w:t>26,530</w:t>
            </w:r>
          </w:p>
        </w:tc>
      </w:tr>
      <w:tr w:rsidR="005B0199" w:rsidRPr="0018556E" w14:paraId="17A3C28C" w14:textId="77777777" w:rsidTr="003F754F">
        <w:trPr>
          <w:cnfStyle w:val="010000000000" w:firstRow="0" w:lastRow="1" w:firstColumn="0" w:lastColumn="0" w:oddVBand="0" w:evenVBand="0" w:oddHBand="0" w:evenHBand="0" w:firstRowFirstColumn="0" w:firstRowLastColumn="0" w:lastRowFirstColumn="0" w:lastRowLastColumn="0"/>
        </w:trPr>
        <w:tc>
          <w:tcPr>
            <w:tcW w:w="5245" w:type="dxa"/>
          </w:tcPr>
          <w:p w14:paraId="11EA3A36" w14:textId="4AF93C61" w:rsidR="005B0199" w:rsidRPr="0018556E" w:rsidRDefault="005B0199" w:rsidP="0018556E">
            <w:pPr>
              <w:spacing w:line="23" w:lineRule="atLeast"/>
              <w:jc w:val="both"/>
              <w:rPr>
                <w:rFonts w:cstheme="minorHAnsi"/>
              </w:rPr>
            </w:pPr>
            <w:r w:rsidRPr="0018556E">
              <w:rPr>
                <w:rFonts w:cstheme="minorHAnsi"/>
              </w:rPr>
              <w:t>Other</w:t>
            </w:r>
          </w:p>
        </w:tc>
        <w:tc>
          <w:tcPr>
            <w:tcW w:w="2693" w:type="dxa"/>
          </w:tcPr>
          <w:p w14:paraId="4049BE54" w14:textId="6B0E1109" w:rsidR="005B0199" w:rsidRPr="0018556E" w:rsidRDefault="00F7310A" w:rsidP="003F754F">
            <w:pPr>
              <w:spacing w:line="23" w:lineRule="atLeast"/>
              <w:jc w:val="right"/>
              <w:rPr>
                <w:rFonts w:cstheme="minorHAnsi"/>
              </w:rPr>
            </w:pPr>
            <w:r>
              <w:rPr>
                <w:rFonts w:cstheme="minorHAnsi"/>
              </w:rPr>
              <w:t>13,443</w:t>
            </w:r>
          </w:p>
        </w:tc>
        <w:tc>
          <w:tcPr>
            <w:tcW w:w="1560" w:type="dxa"/>
          </w:tcPr>
          <w:p w14:paraId="3BE04E15" w14:textId="7922891D" w:rsidR="005B0199" w:rsidRPr="0018556E" w:rsidRDefault="005B0199" w:rsidP="00216B28">
            <w:pPr>
              <w:spacing w:line="23" w:lineRule="atLeast"/>
              <w:jc w:val="right"/>
              <w:rPr>
                <w:rFonts w:cstheme="minorHAnsi"/>
              </w:rPr>
            </w:pPr>
            <w:r w:rsidRPr="0018556E">
              <w:rPr>
                <w:rFonts w:cstheme="minorHAnsi"/>
              </w:rPr>
              <w:t>9,260</w:t>
            </w:r>
          </w:p>
        </w:tc>
      </w:tr>
    </w:tbl>
    <w:p w14:paraId="5F9E13AA" w14:textId="77777777" w:rsidR="00D51448" w:rsidRPr="0018556E" w:rsidRDefault="00D51448" w:rsidP="0018556E">
      <w:pPr>
        <w:pStyle w:val="Heading2"/>
        <w:numPr>
          <w:ilvl w:val="0"/>
          <w:numId w:val="0"/>
        </w:numPr>
        <w:spacing w:before="0" w:after="0" w:line="23" w:lineRule="atLeast"/>
        <w:jc w:val="both"/>
        <w:rPr>
          <w:rFonts w:cstheme="minorHAnsi"/>
        </w:rPr>
      </w:pPr>
    </w:p>
    <w:p w14:paraId="724892AC" w14:textId="1829727D" w:rsidR="00D51448" w:rsidRPr="0018556E" w:rsidRDefault="00ED0985" w:rsidP="0018556E">
      <w:pPr>
        <w:pStyle w:val="Heading20"/>
        <w:spacing w:before="0" w:after="0" w:line="23" w:lineRule="atLeast"/>
        <w:jc w:val="both"/>
        <w:rPr>
          <w:rFonts w:cstheme="minorHAnsi"/>
        </w:rPr>
      </w:pPr>
      <w:bookmarkStart w:id="10" w:name="_Toc215838061"/>
      <w:r w:rsidRPr="0018556E">
        <w:rPr>
          <w:rFonts w:cstheme="minorHAnsi"/>
        </w:rPr>
        <w:t xml:space="preserve">3.5 </w:t>
      </w:r>
      <w:r w:rsidR="00D51448" w:rsidRPr="0018556E">
        <w:rPr>
          <w:rFonts w:cstheme="minorHAnsi"/>
        </w:rPr>
        <w:t>Payments in excess of £25,000</w:t>
      </w:r>
      <w:bookmarkEnd w:id="10"/>
    </w:p>
    <w:p w14:paraId="553A48B6" w14:textId="4F4E71E0" w:rsidR="00A34BE2" w:rsidRDefault="00D51448" w:rsidP="0018556E">
      <w:pPr>
        <w:spacing w:line="23" w:lineRule="atLeast"/>
        <w:jc w:val="both"/>
        <w:rPr>
          <w:rFonts w:cstheme="minorHAnsi"/>
        </w:rPr>
      </w:pPr>
      <w:r w:rsidRPr="0018556E">
        <w:rPr>
          <w:rFonts w:cstheme="minorHAnsi"/>
          <w:color w:val="000000" w:themeColor="text1"/>
          <w:szCs w:val="20"/>
        </w:rPr>
        <w:t>Section 31 (3) of the Act provides that each listed body must publish a statement specifying the amount, date, payee and subject matter of any payment</w:t>
      </w:r>
      <w:r w:rsidR="00A34BE2" w:rsidRPr="0018556E">
        <w:rPr>
          <w:rStyle w:val="FootnoteReference"/>
          <w:rFonts w:cstheme="minorHAnsi"/>
          <w:color w:val="000000" w:themeColor="text1"/>
          <w:szCs w:val="20"/>
        </w:rPr>
        <w:footnoteReference w:id="5"/>
      </w:r>
      <w:r w:rsidRPr="0018556E">
        <w:rPr>
          <w:rFonts w:cstheme="minorHAnsi"/>
          <w:color w:val="000000" w:themeColor="text1"/>
          <w:szCs w:val="20"/>
        </w:rPr>
        <w:t xml:space="preserve"> made </w:t>
      </w:r>
      <w:r w:rsidR="00256C92" w:rsidRPr="0018556E">
        <w:rPr>
          <w:rFonts w:cstheme="minorHAnsi"/>
          <w:color w:val="000000" w:themeColor="text1"/>
          <w:szCs w:val="20"/>
        </w:rPr>
        <w:t>with</w:t>
      </w:r>
      <w:r w:rsidRPr="0018556E">
        <w:rPr>
          <w:rFonts w:cstheme="minorHAnsi"/>
          <w:color w:val="000000" w:themeColor="text1"/>
          <w:szCs w:val="20"/>
        </w:rPr>
        <w:t xml:space="preserve"> a value in excess of £25,000 (inclusive of VAT).</w:t>
      </w:r>
      <w:r w:rsidR="00A34BE2" w:rsidRPr="0018556E">
        <w:rPr>
          <w:rFonts w:cstheme="minorHAnsi"/>
          <w:color w:val="000000" w:themeColor="text1"/>
          <w:szCs w:val="20"/>
        </w:rPr>
        <w:t xml:space="preserve"> </w:t>
      </w:r>
      <w:r w:rsidR="00DD1B50" w:rsidRPr="0018556E">
        <w:rPr>
          <w:rFonts w:cstheme="minorHAnsi"/>
        </w:rPr>
        <w:t xml:space="preserve">The table below </w:t>
      </w:r>
      <w:r w:rsidR="00573040" w:rsidRPr="0018556E">
        <w:rPr>
          <w:rFonts w:cstheme="minorHAnsi"/>
        </w:rPr>
        <w:t>provides information on all payments made by WICS over £25,000.</w:t>
      </w:r>
    </w:p>
    <w:p w14:paraId="7FF3CD9F" w14:textId="77777777" w:rsidR="008A3B8E" w:rsidRPr="0018556E" w:rsidRDefault="008A3B8E" w:rsidP="0018556E">
      <w:pPr>
        <w:spacing w:line="23" w:lineRule="atLeast"/>
        <w:jc w:val="both"/>
        <w:rPr>
          <w:rFonts w:cstheme="minorHAnsi"/>
        </w:rPr>
      </w:pPr>
    </w:p>
    <w:tbl>
      <w:tblPr>
        <w:tblStyle w:val="Blueline"/>
        <w:tblW w:w="0" w:type="auto"/>
        <w:tblLook w:val="04E0" w:firstRow="1" w:lastRow="1" w:firstColumn="1" w:lastColumn="0" w:noHBand="0" w:noVBand="1"/>
      </w:tblPr>
      <w:tblGrid>
        <w:gridCol w:w="1350"/>
        <w:gridCol w:w="1530"/>
        <w:gridCol w:w="2790"/>
        <w:gridCol w:w="3960"/>
      </w:tblGrid>
      <w:tr w:rsidR="00B85EC6" w:rsidRPr="0018556E" w14:paraId="68937E37" w14:textId="77777777" w:rsidTr="00B75F5D">
        <w:trPr>
          <w:cnfStyle w:val="100000000000" w:firstRow="1" w:lastRow="0" w:firstColumn="0" w:lastColumn="0" w:oddVBand="0" w:evenVBand="0" w:oddHBand="0" w:evenHBand="0" w:firstRowFirstColumn="0" w:firstRowLastColumn="0" w:lastRowFirstColumn="0" w:lastRowLastColumn="0"/>
        </w:trPr>
        <w:tc>
          <w:tcPr>
            <w:tcW w:w="1350" w:type="dxa"/>
          </w:tcPr>
          <w:p w14:paraId="6CF7BF2D" w14:textId="1CB137D2" w:rsidR="00B85EC6" w:rsidRPr="0018556E" w:rsidRDefault="00B85EC6" w:rsidP="0018556E">
            <w:pPr>
              <w:spacing w:line="23" w:lineRule="atLeast"/>
              <w:jc w:val="both"/>
              <w:rPr>
                <w:rFonts w:asciiTheme="minorHAnsi" w:hAnsiTheme="minorHAnsi" w:cstheme="minorHAnsi"/>
              </w:rPr>
            </w:pPr>
            <w:r w:rsidRPr="0018556E">
              <w:rPr>
                <w:rFonts w:asciiTheme="minorHAnsi" w:hAnsiTheme="minorHAnsi" w:cstheme="minorHAnsi"/>
              </w:rPr>
              <w:t>Date of transaction</w:t>
            </w:r>
          </w:p>
        </w:tc>
        <w:tc>
          <w:tcPr>
            <w:tcW w:w="1530" w:type="dxa"/>
          </w:tcPr>
          <w:p w14:paraId="776E1974" w14:textId="6D242F9A" w:rsidR="00B85EC6" w:rsidRPr="0018556E" w:rsidRDefault="00B85EC6" w:rsidP="0018556E">
            <w:pPr>
              <w:spacing w:line="23" w:lineRule="atLeast"/>
              <w:jc w:val="both"/>
              <w:rPr>
                <w:rFonts w:asciiTheme="minorHAnsi" w:hAnsiTheme="minorHAnsi" w:cstheme="minorHAnsi"/>
              </w:rPr>
            </w:pPr>
            <w:r w:rsidRPr="0018556E">
              <w:rPr>
                <w:rFonts w:asciiTheme="minorHAnsi" w:hAnsiTheme="minorHAnsi" w:cstheme="minorHAnsi"/>
              </w:rPr>
              <w:t>Amount (£)</w:t>
            </w:r>
          </w:p>
        </w:tc>
        <w:tc>
          <w:tcPr>
            <w:tcW w:w="2790" w:type="dxa"/>
          </w:tcPr>
          <w:p w14:paraId="55D37DF0" w14:textId="141D015E" w:rsidR="00B85EC6" w:rsidRPr="0018556E" w:rsidRDefault="00B85EC6" w:rsidP="0018556E">
            <w:pPr>
              <w:spacing w:line="23" w:lineRule="atLeast"/>
              <w:jc w:val="both"/>
              <w:rPr>
                <w:rFonts w:asciiTheme="minorHAnsi" w:hAnsiTheme="minorHAnsi" w:cstheme="minorHAnsi"/>
              </w:rPr>
            </w:pPr>
            <w:r w:rsidRPr="0018556E">
              <w:rPr>
                <w:rFonts w:asciiTheme="minorHAnsi" w:hAnsiTheme="minorHAnsi" w:cstheme="minorHAnsi"/>
              </w:rPr>
              <w:t>Recipient</w:t>
            </w:r>
          </w:p>
        </w:tc>
        <w:tc>
          <w:tcPr>
            <w:tcW w:w="3960" w:type="dxa"/>
          </w:tcPr>
          <w:p w14:paraId="46954C0E" w14:textId="2A1B9449" w:rsidR="00B85EC6" w:rsidRPr="0018556E" w:rsidRDefault="00B85EC6" w:rsidP="0018556E">
            <w:pPr>
              <w:spacing w:line="23" w:lineRule="atLeast"/>
              <w:jc w:val="both"/>
              <w:rPr>
                <w:rFonts w:asciiTheme="minorHAnsi" w:hAnsiTheme="minorHAnsi" w:cstheme="minorHAnsi"/>
              </w:rPr>
            </w:pPr>
            <w:r w:rsidRPr="0018556E">
              <w:rPr>
                <w:rFonts w:asciiTheme="minorHAnsi" w:hAnsiTheme="minorHAnsi" w:cstheme="minorHAnsi"/>
              </w:rPr>
              <w:t>Description</w:t>
            </w:r>
          </w:p>
        </w:tc>
      </w:tr>
      <w:tr w:rsidR="00B85EC6" w:rsidRPr="0018556E" w14:paraId="2081AEC9" w14:textId="77777777" w:rsidTr="001B23F9">
        <w:trPr>
          <w:trHeight w:val="355"/>
        </w:trPr>
        <w:tc>
          <w:tcPr>
            <w:tcW w:w="1350" w:type="dxa"/>
          </w:tcPr>
          <w:p w14:paraId="7D5DFF9C" w14:textId="6867330A" w:rsidR="00520717" w:rsidRPr="0018556E" w:rsidRDefault="007E28AD" w:rsidP="0018556E">
            <w:pPr>
              <w:spacing w:line="23" w:lineRule="atLeast"/>
              <w:jc w:val="both"/>
              <w:rPr>
                <w:rFonts w:cstheme="minorHAnsi"/>
              </w:rPr>
            </w:pPr>
            <w:r>
              <w:rPr>
                <w:rFonts w:cstheme="minorHAnsi"/>
              </w:rPr>
              <w:t>12/0</w:t>
            </w:r>
            <w:r w:rsidR="0069450B">
              <w:rPr>
                <w:rFonts w:cstheme="minorHAnsi"/>
              </w:rPr>
              <w:t>4</w:t>
            </w:r>
            <w:r>
              <w:rPr>
                <w:rFonts w:cstheme="minorHAnsi"/>
              </w:rPr>
              <w:t>/24</w:t>
            </w:r>
          </w:p>
        </w:tc>
        <w:tc>
          <w:tcPr>
            <w:tcW w:w="1530" w:type="dxa"/>
          </w:tcPr>
          <w:p w14:paraId="1A23F8A3" w14:textId="6272964D" w:rsidR="00B85EC6" w:rsidRPr="0018556E" w:rsidRDefault="001B23F9" w:rsidP="0018556E">
            <w:pPr>
              <w:spacing w:line="23" w:lineRule="atLeast"/>
              <w:jc w:val="both"/>
              <w:rPr>
                <w:rFonts w:cstheme="minorHAnsi"/>
              </w:rPr>
            </w:pPr>
            <w:r>
              <w:rPr>
                <w:rFonts w:cstheme="minorHAnsi"/>
              </w:rPr>
              <w:t>25,048.50</w:t>
            </w:r>
          </w:p>
        </w:tc>
        <w:tc>
          <w:tcPr>
            <w:tcW w:w="2790" w:type="dxa"/>
          </w:tcPr>
          <w:p w14:paraId="71064D85" w14:textId="73484991" w:rsidR="00B85EC6" w:rsidRPr="0018556E" w:rsidRDefault="00EE7B0F" w:rsidP="0018556E">
            <w:pPr>
              <w:spacing w:line="23" w:lineRule="atLeast"/>
              <w:jc w:val="both"/>
              <w:rPr>
                <w:rFonts w:cstheme="minorHAnsi"/>
              </w:rPr>
            </w:pPr>
            <w:r>
              <w:rPr>
                <w:rFonts w:cstheme="minorHAnsi"/>
              </w:rPr>
              <w:t>Stirling Council</w:t>
            </w:r>
          </w:p>
        </w:tc>
        <w:tc>
          <w:tcPr>
            <w:tcW w:w="3960" w:type="dxa"/>
          </w:tcPr>
          <w:p w14:paraId="0258B76E" w14:textId="33D7A4FF" w:rsidR="00B85EC6" w:rsidRPr="0018556E" w:rsidRDefault="00EE7B0F" w:rsidP="0018556E">
            <w:pPr>
              <w:spacing w:line="23" w:lineRule="atLeast"/>
              <w:jc w:val="both"/>
              <w:rPr>
                <w:rFonts w:cstheme="minorHAnsi"/>
              </w:rPr>
            </w:pPr>
            <w:r>
              <w:rPr>
                <w:rFonts w:cstheme="minorHAnsi"/>
              </w:rPr>
              <w:t>Office rent, Moray House, Stirling</w:t>
            </w:r>
          </w:p>
        </w:tc>
      </w:tr>
      <w:tr w:rsidR="00B85EC6" w:rsidRPr="0018556E" w14:paraId="07A7729E" w14:textId="77777777" w:rsidTr="00B75F5D">
        <w:tc>
          <w:tcPr>
            <w:tcW w:w="1350" w:type="dxa"/>
          </w:tcPr>
          <w:p w14:paraId="2A1B14DD" w14:textId="16ED5105" w:rsidR="00B85EC6" w:rsidRPr="0018556E" w:rsidRDefault="007E28AD" w:rsidP="0018556E">
            <w:pPr>
              <w:spacing w:line="23" w:lineRule="atLeast"/>
              <w:jc w:val="both"/>
              <w:rPr>
                <w:rFonts w:cstheme="minorHAnsi"/>
              </w:rPr>
            </w:pPr>
            <w:r>
              <w:rPr>
                <w:rFonts w:cstheme="minorHAnsi"/>
              </w:rPr>
              <w:t>1</w:t>
            </w:r>
            <w:r w:rsidR="0069450B">
              <w:rPr>
                <w:rFonts w:cstheme="minorHAnsi"/>
              </w:rPr>
              <w:t>2/06</w:t>
            </w:r>
            <w:r>
              <w:rPr>
                <w:rFonts w:cstheme="minorHAnsi"/>
              </w:rPr>
              <w:t>/24</w:t>
            </w:r>
          </w:p>
        </w:tc>
        <w:tc>
          <w:tcPr>
            <w:tcW w:w="1530" w:type="dxa"/>
          </w:tcPr>
          <w:p w14:paraId="6BFC2378" w14:textId="62F189B9" w:rsidR="00B85EC6" w:rsidRPr="0018556E" w:rsidRDefault="001B23F9" w:rsidP="0018556E">
            <w:pPr>
              <w:spacing w:line="23" w:lineRule="atLeast"/>
              <w:jc w:val="both"/>
              <w:rPr>
                <w:rFonts w:cstheme="minorHAnsi"/>
              </w:rPr>
            </w:pPr>
            <w:r>
              <w:rPr>
                <w:rFonts w:cstheme="minorHAnsi"/>
              </w:rPr>
              <w:t>26,175.60</w:t>
            </w:r>
          </w:p>
        </w:tc>
        <w:tc>
          <w:tcPr>
            <w:tcW w:w="2790" w:type="dxa"/>
          </w:tcPr>
          <w:p w14:paraId="42E9B3D8" w14:textId="6615ABEF" w:rsidR="00B85EC6" w:rsidRPr="0018556E" w:rsidRDefault="00EE7B0F" w:rsidP="0018556E">
            <w:pPr>
              <w:spacing w:line="23" w:lineRule="atLeast"/>
              <w:jc w:val="both"/>
              <w:rPr>
                <w:rFonts w:cstheme="minorHAnsi"/>
              </w:rPr>
            </w:pPr>
            <w:r>
              <w:rPr>
                <w:rFonts w:cstheme="minorHAnsi"/>
              </w:rPr>
              <w:t>Stirling Council</w:t>
            </w:r>
          </w:p>
        </w:tc>
        <w:tc>
          <w:tcPr>
            <w:tcW w:w="3960" w:type="dxa"/>
          </w:tcPr>
          <w:p w14:paraId="4303E650" w14:textId="4552D575" w:rsidR="00B85EC6" w:rsidRPr="0018556E" w:rsidRDefault="00EE7B0F" w:rsidP="0018556E">
            <w:pPr>
              <w:spacing w:line="23" w:lineRule="atLeast"/>
              <w:jc w:val="both"/>
              <w:rPr>
                <w:rFonts w:cstheme="minorHAnsi"/>
              </w:rPr>
            </w:pPr>
            <w:r>
              <w:rPr>
                <w:rFonts w:cstheme="minorHAnsi"/>
              </w:rPr>
              <w:t>Office rent, Moray House, Stirling</w:t>
            </w:r>
          </w:p>
        </w:tc>
      </w:tr>
      <w:tr w:rsidR="00B85EC6" w:rsidRPr="0018556E" w14:paraId="3D835A49" w14:textId="77777777" w:rsidTr="00B75F5D">
        <w:tc>
          <w:tcPr>
            <w:tcW w:w="1350" w:type="dxa"/>
          </w:tcPr>
          <w:p w14:paraId="3DE4CBEC" w14:textId="51E6795F" w:rsidR="00B85EC6" w:rsidRPr="0018556E" w:rsidRDefault="001B23F9" w:rsidP="0018556E">
            <w:pPr>
              <w:spacing w:line="23" w:lineRule="atLeast"/>
              <w:jc w:val="both"/>
              <w:rPr>
                <w:rFonts w:cstheme="minorHAnsi"/>
              </w:rPr>
            </w:pPr>
            <w:r>
              <w:rPr>
                <w:rFonts w:cstheme="minorHAnsi"/>
              </w:rPr>
              <w:t>21/08</w:t>
            </w:r>
            <w:r w:rsidR="007E28AD">
              <w:rPr>
                <w:rFonts w:cstheme="minorHAnsi"/>
              </w:rPr>
              <w:t>/24</w:t>
            </w:r>
          </w:p>
        </w:tc>
        <w:tc>
          <w:tcPr>
            <w:tcW w:w="1530" w:type="dxa"/>
          </w:tcPr>
          <w:p w14:paraId="0D70033D" w14:textId="3D7C456F" w:rsidR="00B85EC6" w:rsidRPr="0018556E" w:rsidRDefault="00EE7B0F" w:rsidP="0018556E">
            <w:pPr>
              <w:spacing w:line="23" w:lineRule="atLeast"/>
              <w:jc w:val="both"/>
              <w:rPr>
                <w:rFonts w:cstheme="minorHAnsi"/>
              </w:rPr>
            </w:pPr>
            <w:r>
              <w:rPr>
                <w:rFonts w:cstheme="minorHAnsi"/>
              </w:rPr>
              <w:t>26,175.60</w:t>
            </w:r>
          </w:p>
        </w:tc>
        <w:tc>
          <w:tcPr>
            <w:tcW w:w="2790" w:type="dxa"/>
          </w:tcPr>
          <w:p w14:paraId="1D390138" w14:textId="1575A02A" w:rsidR="00B85EC6" w:rsidRPr="0018556E" w:rsidRDefault="00EE7B0F" w:rsidP="0018556E">
            <w:pPr>
              <w:spacing w:line="23" w:lineRule="atLeast"/>
              <w:jc w:val="both"/>
              <w:rPr>
                <w:rFonts w:cstheme="minorHAnsi"/>
              </w:rPr>
            </w:pPr>
            <w:r>
              <w:rPr>
                <w:rFonts w:cstheme="minorHAnsi"/>
              </w:rPr>
              <w:t>Stirling Council</w:t>
            </w:r>
          </w:p>
        </w:tc>
        <w:tc>
          <w:tcPr>
            <w:tcW w:w="3960" w:type="dxa"/>
          </w:tcPr>
          <w:p w14:paraId="68FFEF11" w14:textId="7B3018E8" w:rsidR="00B85EC6" w:rsidRPr="0018556E" w:rsidRDefault="00EE7B0F" w:rsidP="0018556E">
            <w:pPr>
              <w:spacing w:line="23" w:lineRule="atLeast"/>
              <w:jc w:val="both"/>
              <w:rPr>
                <w:rFonts w:cstheme="minorHAnsi"/>
              </w:rPr>
            </w:pPr>
            <w:r>
              <w:rPr>
                <w:rFonts w:cstheme="minorHAnsi"/>
              </w:rPr>
              <w:t>Office rent, Moray House, Stirling</w:t>
            </w:r>
          </w:p>
        </w:tc>
      </w:tr>
      <w:tr w:rsidR="00B85EC6" w:rsidRPr="0018556E" w14:paraId="401CD81C" w14:textId="77777777" w:rsidTr="00B75F5D">
        <w:tc>
          <w:tcPr>
            <w:tcW w:w="1350" w:type="dxa"/>
          </w:tcPr>
          <w:p w14:paraId="732B66B4" w14:textId="2CD41221" w:rsidR="00B85EC6" w:rsidRPr="0018556E" w:rsidRDefault="0069450B" w:rsidP="0018556E">
            <w:pPr>
              <w:spacing w:line="23" w:lineRule="atLeast"/>
              <w:jc w:val="both"/>
              <w:rPr>
                <w:rFonts w:cstheme="minorHAnsi"/>
              </w:rPr>
            </w:pPr>
            <w:r>
              <w:rPr>
                <w:rFonts w:cstheme="minorHAnsi"/>
              </w:rPr>
              <w:t>12/</w:t>
            </w:r>
            <w:r w:rsidR="001B23F9">
              <w:rPr>
                <w:rFonts w:cstheme="minorHAnsi"/>
              </w:rPr>
              <w:t>09/24</w:t>
            </w:r>
          </w:p>
        </w:tc>
        <w:tc>
          <w:tcPr>
            <w:tcW w:w="1530" w:type="dxa"/>
          </w:tcPr>
          <w:p w14:paraId="630FEC78" w14:textId="5CE94C99" w:rsidR="00B85EC6" w:rsidRPr="0018556E" w:rsidRDefault="00EE7B0F" w:rsidP="0018556E">
            <w:pPr>
              <w:spacing w:line="23" w:lineRule="atLeast"/>
              <w:jc w:val="both"/>
              <w:rPr>
                <w:rFonts w:cstheme="minorHAnsi"/>
              </w:rPr>
            </w:pPr>
            <w:r>
              <w:rPr>
                <w:rFonts w:cstheme="minorHAnsi"/>
              </w:rPr>
              <w:t>48,000.00</w:t>
            </w:r>
          </w:p>
        </w:tc>
        <w:tc>
          <w:tcPr>
            <w:tcW w:w="2790" w:type="dxa"/>
          </w:tcPr>
          <w:p w14:paraId="74EF92C7" w14:textId="57C6A7FB" w:rsidR="00B85EC6" w:rsidRPr="0018556E" w:rsidRDefault="00EE7B0F" w:rsidP="0018556E">
            <w:pPr>
              <w:spacing w:line="23" w:lineRule="atLeast"/>
              <w:jc w:val="both"/>
              <w:rPr>
                <w:rFonts w:cstheme="minorHAnsi"/>
              </w:rPr>
            </w:pPr>
            <w:r>
              <w:rPr>
                <w:rFonts w:cstheme="minorHAnsi"/>
              </w:rPr>
              <w:t>Grant Thornton</w:t>
            </w:r>
          </w:p>
        </w:tc>
        <w:tc>
          <w:tcPr>
            <w:tcW w:w="3960" w:type="dxa"/>
          </w:tcPr>
          <w:p w14:paraId="16546E6C" w14:textId="03D895C0" w:rsidR="00B85EC6" w:rsidRPr="0018556E" w:rsidRDefault="00EE7B0F" w:rsidP="0018556E">
            <w:pPr>
              <w:spacing w:line="23" w:lineRule="atLeast"/>
              <w:jc w:val="both"/>
              <w:rPr>
                <w:rFonts w:cstheme="minorHAnsi"/>
              </w:rPr>
            </w:pPr>
            <w:r>
              <w:rPr>
                <w:rFonts w:cstheme="minorHAnsi"/>
              </w:rPr>
              <w:t>Internal audit services</w:t>
            </w:r>
          </w:p>
        </w:tc>
      </w:tr>
      <w:tr w:rsidR="00B85EC6" w:rsidRPr="0018556E" w14:paraId="2BB0B6F4" w14:textId="77777777" w:rsidTr="00B75F5D">
        <w:tc>
          <w:tcPr>
            <w:tcW w:w="1350" w:type="dxa"/>
          </w:tcPr>
          <w:p w14:paraId="2D9B90D3" w14:textId="6C232307" w:rsidR="00B85EC6" w:rsidRPr="0018556E" w:rsidRDefault="001B23F9" w:rsidP="0018556E">
            <w:pPr>
              <w:spacing w:line="23" w:lineRule="atLeast"/>
              <w:jc w:val="both"/>
              <w:rPr>
                <w:rFonts w:cstheme="minorHAnsi"/>
              </w:rPr>
            </w:pPr>
            <w:r>
              <w:rPr>
                <w:rFonts w:cstheme="minorHAnsi"/>
              </w:rPr>
              <w:t>12/09/24</w:t>
            </w:r>
          </w:p>
        </w:tc>
        <w:tc>
          <w:tcPr>
            <w:tcW w:w="1530" w:type="dxa"/>
          </w:tcPr>
          <w:p w14:paraId="440FC2A6" w14:textId="74D54148" w:rsidR="00B85EC6" w:rsidRPr="0018556E" w:rsidRDefault="00EE7B0F" w:rsidP="0018556E">
            <w:pPr>
              <w:spacing w:line="23" w:lineRule="atLeast"/>
              <w:jc w:val="both"/>
              <w:rPr>
                <w:rFonts w:cstheme="minorHAnsi"/>
              </w:rPr>
            </w:pPr>
            <w:r>
              <w:rPr>
                <w:rFonts w:cstheme="minorHAnsi"/>
              </w:rPr>
              <w:t>30,808.00</w:t>
            </w:r>
          </w:p>
        </w:tc>
        <w:tc>
          <w:tcPr>
            <w:tcW w:w="2790" w:type="dxa"/>
          </w:tcPr>
          <w:p w14:paraId="2BAB2589" w14:textId="1681CD38" w:rsidR="00B85EC6" w:rsidRPr="0018556E" w:rsidRDefault="00EE7B0F" w:rsidP="0018556E">
            <w:pPr>
              <w:spacing w:line="23" w:lineRule="atLeast"/>
              <w:jc w:val="both"/>
              <w:rPr>
                <w:rFonts w:cstheme="minorHAnsi"/>
              </w:rPr>
            </w:pPr>
            <w:r>
              <w:rPr>
                <w:rFonts w:cstheme="minorHAnsi"/>
              </w:rPr>
              <w:t>Water Research Centre</w:t>
            </w:r>
          </w:p>
        </w:tc>
        <w:tc>
          <w:tcPr>
            <w:tcW w:w="3960" w:type="dxa"/>
          </w:tcPr>
          <w:p w14:paraId="24A010C9" w14:textId="321CEFDB" w:rsidR="00B85EC6" w:rsidRPr="0018556E" w:rsidRDefault="00EE7B0F" w:rsidP="0018556E">
            <w:pPr>
              <w:spacing w:line="23" w:lineRule="atLeast"/>
              <w:jc w:val="both"/>
              <w:rPr>
                <w:rFonts w:cstheme="minorHAnsi"/>
              </w:rPr>
            </w:pPr>
            <w:r>
              <w:rPr>
                <w:rFonts w:cstheme="minorHAnsi"/>
              </w:rPr>
              <w:t>Engineering services</w:t>
            </w:r>
          </w:p>
        </w:tc>
      </w:tr>
      <w:tr w:rsidR="00FF1796" w:rsidRPr="0018556E" w14:paraId="46E20A73" w14:textId="77777777" w:rsidTr="00B75F5D">
        <w:tc>
          <w:tcPr>
            <w:tcW w:w="1350" w:type="dxa"/>
          </w:tcPr>
          <w:p w14:paraId="12779107" w14:textId="76F8AA9C" w:rsidR="00FF1796" w:rsidRPr="0018556E" w:rsidRDefault="001B23F9" w:rsidP="0018556E">
            <w:pPr>
              <w:spacing w:line="23" w:lineRule="atLeast"/>
              <w:jc w:val="both"/>
              <w:rPr>
                <w:rFonts w:cstheme="minorHAnsi"/>
              </w:rPr>
            </w:pPr>
            <w:r>
              <w:rPr>
                <w:rFonts w:cstheme="minorHAnsi"/>
              </w:rPr>
              <w:t>04/12/24</w:t>
            </w:r>
          </w:p>
        </w:tc>
        <w:tc>
          <w:tcPr>
            <w:tcW w:w="1530" w:type="dxa"/>
          </w:tcPr>
          <w:p w14:paraId="10036F1F" w14:textId="2BCE2916" w:rsidR="00FF1796" w:rsidRPr="0018556E" w:rsidRDefault="00EE7B0F" w:rsidP="0018556E">
            <w:pPr>
              <w:spacing w:line="23" w:lineRule="atLeast"/>
              <w:jc w:val="both"/>
              <w:rPr>
                <w:rFonts w:cstheme="minorHAnsi"/>
              </w:rPr>
            </w:pPr>
            <w:r>
              <w:rPr>
                <w:rFonts w:cstheme="minorHAnsi"/>
              </w:rPr>
              <w:t>26,175.60</w:t>
            </w:r>
          </w:p>
        </w:tc>
        <w:tc>
          <w:tcPr>
            <w:tcW w:w="2790" w:type="dxa"/>
          </w:tcPr>
          <w:p w14:paraId="6ECAA6DD" w14:textId="5DB51C4A" w:rsidR="00FF1796" w:rsidRPr="0018556E" w:rsidRDefault="00EE7B0F" w:rsidP="0018556E">
            <w:pPr>
              <w:spacing w:line="23" w:lineRule="atLeast"/>
              <w:jc w:val="both"/>
              <w:rPr>
                <w:rFonts w:cstheme="minorHAnsi"/>
              </w:rPr>
            </w:pPr>
            <w:r>
              <w:rPr>
                <w:rFonts w:cstheme="minorHAnsi"/>
              </w:rPr>
              <w:t>Stirling Council</w:t>
            </w:r>
          </w:p>
        </w:tc>
        <w:tc>
          <w:tcPr>
            <w:tcW w:w="3960" w:type="dxa"/>
          </w:tcPr>
          <w:p w14:paraId="6F706BBC" w14:textId="4EE592FA" w:rsidR="00FF1796" w:rsidRPr="0018556E" w:rsidRDefault="00EE7B0F" w:rsidP="0018556E">
            <w:pPr>
              <w:spacing w:line="23" w:lineRule="atLeast"/>
              <w:jc w:val="both"/>
              <w:rPr>
                <w:rFonts w:cstheme="minorHAnsi"/>
              </w:rPr>
            </w:pPr>
            <w:r>
              <w:rPr>
                <w:rFonts w:cstheme="minorHAnsi"/>
              </w:rPr>
              <w:t>Office rent, Moray House, Stirling</w:t>
            </w:r>
          </w:p>
        </w:tc>
      </w:tr>
      <w:tr w:rsidR="001B23F9" w:rsidRPr="0018556E" w14:paraId="5571DA79" w14:textId="77777777" w:rsidTr="00B75F5D">
        <w:tc>
          <w:tcPr>
            <w:tcW w:w="1350" w:type="dxa"/>
          </w:tcPr>
          <w:p w14:paraId="4D94A558" w14:textId="088339F3" w:rsidR="001B23F9" w:rsidRDefault="001B23F9" w:rsidP="0018556E">
            <w:pPr>
              <w:spacing w:line="23" w:lineRule="atLeast"/>
              <w:jc w:val="both"/>
              <w:rPr>
                <w:rFonts w:cstheme="minorHAnsi"/>
              </w:rPr>
            </w:pPr>
            <w:r>
              <w:rPr>
                <w:rFonts w:cstheme="minorHAnsi"/>
              </w:rPr>
              <w:t>18/12/25</w:t>
            </w:r>
          </w:p>
        </w:tc>
        <w:tc>
          <w:tcPr>
            <w:tcW w:w="1530" w:type="dxa"/>
          </w:tcPr>
          <w:p w14:paraId="5A980107" w14:textId="2500011B" w:rsidR="001B23F9" w:rsidRPr="0018556E" w:rsidRDefault="00EE7B0F" w:rsidP="0018556E">
            <w:pPr>
              <w:spacing w:line="23" w:lineRule="atLeast"/>
              <w:jc w:val="both"/>
              <w:rPr>
                <w:rFonts w:cstheme="minorHAnsi"/>
              </w:rPr>
            </w:pPr>
            <w:r>
              <w:rPr>
                <w:rFonts w:cstheme="minorHAnsi"/>
              </w:rPr>
              <w:t>47,397.00</w:t>
            </w:r>
          </w:p>
        </w:tc>
        <w:tc>
          <w:tcPr>
            <w:tcW w:w="2790" w:type="dxa"/>
          </w:tcPr>
          <w:p w14:paraId="146C3E24" w14:textId="6F236DAC" w:rsidR="001B23F9" w:rsidRPr="0018556E" w:rsidRDefault="00EE7B0F" w:rsidP="0018556E">
            <w:pPr>
              <w:spacing w:line="23" w:lineRule="atLeast"/>
              <w:jc w:val="both"/>
              <w:rPr>
                <w:rFonts w:cstheme="minorHAnsi"/>
              </w:rPr>
            </w:pPr>
            <w:r>
              <w:rPr>
                <w:rFonts w:cstheme="minorHAnsi"/>
              </w:rPr>
              <w:t>Water Research Centre</w:t>
            </w:r>
          </w:p>
        </w:tc>
        <w:tc>
          <w:tcPr>
            <w:tcW w:w="3960" w:type="dxa"/>
          </w:tcPr>
          <w:p w14:paraId="1798A154" w14:textId="4BFC533E" w:rsidR="001B23F9" w:rsidRPr="0018556E" w:rsidRDefault="00EE7B0F" w:rsidP="0018556E">
            <w:pPr>
              <w:spacing w:line="23" w:lineRule="atLeast"/>
              <w:jc w:val="both"/>
              <w:rPr>
                <w:rFonts w:cstheme="minorHAnsi"/>
              </w:rPr>
            </w:pPr>
            <w:r>
              <w:rPr>
                <w:rFonts w:cstheme="minorHAnsi"/>
              </w:rPr>
              <w:t>Engineering services</w:t>
            </w:r>
          </w:p>
        </w:tc>
      </w:tr>
      <w:tr w:rsidR="001B23F9" w:rsidRPr="0018556E" w14:paraId="4C53A9D4" w14:textId="77777777" w:rsidTr="00B75F5D">
        <w:trPr>
          <w:cnfStyle w:val="010000000000" w:firstRow="0" w:lastRow="1" w:firstColumn="0" w:lastColumn="0" w:oddVBand="0" w:evenVBand="0" w:oddHBand="0" w:evenHBand="0" w:firstRowFirstColumn="0" w:firstRowLastColumn="0" w:lastRowFirstColumn="0" w:lastRowLastColumn="0"/>
        </w:trPr>
        <w:tc>
          <w:tcPr>
            <w:tcW w:w="1350" w:type="dxa"/>
          </w:tcPr>
          <w:p w14:paraId="0BD72E53" w14:textId="39FBE8B6" w:rsidR="001B23F9" w:rsidRDefault="001B23F9" w:rsidP="0018556E">
            <w:pPr>
              <w:spacing w:line="23" w:lineRule="atLeast"/>
              <w:jc w:val="both"/>
              <w:rPr>
                <w:rFonts w:cstheme="minorHAnsi"/>
              </w:rPr>
            </w:pPr>
            <w:r>
              <w:rPr>
                <w:rFonts w:cstheme="minorHAnsi"/>
              </w:rPr>
              <w:t>12/03/25</w:t>
            </w:r>
          </w:p>
        </w:tc>
        <w:tc>
          <w:tcPr>
            <w:tcW w:w="1530" w:type="dxa"/>
          </w:tcPr>
          <w:p w14:paraId="5918DBE0" w14:textId="62EFC4A1" w:rsidR="001B23F9" w:rsidRPr="0018556E" w:rsidRDefault="00EE7B0F" w:rsidP="0018556E">
            <w:pPr>
              <w:spacing w:line="23" w:lineRule="atLeast"/>
              <w:jc w:val="both"/>
              <w:rPr>
                <w:rFonts w:cstheme="minorHAnsi"/>
              </w:rPr>
            </w:pPr>
            <w:r>
              <w:rPr>
                <w:rFonts w:cstheme="minorHAnsi"/>
              </w:rPr>
              <w:t>26,175.60</w:t>
            </w:r>
          </w:p>
        </w:tc>
        <w:tc>
          <w:tcPr>
            <w:tcW w:w="2790" w:type="dxa"/>
          </w:tcPr>
          <w:p w14:paraId="29B80348" w14:textId="1F51A638" w:rsidR="001B23F9" w:rsidRPr="0018556E" w:rsidRDefault="00EE7B0F" w:rsidP="0018556E">
            <w:pPr>
              <w:spacing w:line="23" w:lineRule="atLeast"/>
              <w:jc w:val="both"/>
              <w:rPr>
                <w:rFonts w:cstheme="minorHAnsi"/>
              </w:rPr>
            </w:pPr>
            <w:r>
              <w:rPr>
                <w:rFonts w:cstheme="minorHAnsi"/>
              </w:rPr>
              <w:t>Stirling Council</w:t>
            </w:r>
          </w:p>
        </w:tc>
        <w:tc>
          <w:tcPr>
            <w:tcW w:w="3960" w:type="dxa"/>
          </w:tcPr>
          <w:p w14:paraId="1362B202" w14:textId="3870C9E9" w:rsidR="001B23F9" w:rsidRPr="0018556E" w:rsidRDefault="00EE7B0F" w:rsidP="0018556E">
            <w:pPr>
              <w:spacing w:line="23" w:lineRule="atLeast"/>
              <w:jc w:val="both"/>
              <w:rPr>
                <w:rFonts w:cstheme="minorHAnsi"/>
              </w:rPr>
            </w:pPr>
            <w:r>
              <w:rPr>
                <w:rFonts w:cstheme="minorHAnsi"/>
              </w:rPr>
              <w:t>Office rent, Moray House, Stirling</w:t>
            </w:r>
          </w:p>
        </w:tc>
      </w:tr>
    </w:tbl>
    <w:p w14:paraId="2D5DA42F" w14:textId="77777777" w:rsidR="00626E9E" w:rsidRDefault="00626E9E" w:rsidP="00626E9E">
      <w:pPr>
        <w:pStyle w:val="Heading20"/>
        <w:spacing w:before="0" w:after="0" w:line="23" w:lineRule="atLeast"/>
        <w:jc w:val="both"/>
        <w:rPr>
          <w:rFonts w:cstheme="minorHAnsi"/>
        </w:rPr>
      </w:pPr>
    </w:p>
    <w:p w14:paraId="4FE78445" w14:textId="58124141" w:rsidR="007E7292" w:rsidRPr="008A3B8E" w:rsidRDefault="008A3B8E" w:rsidP="008A3B8E">
      <w:pPr>
        <w:pStyle w:val="Heading20"/>
        <w:spacing w:before="0" w:after="0" w:line="23" w:lineRule="atLeast"/>
        <w:jc w:val="both"/>
        <w:rPr>
          <w:rFonts w:cstheme="minorHAnsi"/>
        </w:rPr>
      </w:pPr>
      <w:bookmarkStart w:id="11" w:name="_Toc215838062"/>
      <w:r>
        <w:rPr>
          <w:rFonts w:cstheme="minorHAnsi"/>
        </w:rPr>
        <w:t xml:space="preserve">3.6 </w:t>
      </w:r>
      <w:r w:rsidR="007E7292" w:rsidRPr="008A3B8E">
        <w:rPr>
          <w:rFonts w:cstheme="minorHAnsi"/>
        </w:rPr>
        <w:t>Remuneration</w:t>
      </w:r>
      <w:bookmarkEnd w:id="11"/>
    </w:p>
    <w:p w14:paraId="196AB246" w14:textId="5D67A675" w:rsidR="001C5BA0" w:rsidRDefault="001C5BA0"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r w:rsidRPr="001C5BA0">
        <w:rPr>
          <w:rFonts w:asciiTheme="minorHAnsi" w:hAnsiTheme="minorHAnsi" w:cstheme="minorHAnsi"/>
          <w:color w:val="000000" w:themeColor="text1"/>
          <w:spacing w:val="0"/>
          <w:sz w:val="24"/>
          <w:szCs w:val="20"/>
        </w:rPr>
        <w:t xml:space="preserve">Section 31(4) </w:t>
      </w:r>
      <w:r>
        <w:rPr>
          <w:rFonts w:asciiTheme="minorHAnsi" w:hAnsiTheme="minorHAnsi" w:cstheme="minorHAnsi"/>
          <w:color w:val="000000" w:themeColor="text1"/>
          <w:spacing w:val="0"/>
          <w:sz w:val="24"/>
          <w:szCs w:val="20"/>
        </w:rPr>
        <w:t xml:space="preserve">of the PSRA </w:t>
      </w:r>
      <w:r w:rsidRPr="001C5BA0">
        <w:rPr>
          <w:rFonts w:asciiTheme="minorHAnsi" w:hAnsiTheme="minorHAnsi" w:cstheme="minorHAnsi"/>
          <w:color w:val="000000" w:themeColor="text1"/>
          <w:spacing w:val="0"/>
          <w:sz w:val="24"/>
          <w:szCs w:val="20"/>
        </w:rPr>
        <w:t xml:space="preserve">provides that each listed public body must publish a statement specifying the number of individuals (if any) who received remuneration during that financial year </w:t>
      </w:r>
      <w:r w:rsidRPr="004E7FFD">
        <w:rPr>
          <w:rFonts w:asciiTheme="minorHAnsi" w:hAnsiTheme="minorHAnsi" w:cstheme="minorHAnsi"/>
          <w:color w:val="000000" w:themeColor="text1"/>
          <w:spacing w:val="0"/>
          <w:sz w:val="24"/>
          <w:szCs w:val="20"/>
        </w:rPr>
        <w:t>in excess of £150,000 in relation to service as a member or employee of a public body.</w:t>
      </w:r>
      <w:r w:rsidR="0018556E">
        <w:rPr>
          <w:rFonts w:asciiTheme="minorHAnsi" w:hAnsiTheme="minorHAnsi" w:cstheme="minorHAnsi"/>
          <w:color w:val="000000" w:themeColor="text1"/>
          <w:spacing w:val="0"/>
          <w:sz w:val="24"/>
          <w:szCs w:val="20"/>
        </w:rPr>
        <w:t xml:space="preserve"> </w:t>
      </w:r>
      <w:r w:rsidRPr="004E7FFD">
        <w:rPr>
          <w:rFonts w:asciiTheme="minorHAnsi" w:hAnsiTheme="minorHAnsi" w:cstheme="minorHAnsi"/>
          <w:color w:val="000000" w:themeColor="text1"/>
          <w:spacing w:val="0"/>
          <w:sz w:val="24"/>
          <w:szCs w:val="20"/>
        </w:rPr>
        <w:t>Remuneration in relation to service as a member or employee includes salary, bonus or other discretionary performance payments, allowances, fees, royalties</w:t>
      </w:r>
      <w:r w:rsidR="00A73EBC">
        <w:rPr>
          <w:rFonts w:asciiTheme="minorHAnsi" w:hAnsiTheme="minorHAnsi" w:cstheme="minorHAnsi"/>
          <w:color w:val="000000" w:themeColor="text1"/>
          <w:spacing w:val="0"/>
          <w:sz w:val="24"/>
          <w:szCs w:val="20"/>
        </w:rPr>
        <w:t>, and bonus or other payments in respect of performance in a previous financial year, but it does not include receipt of a pension, voluntary severance, compromise agreements,</w:t>
      </w:r>
      <w:r w:rsidRPr="004E7FFD">
        <w:rPr>
          <w:rFonts w:asciiTheme="minorHAnsi" w:hAnsiTheme="minorHAnsi" w:cstheme="minorHAnsi"/>
          <w:color w:val="000000" w:themeColor="text1"/>
          <w:spacing w:val="0"/>
          <w:sz w:val="24"/>
          <w:szCs w:val="20"/>
        </w:rPr>
        <w:t xml:space="preserve"> or redundancy payments.</w:t>
      </w:r>
    </w:p>
    <w:p w14:paraId="1D7FA9FB" w14:textId="77777777" w:rsidR="0018556E" w:rsidRPr="004E7FFD" w:rsidRDefault="0018556E"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p>
    <w:p w14:paraId="0DF8493B" w14:textId="37A0C67F" w:rsidR="001C5BA0" w:rsidRPr="004E7FFD" w:rsidRDefault="007B5763"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No</w:t>
      </w:r>
      <w:r w:rsidR="001C5BA0" w:rsidRPr="004E7FFD">
        <w:rPr>
          <w:rFonts w:asciiTheme="minorHAnsi" w:hAnsiTheme="minorHAnsi" w:cstheme="minorHAnsi"/>
          <w:color w:val="000000" w:themeColor="text1"/>
          <w:spacing w:val="0"/>
          <w:sz w:val="24"/>
          <w:szCs w:val="20"/>
        </w:rPr>
        <w:t xml:space="preserve"> employee</w:t>
      </w:r>
      <w:r>
        <w:rPr>
          <w:rFonts w:asciiTheme="minorHAnsi" w:hAnsiTheme="minorHAnsi" w:cstheme="minorHAnsi"/>
          <w:color w:val="000000" w:themeColor="text1"/>
          <w:spacing w:val="0"/>
          <w:sz w:val="24"/>
          <w:szCs w:val="20"/>
        </w:rPr>
        <w:t>s</w:t>
      </w:r>
      <w:r w:rsidR="001C5BA0" w:rsidRPr="004E7FFD">
        <w:rPr>
          <w:rFonts w:asciiTheme="minorHAnsi" w:hAnsiTheme="minorHAnsi" w:cstheme="minorHAnsi"/>
          <w:color w:val="000000" w:themeColor="text1"/>
          <w:spacing w:val="0"/>
          <w:sz w:val="24"/>
          <w:szCs w:val="20"/>
        </w:rPr>
        <w:t xml:space="preserve"> of WICS received remuneration payments in excess of £150,000</w:t>
      </w:r>
      <w:r>
        <w:rPr>
          <w:rFonts w:asciiTheme="minorHAnsi" w:hAnsiTheme="minorHAnsi" w:cstheme="minorHAnsi"/>
          <w:color w:val="000000" w:themeColor="text1"/>
          <w:spacing w:val="0"/>
          <w:sz w:val="24"/>
          <w:szCs w:val="20"/>
        </w:rPr>
        <w:t xml:space="preserve"> during the financial year 202</w:t>
      </w:r>
      <w:r w:rsidR="005F54C6">
        <w:rPr>
          <w:rFonts w:asciiTheme="minorHAnsi" w:hAnsiTheme="minorHAnsi" w:cstheme="minorHAnsi"/>
          <w:color w:val="000000" w:themeColor="text1"/>
          <w:spacing w:val="0"/>
          <w:sz w:val="24"/>
          <w:szCs w:val="20"/>
        </w:rPr>
        <w:t>4</w:t>
      </w:r>
      <w:r>
        <w:rPr>
          <w:rFonts w:asciiTheme="minorHAnsi" w:hAnsiTheme="minorHAnsi" w:cstheme="minorHAnsi"/>
          <w:color w:val="000000" w:themeColor="text1"/>
          <w:spacing w:val="0"/>
          <w:sz w:val="24"/>
          <w:szCs w:val="20"/>
        </w:rPr>
        <w:t>-2</w:t>
      </w:r>
      <w:r w:rsidR="005F54C6">
        <w:rPr>
          <w:rFonts w:asciiTheme="minorHAnsi" w:hAnsiTheme="minorHAnsi" w:cstheme="minorHAnsi"/>
          <w:color w:val="000000" w:themeColor="text1"/>
          <w:spacing w:val="0"/>
          <w:sz w:val="24"/>
          <w:szCs w:val="20"/>
        </w:rPr>
        <w:t>5</w:t>
      </w:r>
      <w:r w:rsidR="001C5BA0" w:rsidRPr="004E7FFD">
        <w:rPr>
          <w:rFonts w:asciiTheme="minorHAnsi" w:hAnsiTheme="minorHAnsi" w:cstheme="minorHAnsi"/>
          <w:color w:val="000000" w:themeColor="text1"/>
          <w:spacing w:val="0"/>
          <w:sz w:val="24"/>
          <w:szCs w:val="20"/>
        </w:rPr>
        <w:t xml:space="preserve">. </w:t>
      </w:r>
    </w:p>
    <w:p w14:paraId="2170FAAE" w14:textId="77777777" w:rsidR="0018556E" w:rsidRDefault="0018556E" w:rsidP="0018556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p>
    <w:p w14:paraId="5E576BF2" w14:textId="4A3A60B5" w:rsidR="00450C94" w:rsidRPr="008A3B8E" w:rsidRDefault="00A73EBC" w:rsidP="008A3B8E">
      <w:pPr>
        <w:pStyle w:val="Heading1"/>
        <w:numPr>
          <w:ilvl w:val="0"/>
          <w:numId w:val="0"/>
        </w:numPr>
        <w:spacing w:after="0" w:line="23" w:lineRule="atLeast"/>
        <w:jc w:val="both"/>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 xml:space="preserve">WICS' </w:t>
      </w:r>
      <w:hyperlink r:id="rId15" w:history="1">
        <w:r w:rsidRPr="002411DC">
          <w:rPr>
            <w:rStyle w:val="Hyperlink"/>
            <w:rFonts w:asciiTheme="minorHAnsi" w:hAnsiTheme="minorHAnsi" w:cstheme="minorHAnsi"/>
            <w:spacing w:val="0"/>
            <w:szCs w:val="20"/>
          </w:rPr>
          <w:t>annual report and financial statements</w:t>
        </w:r>
      </w:hyperlink>
      <w:r w:rsidRPr="00A73EBC">
        <w:rPr>
          <w:rFonts w:asciiTheme="minorHAnsi" w:hAnsiTheme="minorHAnsi" w:cstheme="minorHAnsi"/>
          <w:color w:val="000000" w:themeColor="text1"/>
          <w:spacing w:val="0"/>
          <w:sz w:val="24"/>
          <w:szCs w:val="20"/>
        </w:rPr>
        <w:t xml:space="preserve"> fully disclose remuneration costs, directors’ salaries, and pension entitlements</w:t>
      </w:r>
      <w:r w:rsidR="001C5BA0" w:rsidRPr="00A73EBC">
        <w:rPr>
          <w:rFonts w:asciiTheme="minorHAnsi" w:hAnsiTheme="minorHAnsi" w:cstheme="minorHAnsi"/>
          <w:color w:val="000000" w:themeColor="text1"/>
          <w:spacing w:val="0"/>
          <w:sz w:val="24"/>
          <w:szCs w:val="20"/>
        </w:rPr>
        <w:t>.</w:t>
      </w:r>
    </w:p>
    <w:p w14:paraId="7BCC56ED" w14:textId="708E35D5" w:rsidR="0008752E" w:rsidRDefault="0008752E" w:rsidP="0003096B">
      <w:pPr>
        <w:pStyle w:val="Heading10"/>
        <w:sectPr w:rsidR="0008752E" w:rsidSect="00EA5341">
          <w:pgSz w:w="11906" w:h="16838" w:code="9"/>
          <w:pgMar w:top="1134" w:right="1134" w:bottom="1134" w:left="1134" w:header="567" w:footer="567" w:gutter="0"/>
          <w:cols w:space="708"/>
          <w:docGrid w:linePitch="360"/>
        </w:sectPr>
      </w:pPr>
    </w:p>
    <w:p w14:paraId="63BCEAB7" w14:textId="64525F8E" w:rsidR="0008752E" w:rsidRDefault="0008752E">
      <w:r>
        <w:br w:type="page"/>
      </w:r>
      <w:r w:rsidR="00450C94">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09192DF" id="Straight Connector 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16"/>
      <w:footerReference w:type="default" r:id="rId17"/>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16AE0" w14:textId="77777777" w:rsidR="008244E4" w:rsidRDefault="008244E4" w:rsidP="0008752E">
      <w:pPr>
        <w:spacing w:line="240" w:lineRule="auto"/>
      </w:pPr>
      <w:r>
        <w:separator/>
      </w:r>
    </w:p>
  </w:endnote>
  <w:endnote w:type="continuationSeparator" w:id="0">
    <w:p w14:paraId="20255B4B" w14:textId="77777777" w:rsidR="008244E4" w:rsidRDefault="008244E4" w:rsidP="0008752E">
      <w:pPr>
        <w:spacing w:line="240" w:lineRule="auto"/>
      </w:pPr>
      <w:r>
        <w:continuationSeparator/>
      </w:r>
    </w:p>
  </w:endnote>
  <w:endnote w:type="continuationNotice" w:id="1">
    <w:p w14:paraId="3AA183FA" w14:textId="77777777" w:rsidR="008244E4" w:rsidRDefault="008244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4BA150DB" w:rsidR="00694710" w:rsidRPr="00694710" w:rsidRDefault="004B788D" w:rsidP="00694710">
    <w:pPr>
      <w:pStyle w:val="Footer"/>
      <w:rPr>
        <w:color w:val="5F7577" w:themeColor="accent2"/>
        <w:szCs w:val="18"/>
      </w:rPr>
    </w:pPr>
    <w:r>
      <w:rPr>
        <w:color w:val="5F7577" w:themeColor="accent2"/>
        <w:szCs w:val="18"/>
      </w:rPr>
      <w:t xml:space="preserve">PSRA: </w:t>
    </w:r>
    <w:r w:rsidR="00694710" w:rsidRPr="00694710">
      <w:rPr>
        <w:color w:val="5F7577" w:themeColor="accent2"/>
        <w:szCs w:val="18"/>
      </w:rPr>
      <w:fldChar w:fldCharType="begin"/>
    </w:r>
    <w:r w:rsidR="00694710" w:rsidRPr="00694710">
      <w:rPr>
        <w:color w:val="5F7577" w:themeColor="accent2"/>
        <w:szCs w:val="18"/>
      </w:rPr>
      <w:instrText xml:space="preserve"> STYLEREF  "Document title"  \* MERGEFORMAT </w:instrText>
    </w:r>
    <w:r w:rsidR="00694710" w:rsidRPr="00694710">
      <w:rPr>
        <w:color w:val="5F7577" w:themeColor="accent2"/>
        <w:szCs w:val="18"/>
      </w:rPr>
      <w:fldChar w:fldCharType="separate"/>
    </w:r>
    <w:r w:rsidR="002411DC">
      <w:rPr>
        <w:noProof/>
        <w:color w:val="5F7577" w:themeColor="accent2"/>
        <w:szCs w:val="18"/>
      </w:rPr>
      <w:t>Report for the year ended 31 march 2025</w:t>
    </w:r>
    <w:r w:rsidR="00694710" w:rsidRPr="00694710">
      <w:rPr>
        <w:color w:val="5F7577" w:themeColor="accent2"/>
        <w:szCs w:val="18"/>
      </w:rPr>
      <w:fldChar w:fldCharType="end"/>
    </w:r>
    <w:r w:rsidR="00694710">
      <w:rPr>
        <w:color w:val="5F7577" w:themeColor="accent2"/>
        <w:szCs w:val="18"/>
      </w:rPr>
      <w:ptab w:relativeTo="margin" w:alignment="right" w:leader="none"/>
    </w:r>
    <w:r w:rsidR="00694710" w:rsidRPr="00694710">
      <w:rPr>
        <w:color w:val="5F7577" w:themeColor="accent2"/>
        <w:szCs w:val="18"/>
      </w:rPr>
      <w:fldChar w:fldCharType="begin"/>
    </w:r>
    <w:r w:rsidR="00694710" w:rsidRPr="00694710">
      <w:rPr>
        <w:color w:val="5F7577" w:themeColor="accent2"/>
        <w:szCs w:val="18"/>
      </w:rPr>
      <w:instrText xml:space="preserve"> PAGE   \* MERGEFORMAT </w:instrText>
    </w:r>
    <w:r w:rsidR="00694710" w:rsidRPr="00694710">
      <w:rPr>
        <w:color w:val="5F7577" w:themeColor="accent2"/>
        <w:szCs w:val="18"/>
      </w:rPr>
      <w:fldChar w:fldCharType="separate"/>
    </w:r>
    <w:r w:rsidR="00694710" w:rsidRPr="00694710">
      <w:rPr>
        <w:noProof/>
        <w:color w:val="5F7577" w:themeColor="accent2"/>
        <w:szCs w:val="18"/>
      </w:rPr>
      <w:t>1</w:t>
    </w:r>
    <w:r w:rsidR="00694710"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752"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proofErr w:type="spellStart"/>
                          <w:r w:rsidRPr="00D723CD">
                            <w:rPr>
                              <w:rFonts w:hAnsi="Calibri"/>
                              <w:color w:val="FFFFFF" w:themeColor="background1"/>
                              <w:kern w:val="24"/>
                              <w:szCs w:val="24"/>
                            </w:rPr>
                            <w:t>Forthside</w:t>
                          </w:r>
                          <w:proofErr w:type="spellEnd"/>
                          <w:r w:rsidRPr="00D723CD">
                            <w:rPr>
                              <w:rFonts w:hAnsi="Calibri"/>
                              <w:color w:val="FFFFFF" w:themeColor="background1"/>
                              <w:kern w:val="24"/>
                              <w:szCs w:val="24"/>
                            </w:rPr>
                            <w:t xml:space="preserv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 xml:space="preserve">E:  </w:t>
                          </w:r>
                          <w:proofErr w:type="spellStart"/>
                          <w:r w:rsidRPr="007B2144">
                            <w:rPr>
                              <w:rFonts w:hAnsi="Calibri"/>
                              <w:color w:val="FFFFFF" w:themeColor="background1"/>
                              <w:kern w:val="24"/>
                              <w:szCs w:val="24"/>
                              <w:lang w:val="de-DE"/>
                            </w:rPr>
                            <w:t>enquiries@wics.scot</w:t>
                          </w:r>
                          <w:proofErr w:type="spellEnd"/>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 xml:space="preserve">W:  </w:t>
                          </w:r>
                          <w:proofErr w:type="spellStart"/>
                          <w:r w:rsidRPr="00D723CD">
                            <w:rPr>
                              <w:rFonts w:hAnsi="Calibri"/>
                              <w:color w:val="FFFFFF" w:themeColor="background1"/>
                              <w:kern w:val="24"/>
                              <w:szCs w:val="24"/>
                            </w:rPr>
                            <w:t>wics.scot</w:t>
                          </w:r>
                          <w:proofErr w:type="spellEnd"/>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E4C4C" w14:textId="77777777" w:rsidR="008244E4" w:rsidRDefault="008244E4" w:rsidP="0008752E">
      <w:pPr>
        <w:spacing w:line="240" w:lineRule="auto"/>
      </w:pPr>
      <w:r>
        <w:separator/>
      </w:r>
    </w:p>
  </w:footnote>
  <w:footnote w:type="continuationSeparator" w:id="0">
    <w:p w14:paraId="46CDB09E" w14:textId="77777777" w:rsidR="008244E4" w:rsidRDefault="008244E4" w:rsidP="0008752E">
      <w:pPr>
        <w:spacing w:line="240" w:lineRule="auto"/>
      </w:pPr>
      <w:r>
        <w:continuationSeparator/>
      </w:r>
    </w:p>
  </w:footnote>
  <w:footnote w:type="continuationNotice" w:id="1">
    <w:p w14:paraId="27C57A76" w14:textId="77777777" w:rsidR="008244E4" w:rsidRDefault="008244E4">
      <w:pPr>
        <w:spacing w:line="240" w:lineRule="auto"/>
      </w:pPr>
    </w:p>
  </w:footnote>
  <w:footnote w:id="2">
    <w:p w14:paraId="08B8F017" w14:textId="75DE280F" w:rsidR="00A22C84" w:rsidRDefault="00A22C84" w:rsidP="00A22C84">
      <w:pPr>
        <w:pStyle w:val="FootnoteText"/>
      </w:pPr>
      <w:r>
        <w:rPr>
          <w:rStyle w:val="FootnoteReference"/>
        </w:rPr>
        <w:footnoteRef/>
      </w:r>
      <w:r>
        <w:t xml:space="preserve"> </w:t>
      </w:r>
      <w:r>
        <w:rPr>
          <w:rFonts w:cstheme="minorHAnsi"/>
          <w:color w:val="000000" w:themeColor="text1"/>
        </w:rPr>
        <w:t xml:space="preserve">WICS hosts </w:t>
      </w:r>
      <w:r w:rsidRPr="007B73E3">
        <w:rPr>
          <w:rFonts w:ascii="Calibri" w:hAnsi="Calibri" w:cs="Calibri"/>
          <w:color w:val="000000" w:themeColor="text1"/>
        </w:rPr>
        <w:t xml:space="preserve">two websites: (i) </w:t>
      </w:r>
      <w:hyperlink r:id="rId1" w:history="1">
        <w:r w:rsidRPr="007B73E3">
          <w:rPr>
            <w:rStyle w:val="Hyperlink"/>
            <w:rFonts w:ascii="Calibri" w:hAnsi="Calibri" w:cs="Calibri"/>
            <w:sz w:val="20"/>
          </w:rPr>
          <w:t>WICS' corporate website</w:t>
        </w:r>
      </w:hyperlink>
      <w:r w:rsidRPr="007B73E3">
        <w:rPr>
          <w:rFonts w:ascii="Calibri" w:hAnsi="Calibri" w:cs="Calibri"/>
          <w:color w:val="000000" w:themeColor="text1"/>
        </w:rPr>
        <w:t xml:space="preserve"> and (ii) a website to support the </w:t>
      </w:r>
      <w:hyperlink r:id="rId2" w:history="1">
        <w:r w:rsidRPr="007B73E3">
          <w:rPr>
            <w:rStyle w:val="Hyperlink"/>
            <w:rFonts w:ascii="Calibri" w:hAnsi="Calibri" w:cs="Calibri"/>
            <w:sz w:val="20"/>
          </w:rPr>
          <w:t>retail market</w:t>
        </w:r>
      </w:hyperlink>
    </w:p>
  </w:footnote>
  <w:footnote w:id="3">
    <w:p w14:paraId="56EA7B02" w14:textId="3C329C26" w:rsidR="00215D14" w:rsidRDefault="00215D14">
      <w:pPr>
        <w:pStyle w:val="FootnoteText"/>
      </w:pPr>
      <w:r>
        <w:rPr>
          <w:rStyle w:val="FootnoteReference"/>
        </w:rPr>
        <w:footnoteRef/>
      </w:r>
      <w:r>
        <w:t xml:space="preserve"> </w:t>
      </w:r>
      <w:r>
        <w:rPr>
          <w:rFonts w:cstheme="minorHAnsi"/>
          <w:color w:val="000000" w:themeColor="text1"/>
        </w:rPr>
        <w:t>The overseas travel costs in 2023-24 include</w:t>
      </w:r>
      <w:r w:rsidR="00067D70">
        <w:rPr>
          <w:rFonts w:cstheme="minorHAnsi"/>
          <w:color w:val="000000" w:themeColor="text1"/>
        </w:rPr>
        <w:t>s</w:t>
      </w:r>
      <w:r>
        <w:rPr>
          <w:rFonts w:cstheme="minorHAnsi"/>
          <w:color w:val="000000" w:themeColor="text1"/>
        </w:rPr>
        <w:t xml:space="preserve"> costs associated with a funded project in relation to consultancy services provided by WICS to the Department of Internal Affairs (DIA) in New Zealand. </w:t>
      </w:r>
    </w:p>
  </w:footnote>
  <w:footnote w:id="4">
    <w:p w14:paraId="45A7917B" w14:textId="4BD86CB2" w:rsidR="00F7310A" w:rsidRDefault="00F7310A">
      <w:pPr>
        <w:pStyle w:val="FootnoteText"/>
      </w:pPr>
      <w:r>
        <w:rPr>
          <w:rStyle w:val="FootnoteReference"/>
        </w:rPr>
        <w:footnoteRef/>
      </w:r>
      <w:r>
        <w:t xml:space="preserve"> Regulation and licensing support includes services to assist WICS in delivering its statutory role such as economic, legal and engineering consultancy services.</w:t>
      </w:r>
    </w:p>
  </w:footnote>
  <w:footnote w:id="5">
    <w:p w14:paraId="7F3480ED" w14:textId="611FCE8F" w:rsidR="00A34BE2" w:rsidRDefault="00A34BE2">
      <w:pPr>
        <w:pStyle w:val="FootnoteText"/>
      </w:pPr>
      <w:r>
        <w:rPr>
          <w:rStyle w:val="FootnoteReference"/>
        </w:rPr>
        <w:footnoteRef/>
      </w:r>
      <w:r>
        <w:t xml:space="preserve"> </w:t>
      </w:r>
      <w:r w:rsidRPr="00D51448">
        <w:rPr>
          <w:rFonts w:cstheme="minorHAnsi"/>
          <w:color w:val="000000" w:themeColor="text1"/>
        </w:rPr>
        <w:t xml:space="preserve">“Payments” include all payment transactions, including payments for goods and services and with government departments or other public bodies. However, </w:t>
      </w:r>
      <w:r>
        <w:rPr>
          <w:rFonts w:cstheme="minorHAnsi"/>
          <w:color w:val="000000" w:themeColor="text1"/>
        </w:rPr>
        <w:t>they do not include information relating to remuneration or other payments made to an individual for their service as a member or employee of a public body, such as salary, allowances, fees,</w:t>
      </w:r>
      <w:r w:rsidRPr="00D51448">
        <w:rPr>
          <w:rFonts w:cstheme="minorHAnsi"/>
          <w:color w:val="000000" w:themeColor="text1"/>
        </w:rPr>
        <w:t xml:space="preserve"> or pension.</w:t>
      </w:r>
      <w:r>
        <w:rPr>
          <w:rFonts w:cstheme="minorHAnsi"/>
          <w:color w:val="000000" w:themeColor="text1"/>
        </w:rPr>
        <w:t xml:space="preserve"> T</w:t>
      </w:r>
      <w:r w:rsidRPr="00B85EC6">
        <w:rPr>
          <w:rFonts w:cstheme="minorHAnsi"/>
          <w:color w:val="000000" w:themeColor="text1"/>
        </w:rPr>
        <w:t>he reporting requirement relates to cash payments, not accruals or invoices</w:t>
      </w:r>
      <w:r>
        <w:rPr>
          <w:rFonts w:cstheme="minorHAnsi"/>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6704"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2037B636" w:rsidR="00805421" w:rsidRPr="009168F3" w:rsidRDefault="00805421">
    <w:pPr>
      <w:pStyle w:val="Header"/>
      <w:rPr>
        <w:color w:val="808080" w:themeColor="background1" w:themeShade="80"/>
      </w:rPr>
    </w:pPr>
    <w:r w:rsidRPr="009168F3">
      <w:rPr>
        <w:noProof/>
        <w:color w:val="808080" w:themeColor="background1" w:themeShade="80"/>
      </w:rPr>
      <w:drawing>
        <wp:anchor distT="0" distB="0" distL="114300" distR="114300" simplePos="0" relativeHeight="251657728"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r w:rsidR="009168F3" w:rsidRPr="009168F3">
      <w:rPr>
        <w:color w:val="808080" w:themeColor="background1" w:themeShade="80"/>
      </w:rPr>
      <w:t>OFFICIAL</w:t>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5FA49" w14:textId="623909DA"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568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92FDC"/>
    <w:multiLevelType w:val="multilevel"/>
    <w:tmpl w:val="80C0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EC0B90"/>
    <w:multiLevelType w:val="multilevel"/>
    <w:tmpl w:val="8EB65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016558"/>
    <w:multiLevelType w:val="multilevel"/>
    <w:tmpl w:val="6EB6C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83BAD"/>
    <w:multiLevelType w:val="multilevel"/>
    <w:tmpl w:val="27D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612" w:hanging="432"/>
      </w:pPr>
    </w:lvl>
    <w:lvl w:ilvl="2">
      <w:start w:val="1"/>
      <w:numFmt w:val="decimal"/>
      <w:pStyle w:val="Heading3"/>
      <w:lvlText w:val="%1.%2.%3."/>
      <w:lvlJc w:val="left"/>
      <w:pPr>
        <w:ind w:left="1044" w:hanging="504"/>
      </w:pPr>
    </w:lvl>
    <w:lvl w:ilvl="3">
      <w:start w:val="1"/>
      <w:numFmt w:val="decimal"/>
      <w:pStyle w:val="Heading4"/>
      <w:lvlText w:val="%1.%2.%3.%4."/>
      <w:lvlJc w:val="left"/>
      <w:pPr>
        <w:ind w:left="1548" w:hanging="648"/>
      </w:pPr>
    </w:lvl>
    <w:lvl w:ilvl="4">
      <w:start w:val="1"/>
      <w:numFmt w:val="decimal"/>
      <w:lvlText w:val="%1.%2.%3.%4.%5."/>
      <w:lvlJc w:val="left"/>
      <w:pPr>
        <w:ind w:left="2052" w:hanging="792"/>
      </w:pPr>
    </w:lvl>
    <w:lvl w:ilvl="5">
      <w:start w:val="1"/>
      <w:numFmt w:val="decimal"/>
      <w:lvlText w:val="%1.%2.%3.%4.%5.%6."/>
      <w:lvlJc w:val="left"/>
      <w:pPr>
        <w:ind w:left="2556" w:hanging="936"/>
      </w:pPr>
    </w:lvl>
    <w:lvl w:ilvl="6">
      <w:start w:val="1"/>
      <w:numFmt w:val="decimal"/>
      <w:lvlText w:val="%1.%2.%3.%4.%5.%6.%7."/>
      <w:lvlJc w:val="left"/>
      <w:pPr>
        <w:ind w:left="3060" w:hanging="1080"/>
      </w:pPr>
    </w:lvl>
    <w:lvl w:ilvl="7">
      <w:start w:val="1"/>
      <w:numFmt w:val="decimal"/>
      <w:lvlText w:val="%1.%2.%3.%4.%5.%6.%7.%8."/>
      <w:lvlJc w:val="left"/>
      <w:pPr>
        <w:ind w:left="3564" w:hanging="1224"/>
      </w:pPr>
    </w:lvl>
    <w:lvl w:ilvl="8">
      <w:start w:val="1"/>
      <w:numFmt w:val="decimal"/>
      <w:lvlText w:val="%1.%2.%3.%4.%5.%6.%7.%8.%9."/>
      <w:lvlJc w:val="left"/>
      <w:pPr>
        <w:ind w:left="4140" w:hanging="1440"/>
      </w:pPr>
    </w:lvl>
  </w:abstractNum>
  <w:abstractNum w:abstractNumId="16" w15:restartNumberingAfterBreak="0">
    <w:nsid w:val="2D636031"/>
    <w:multiLevelType w:val="hybridMultilevel"/>
    <w:tmpl w:val="7D42B01C"/>
    <w:lvl w:ilvl="0" w:tplc="742415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DC24F3"/>
    <w:multiLevelType w:val="hybridMultilevel"/>
    <w:tmpl w:val="6E32CE3E"/>
    <w:lvl w:ilvl="0" w:tplc="AC687F7A">
      <w:start w:val="1"/>
      <w:numFmt w:val="decimal"/>
      <w:lvlText w:val="%1."/>
      <w:lvlJc w:val="left"/>
      <w:pPr>
        <w:tabs>
          <w:tab w:val="num" w:pos="720"/>
        </w:tabs>
        <w:ind w:left="720" w:hanging="360"/>
      </w:pPr>
    </w:lvl>
    <w:lvl w:ilvl="1" w:tplc="DF74EA9E" w:tentative="1">
      <w:start w:val="1"/>
      <w:numFmt w:val="decimal"/>
      <w:lvlText w:val="%2."/>
      <w:lvlJc w:val="left"/>
      <w:pPr>
        <w:tabs>
          <w:tab w:val="num" w:pos="1440"/>
        </w:tabs>
        <w:ind w:left="1440" w:hanging="360"/>
      </w:pPr>
    </w:lvl>
    <w:lvl w:ilvl="2" w:tplc="3602428E" w:tentative="1">
      <w:start w:val="1"/>
      <w:numFmt w:val="decimal"/>
      <w:lvlText w:val="%3."/>
      <w:lvlJc w:val="left"/>
      <w:pPr>
        <w:tabs>
          <w:tab w:val="num" w:pos="2160"/>
        </w:tabs>
        <w:ind w:left="2160" w:hanging="360"/>
      </w:pPr>
    </w:lvl>
    <w:lvl w:ilvl="3" w:tplc="AF20E0F8" w:tentative="1">
      <w:start w:val="1"/>
      <w:numFmt w:val="decimal"/>
      <w:lvlText w:val="%4."/>
      <w:lvlJc w:val="left"/>
      <w:pPr>
        <w:tabs>
          <w:tab w:val="num" w:pos="2880"/>
        </w:tabs>
        <w:ind w:left="2880" w:hanging="360"/>
      </w:pPr>
    </w:lvl>
    <w:lvl w:ilvl="4" w:tplc="3BB4B90C" w:tentative="1">
      <w:start w:val="1"/>
      <w:numFmt w:val="decimal"/>
      <w:lvlText w:val="%5."/>
      <w:lvlJc w:val="left"/>
      <w:pPr>
        <w:tabs>
          <w:tab w:val="num" w:pos="3600"/>
        </w:tabs>
        <w:ind w:left="3600" w:hanging="360"/>
      </w:pPr>
    </w:lvl>
    <w:lvl w:ilvl="5" w:tplc="7B0C1F80" w:tentative="1">
      <w:start w:val="1"/>
      <w:numFmt w:val="decimal"/>
      <w:lvlText w:val="%6."/>
      <w:lvlJc w:val="left"/>
      <w:pPr>
        <w:tabs>
          <w:tab w:val="num" w:pos="4320"/>
        </w:tabs>
        <w:ind w:left="4320" w:hanging="360"/>
      </w:pPr>
    </w:lvl>
    <w:lvl w:ilvl="6" w:tplc="B52CFB84" w:tentative="1">
      <w:start w:val="1"/>
      <w:numFmt w:val="decimal"/>
      <w:lvlText w:val="%7."/>
      <w:lvlJc w:val="left"/>
      <w:pPr>
        <w:tabs>
          <w:tab w:val="num" w:pos="5040"/>
        </w:tabs>
        <w:ind w:left="5040" w:hanging="360"/>
      </w:pPr>
    </w:lvl>
    <w:lvl w:ilvl="7" w:tplc="9FB8FABE" w:tentative="1">
      <w:start w:val="1"/>
      <w:numFmt w:val="decimal"/>
      <w:lvlText w:val="%8."/>
      <w:lvlJc w:val="left"/>
      <w:pPr>
        <w:tabs>
          <w:tab w:val="num" w:pos="5760"/>
        </w:tabs>
        <w:ind w:left="5760" w:hanging="360"/>
      </w:pPr>
    </w:lvl>
    <w:lvl w:ilvl="8" w:tplc="0C30E3AC" w:tentative="1">
      <w:start w:val="1"/>
      <w:numFmt w:val="decimal"/>
      <w:lvlText w:val="%9."/>
      <w:lvlJc w:val="left"/>
      <w:pPr>
        <w:tabs>
          <w:tab w:val="num" w:pos="6480"/>
        </w:tabs>
        <w:ind w:left="6480" w:hanging="360"/>
      </w:pPr>
    </w:lvl>
  </w:abstractNum>
  <w:abstractNum w:abstractNumId="18" w15:restartNumberingAfterBreak="0">
    <w:nsid w:val="3A411169"/>
    <w:multiLevelType w:val="multilevel"/>
    <w:tmpl w:val="1A42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C38ED"/>
    <w:multiLevelType w:val="hybridMultilevel"/>
    <w:tmpl w:val="9EA82C18"/>
    <w:lvl w:ilvl="0" w:tplc="4E268D1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4" w15:restartNumberingAfterBreak="0">
    <w:nsid w:val="64851663"/>
    <w:multiLevelType w:val="hybridMultilevel"/>
    <w:tmpl w:val="F65A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8F410D"/>
    <w:multiLevelType w:val="multilevel"/>
    <w:tmpl w:val="92BE0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1F0E7A"/>
    <w:multiLevelType w:val="hybridMultilevel"/>
    <w:tmpl w:val="E9F616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25024295">
    <w:abstractNumId w:val="23"/>
  </w:num>
  <w:num w:numId="2" w16cid:durableId="1854612775">
    <w:abstractNumId w:val="15"/>
  </w:num>
  <w:num w:numId="3" w16cid:durableId="467095377">
    <w:abstractNumId w:val="21"/>
  </w:num>
  <w:num w:numId="4" w16cid:durableId="678893428">
    <w:abstractNumId w:val="20"/>
  </w:num>
  <w:num w:numId="5" w16cid:durableId="262035097">
    <w:abstractNumId w:val="22"/>
  </w:num>
  <w:num w:numId="6" w16cid:durableId="853953689">
    <w:abstractNumId w:val="14"/>
  </w:num>
  <w:num w:numId="7" w16cid:durableId="721713119">
    <w:abstractNumId w:val="9"/>
  </w:num>
  <w:num w:numId="8" w16cid:durableId="363216257">
    <w:abstractNumId w:val="7"/>
  </w:num>
  <w:num w:numId="9" w16cid:durableId="1232277537">
    <w:abstractNumId w:val="6"/>
  </w:num>
  <w:num w:numId="10" w16cid:durableId="1104808347">
    <w:abstractNumId w:val="5"/>
  </w:num>
  <w:num w:numId="11" w16cid:durableId="558788292">
    <w:abstractNumId w:val="4"/>
  </w:num>
  <w:num w:numId="12" w16cid:durableId="31813241">
    <w:abstractNumId w:val="8"/>
  </w:num>
  <w:num w:numId="13" w16cid:durableId="1019618710">
    <w:abstractNumId w:val="3"/>
  </w:num>
  <w:num w:numId="14" w16cid:durableId="828519214">
    <w:abstractNumId w:val="2"/>
  </w:num>
  <w:num w:numId="15" w16cid:durableId="1193566734">
    <w:abstractNumId w:val="1"/>
  </w:num>
  <w:num w:numId="16" w16cid:durableId="410391730">
    <w:abstractNumId w:val="0"/>
  </w:num>
  <w:num w:numId="17" w16cid:durableId="1925413484">
    <w:abstractNumId w:val="25"/>
  </w:num>
  <w:num w:numId="18" w16cid:durableId="1003317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804415">
    <w:abstractNumId w:val="22"/>
  </w:num>
  <w:num w:numId="20" w16cid:durableId="1363940929">
    <w:abstractNumId w:val="24"/>
  </w:num>
  <w:num w:numId="21" w16cid:durableId="1507357160">
    <w:abstractNumId w:val="17"/>
  </w:num>
  <w:num w:numId="22" w16cid:durableId="1057166797">
    <w:abstractNumId w:val="15"/>
  </w:num>
  <w:num w:numId="23" w16cid:durableId="89201032">
    <w:abstractNumId w:val="16"/>
  </w:num>
  <w:num w:numId="24" w16cid:durableId="1276670994">
    <w:abstractNumId w:val="19"/>
  </w:num>
  <w:num w:numId="25" w16cid:durableId="896432069">
    <w:abstractNumId w:val="12"/>
  </w:num>
  <w:num w:numId="26" w16cid:durableId="763115284">
    <w:abstractNumId w:val="10"/>
  </w:num>
  <w:num w:numId="27" w16cid:durableId="440345104">
    <w:abstractNumId w:val="18"/>
  </w:num>
  <w:num w:numId="28" w16cid:durableId="2109496699">
    <w:abstractNumId w:val="26"/>
  </w:num>
  <w:num w:numId="29" w16cid:durableId="917906791">
    <w:abstractNumId w:val="11"/>
  </w:num>
  <w:num w:numId="30" w16cid:durableId="1815293842">
    <w:abstractNumId w:val="13"/>
  </w:num>
  <w:num w:numId="31" w16cid:durableId="19354753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125B"/>
    <w:rsid w:val="00002DB8"/>
    <w:rsid w:val="00012D8C"/>
    <w:rsid w:val="00023449"/>
    <w:rsid w:val="00025AC2"/>
    <w:rsid w:val="0003096B"/>
    <w:rsid w:val="0003342C"/>
    <w:rsid w:val="00034BFE"/>
    <w:rsid w:val="000351F7"/>
    <w:rsid w:val="00046797"/>
    <w:rsid w:val="000505AA"/>
    <w:rsid w:val="00051D46"/>
    <w:rsid w:val="00056F0B"/>
    <w:rsid w:val="00057E09"/>
    <w:rsid w:val="0006282F"/>
    <w:rsid w:val="00062A50"/>
    <w:rsid w:val="00062E33"/>
    <w:rsid w:val="00067D70"/>
    <w:rsid w:val="00070752"/>
    <w:rsid w:val="0007616D"/>
    <w:rsid w:val="0008752E"/>
    <w:rsid w:val="00091E6C"/>
    <w:rsid w:val="000A272B"/>
    <w:rsid w:val="000A2C93"/>
    <w:rsid w:val="000A383B"/>
    <w:rsid w:val="000B3727"/>
    <w:rsid w:val="000B6A6F"/>
    <w:rsid w:val="000C0140"/>
    <w:rsid w:val="000D3BB0"/>
    <w:rsid w:val="000E6288"/>
    <w:rsid w:val="000F3B7F"/>
    <w:rsid w:val="000F46B3"/>
    <w:rsid w:val="000F548A"/>
    <w:rsid w:val="00102BFD"/>
    <w:rsid w:val="0010323C"/>
    <w:rsid w:val="0010413A"/>
    <w:rsid w:val="001048B6"/>
    <w:rsid w:val="00105ADB"/>
    <w:rsid w:val="00113377"/>
    <w:rsid w:val="00115C5B"/>
    <w:rsid w:val="00117AF3"/>
    <w:rsid w:val="00121301"/>
    <w:rsid w:val="00123582"/>
    <w:rsid w:val="00125EDC"/>
    <w:rsid w:val="001339B6"/>
    <w:rsid w:val="00135B21"/>
    <w:rsid w:val="00137A08"/>
    <w:rsid w:val="00147DFB"/>
    <w:rsid w:val="001502E0"/>
    <w:rsid w:val="00160C17"/>
    <w:rsid w:val="001631B0"/>
    <w:rsid w:val="00164D77"/>
    <w:rsid w:val="00164E8B"/>
    <w:rsid w:val="001651A9"/>
    <w:rsid w:val="0018556E"/>
    <w:rsid w:val="001940F8"/>
    <w:rsid w:val="001A7E18"/>
    <w:rsid w:val="001B23F9"/>
    <w:rsid w:val="001B3020"/>
    <w:rsid w:val="001B5722"/>
    <w:rsid w:val="001B695D"/>
    <w:rsid w:val="001C3B36"/>
    <w:rsid w:val="001C5BA0"/>
    <w:rsid w:val="001C7285"/>
    <w:rsid w:val="001D08E8"/>
    <w:rsid w:val="001D44FD"/>
    <w:rsid w:val="001D51F1"/>
    <w:rsid w:val="001D556C"/>
    <w:rsid w:val="001E0B4D"/>
    <w:rsid w:val="001F78BF"/>
    <w:rsid w:val="0020004E"/>
    <w:rsid w:val="0020216F"/>
    <w:rsid w:val="0021495F"/>
    <w:rsid w:val="00215D14"/>
    <w:rsid w:val="00216B28"/>
    <w:rsid w:val="0021736B"/>
    <w:rsid w:val="0022207F"/>
    <w:rsid w:val="002228B4"/>
    <w:rsid w:val="00222F9D"/>
    <w:rsid w:val="00232765"/>
    <w:rsid w:val="002348EB"/>
    <w:rsid w:val="00237743"/>
    <w:rsid w:val="0024051D"/>
    <w:rsid w:val="002411DC"/>
    <w:rsid w:val="002564DE"/>
    <w:rsid w:val="00256C92"/>
    <w:rsid w:val="002570B8"/>
    <w:rsid w:val="00257CE8"/>
    <w:rsid w:val="002603F4"/>
    <w:rsid w:val="002771DB"/>
    <w:rsid w:val="00286A51"/>
    <w:rsid w:val="00296484"/>
    <w:rsid w:val="00297398"/>
    <w:rsid w:val="002B1F87"/>
    <w:rsid w:val="002B51DF"/>
    <w:rsid w:val="002B7E2A"/>
    <w:rsid w:val="002C4805"/>
    <w:rsid w:val="002C55AF"/>
    <w:rsid w:val="002D23E1"/>
    <w:rsid w:val="002E059D"/>
    <w:rsid w:val="002E1661"/>
    <w:rsid w:val="002F601E"/>
    <w:rsid w:val="00305E34"/>
    <w:rsid w:val="003266A8"/>
    <w:rsid w:val="003271B0"/>
    <w:rsid w:val="00336C85"/>
    <w:rsid w:val="00341ABF"/>
    <w:rsid w:val="003444A6"/>
    <w:rsid w:val="00351A9D"/>
    <w:rsid w:val="00355086"/>
    <w:rsid w:val="00360D8D"/>
    <w:rsid w:val="00360F99"/>
    <w:rsid w:val="0036395B"/>
    <w:rsid w:val="003919E9"/>
    <w:rsid w:val="0039584F"/>
    <w:rsid w:val="003A1513"/>
    <w:rsid w:val="003A3D2A"/>
    <w:rsid w:val="003B5F3D"/>
    <w:rsid w:val="003B6807"/>
    <w:rsid w:val="003C6ACE"/>
    <w:rsid w:val="003D381B"/>
    <w:rsid w:val="003D46A1"/>
    <w:rsid w:val="003E02F2"/>
    <w:rsid w:val="003E0ED3"/>
    <w:rsid w:val="003E639D"/>
    <w:rsid w:val="003F197A"/>
    <w:rsid w:val="003F754F"/>
    <w:rsid w:val="004024E8"/>
    <w:rsid w:val="004039F0"/>
    <w:rsid w:val="00406E13"/>
    <w:rsid w:val="00412839"/>
    <w:rsid w:val="0041298D"/>
    <w:rsid w:val="004147C1"/>
    <w:rsid w:val="00414F80"/>
    <w:rsid w:val="00415E3D"/>
    <w:rsid w:val="00421047"/>
    <w:rsid w:val="00440697"/>
    <w:rsid w:val="00444061"/>
    <w:rsid w:val="00447493"/>
    <w:rsid w:val="00450C94"/>
    <w:rsid w:val="004544B1"/>
    <w:rsid w:val="0047360F"/>
    <w:rsid w:val="00490E1F"/>
    <w:rsid w:val="004A1DF9"/>
    <w:rsid w:val="004A5182"/>
    <w:rsid w:val="004A6CD4"/>
    <w:rsid w:val="004A7C51"/>
    <w:rsid w:val="004B518E"/>
    <w:rsid w:val="004B5E3D"/>
    <w:rsid w:val="004B788D"/>
    <w:rsid w:val="004C566C"/>
    <w:rsid w:val="004C5F7B"/>
    <w:rsid w:val="004D15D9"/>
    <w:rsid w:val="004D48E6"/>
    <w:rsid w:val="004E044E"/>
    <w:rsid w:val="004E7FFD"/>
    <w:rsid w:val="004F312B"/>
    <w:rsid w:val="00520717"/>
    <w:rsid w:val="00524D5F"/>
    <w:rsid w:val="00542891"/>
    <w:rsid w:val="00542DEC"/>
    <w:rsid w:val="005516D7"/>
    <w:rsid w:val="00553C55"/>
    <w:rsid w:val="0056082B"/>
    <w:rsid w:val="00573040"/>
    <w:rsid w:val="00573595"/>
    <w:rsid w:val="0057680E"/>
    <w:rsid w:val="005837A5"/>
    <w:rsid w:val="0058545E"/>
    <w:rsid w:val="005A082D"/>
    <w:rsid w:val="005A0D01"/>
    <w:rsid w:val="005B0199"/>
    <w:rsid w:val="005B68E4"/>
    <w:rsid w:val="005C32E9"/>
    <w:rsid w:val="005C6B3E"/>
    <w:rsid w:val="005D0544"/>
    <w:rsid w:val="005D6884"/>
    <w:rsid w:val="005F54C6"/>
    <w:rsid w:val="005F6B61"/>
    <w:rsid w:val="00605AC9"/>
    <w:rsid w:val="00611ECB"/>
    <w:rsid w:val="00626E9E"/>
    <w:rsid w:val="006270C9"/>
    <w:rsid w:val="00633454"/>
    <w:rsid w:val="00642AF0"/>
    <w:rsid w:val="006471E0"/>
    <w:rsid w:val="00652AAA"/>
    <w:rsid w:val="00653D3D"/>
    <w:rsid w:val="00655703"/>
    <w:rsid w:val="0065666F"/>
    <w:rsid w:val="00661296"/>
    <w:rsid w:val="00676751"/>
    <w:rsid w:val="006824FC"/>
    <w:rsid w:val="006827D6"/>
    <w:rsid w:val="00683FE1"/>
    <w:rsid w:val="0069450B"/>
    <w:rsid w:val="00694710"/>
    <w:rsid w:val="00695926"/>
    <w:rsid w:val="006B3CF6"/>
    <w:rsid w:val="006C4091"/>
    <w:rsid w:val="006C5910"/>
    <w:rsid w:val="00704700"/>
    <w:rsid w:val="00710503"/>
    <w:rsid w:val="0071294C"/>
    <w:rsid w:val="007157B2"/>
    <w:rsid w:val="0071670C"/>
    <w:rsid w:val="0072686A"/>
    <w:rsid w:val="00727C11"/>
    <w:rsid w:val="00735F8A"/>
    <w:rsid w:val="00743C9B"/>
    <w:rsid w:val="00751638"/>
    <w:rsid w:val="007541C3"/>
    <w:rsid w:val="00766EA4"/>
    <w:rsid w:val="0077168E"/>
    <w:rsid w:val="00774F9F"/>
    <w:rsid w:val="007914B8"/>
    <w:rsid w:val="007B000E"/>
    <w:rsid w:val="007B2144"/>
    <w:rsid w:val="007B5763"/>
    <w:rsid w:val="007B73E3"/>
    <w:rsid w:val="007C1BEF"/>
    <w:rsid w:val="007C5A8B"/>
    <w:rsid w:val="007C6385"/>
    <w:rsid w:val="007E28AD"/>
    <w:rsid w:val="007E7292"/>
    <w:rsid w:val="007E75A9"/>
    <w:rsid w:val="007F23FE"/>
    <w:rsid w:val="007F4AE8"/>
    <w:rsid w:val="007F5CAA"/>
    <w:rsid w:val="007F616C"/>
    <w:rsid w:val="008030AC"/>
    <w:rsid w:val="00805421"/>
    <w:rsid w:val="008111F9"/>
    <w:rsid w:val="008117F9"/>
    <w:rsid w:val="00817357"/>
    <w:rsid w:val="008244E4"/>
    <w:rsid w:val="00832E8F"/>
    <w:rsid w:val="0083319E"/>
    <w:rsid w:val="00835F07"/>
    <w:rsid w:val="00843311"/>
    <w:rsid w:val="008470AF"/>
    <w:rsid w:val="008479F1"/>
    <w:rsid w:val="00851E43"/>
    <w:rsid w:val="00852AA2"/>
    <w:rsid w:val="00856F65"/>
    <w:rsid w:val="00871C7F"/>
    <w:rsid w:val="008723DE"/>
    <w:rsid w:val="00873C93"/>
    <w:rsid w:val="008852F5"/>
    <w:rsid w:val="00886D43"/>
    <w:rsid w:val="00893A2B"/>
    <w:rsid w:val="00895C26"/>
    <w:rsid w:val="008A15D9"/>
    <w:rsid w:val="008A3B8E"/>
    <w:rsid w:val="008C4FFE"/>
    <w:rsid w:val="008D0718"/>
    <w:rsid w:val="008D07ED"/>
    <w:rsid w:val="008E051B"/>
    <w:rsid w:val="008E0952"/>
    <w:rsid w:val="008E1F18"/>
    <w:rsid w:val="008F1DD1"/>
    <w:rsid w:val="008F1DE4"/>
    <w:rsid w:val="008F5657"/>
    <w:rsid w:val="009168F3"/>
    <w:rsid w:val="009179F6"/>
    <w:rsid w:val="00917A71"/>
    <w:rsid w:val="009215D0"/>
    <w:rsid w:val="00926B1E"/>
    <w:rsid w:val="009367AD"/>
    <w:rsid w:val="00937676"/>
    <w:rsid w:val="00953B4F"/>
    <w:rsid w:val="00962D1D"/>
    <w:rsid w:val="0098274F"/>
    <w:rsid w:val="00987B8C"/>
    <w:rsid w:val="009A4B84"/>
    <w:rsid w:val="009B3786"/>
    <w:rsid w:val="009D120C"/>
    <w:rsid w:val="009D181F"/>
    <w:rsid w:val="009D6D83"/>
    <w:rsid w:val="009E14E0"/>
    <w:rsid w:val="009E5A33"/>
    <w:rsid w:val="009F1977"/>
    <w:rsid w:val="009F3A14"/>
    <w:rsid w:val="009F662B"/>
    <w:rsid w:val="009F6B7E"/>
    <w:rsid w:val="00A1503F"/>
    <w:rsid w:val="00A20235"/>
    <w:rsid w:val="00A22C84"/>
    <w:rsid w:val="00A24E14"/>
    <w:rsid w:val="00A25968"/>
    <w:rsid w:val="00A33894"/>
    <w:rsid w:val="00A34BE2"/>
    <w:rsid w:val="00A36499"/>
    <w:rsid w:val="00A43582"/>
    <w:rsid w:val="00A43946"/>
    <w:rsid w:val="00A51AD5"/>
    <w:rsid w:val="00A54D44"/>
    <w:rsid w:val="00A6297A"/>
    <w:rsid w:val="00A71AB1"/>
    <w:rsid w:val="00A720EC"/>
    <w:rsid w:val="00A7340B"/>
    <w:rsid w:val="00A73EBC"/>
    <w:rsid w:val="00A84614"/>
    <w:rsid w:val="00A924CD"/>
    <w:rsid w:val="00A953CF"/>
    <w:rsid w:val="00A97609"/>
    <w:rsid w:val="00AC0299"/>
    <w:rsid w:val="00AD3DE3"/>
    <w:rsid w:val="00AD52FE"/>
    <w:rsid w:val="00AE0164"/>
    <w:rsid w:val="00AE0E11"/>
    <w:rsid w:val="00AF2DF7"/>
    <w:rsid w:val="00AF5BAC"/>
    <w:rsid w:val="00B00656"/>
    <w:rsid w:val="00B02D97"/>
    <w:rsid w:val="00B045A2"/>
    <w:rsid w:val="00B1046A"/>
    <w:rsid w:val="00B1361C"/>
    <w:rsid w:val="00B2219E"/>
    <w:rsid w:val="00B402F2"/>
    <w:rsid w:val="00B426E3"/>
    <w:rsid w:val="00B45781"/>
    <w:rsid w:val="00B51014"/>
    <w:rsid w:val="00B55333"/>
    <w:rsid w:val="00B708D5"/>
    <w:rsid w:val="00B7212A"/>
    <w:rsid w:val="00B75F5D"/>
    <w:rsid w:val="00B85EC6"/>
    <w:rsid w:val="00B90122"/>
    <w:rsid w:val="00B92114"/>
    <w:rsid w:val="00BB5011"/>
    <w:rsid w:val="00BC0250"/>
    <w:rsid w:val="00BC1B3E"/>
    <w:rsid w:val="00BD1474"/>
    <w:rsid w:val="00BD36AC"/>
    <w:rsid w:val="00BE7D19"/>
    <w:rsid w:val="00BE7FD0"/>
    <w:rsid w:val="00BF31DD"/>
    <w:rsid w:val="00BF7B9C"/>
    <w:rsid w:val="00C018B1"/>
    <w:rsid w:val="00C038C4"/>
    <w:rsid w:val="00C17F80"/>
    <w:rsid w:val="00C43AE4"/>
    <w:rsid w:val="00C55970"/>
    <w:rsid w:val="00C638E6"/>
    <w:rsid w:val="00C723B4"/>
    <w:rsid w:val="00C73311"/>
    <w:rsid w:val="00C8789E"/>
    <w:rsid w:val="00C90F5C"/>
    <w:rsid w:val="00C96077"/>
    <w:rsid w:val="00CA0A23"/>
    <w:rsid w:val="00CD20F0"/>
    <w:rsid w:val="00CD56EF"/>
    <w:rsid w:val="00CF2E14"/>
    <w:rsid w:val="00CF66BE"/>
    <w:rsid w:val="00D0263F"/>
    <w:rsid w:val="00D038DD"/>
    <w:rsid w:val="00D07710"/>
    <w:rsid w:val="00D07A0C"/>
    <w:rsid w:val="00D10FBD"/>
    <w:rsid w:val="00D122BF"/>
    <w:rsid w:val="00D16E06"/>
    <w:rsid w:val="00D214BB"/>
    <w:rsid w:val="00D22CAA"/>
    <w:rsid w:val="00D3349D"/>
    <w:rsid w:val="00D3455D"/>
    <w:rsid w:val="00D405C3"/>
    <w:rsid w:val="00D51448"/>
    <w:rsid w:val="00D66066"/>
    <w:rsid w:val="00D679DD"/>
    <w:rsid w:val="00D723CD"/>
    <w:rsid w:val="00D76BCA"/>
    <w:rsid w:val="00D77013"/>
    <w:rsid w:val="00D84AB1"/>
    <w:rsid w:val="00D92675"/>
    <w:rsid w:val="00DA2EB4"/>
    <w:rsid w:val="00DB3835"/>
    <w:rsid w:val="00DB6ACC"/>
    <w:rsid w:val="00DC4ECB"/>
    <w:rsid w:val="00DD1B50"/>
    <w:rsid w:val="00DD3001"/>
    <w:rsid w:val="00DD39D7"/>
    <w:rsid w:val="00DE0535"/>
    <w:rsid w:val="00E0618F"/>
    <w:rsid w:val="00E07810"/>
    <w:rsid w:val="00E11A23"/>
    <w:rsid w:val="00E17BBD"/>
    <w:rsid w:val="00E20A62"/>
    <w:rsid w:val="00E366C8"/>
    <w:rsid w:val="00E36B94"/>
    <w:rsid w:val="00E47681"/>
    <w:rsid w:val="00E60046"/>
    <w:rsid w:val="00E62A21"/>
    <w:rsid w:val="00E63EA9"/>
    <w:rsid w:val="00E63FF6"/>
    <w:rsid w:val="00E76AE9"/>
    <w:rsid w:val="00E80A86"/>
    <w:rsid w:val="00E92BFF"/>
    <w:rsid w:val="00EA343D"/>
    <w:rsid w:val="00EA5341"/>
    <w:rsid w:val="00EB3873"/>
    <w:rsid w:val="00ED0985"/>
    <w:rsid w:val="00ED2416"/>
    <w:rsid w:val="00ED4F83"/>
    <w:rsid w:val="00EE7B0F"/>
    <w:rsid w:val="00EF345C"/>
    <w:rsid w:val="00F019C5"/>
    <w:rsid w:val="00F01F90"/>
    <w:rsid w:val="00F0627E"/>
    <w:rsid w:val="00F12E11"/>
    <w:rsid w:val="00F15694"/>
    <w:rsid w:val="00F367EF"/>
    <w:rsid w:val="00F36C32"/>
    <w:rsid w:val="00F410E9"/>
    <w:rsid w:val="00F4666F"/>
    <w:rsid w:val="00F603F1"/>
    <w:rsid w:val="00F66BC6"/>
    <w:rsid w:val="00F7310A"/>
    <w:rsid w:val="00F74641"/>
    <w:rsid w:val="00F75A70"/>
    <w:rsid w:val="00F775C6"/>
    <w:rsid w:val="00F847EF"/>
    <w:rsid w:val="00F97249"/>
    <w:rsid w:val="00FA1722"/>
    <w:rsid w:val="00FB5742"/>
    <w:rsid w:val="00FB6CCD"/>
    <w:rsid w:val="00FE6881"/>
    <w:rsid w:val="00FF1796"/>
    <w:rsid w:val="00FF608B"/>
    <w:rsid w:val="00FF79C7"/>
    <w:rsid w:val="196D8581"/>
    <w:rsid w:val="206F375E"/>
    <w:rsid w:val="318D9934"/>
    <w:rsid w:val="44E8B46E"/>
    <w:rsid w:val="50548178"/>
    <w:rsid w:val="5944B06D"/>
    <w:rsid w:val="6A4BF0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FBEA5"/>
  <w15:chartTrackingRefBased/>
  <w15:docId w15:val="{090CFA1F-E653-4CBE-8062-843A426E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C5BA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1C5BA0"/>
    <w:rPr>
      <w:color w:val="605E5C"/>
      <w:shd w:val="clear" w:color="auto" w:fill="E1DFDD"/>
    </w:rPr>
  </w:style>
  <w:style w:type="character" w:styleId="FollowedHyperlink">
    <w:name w:val="FollowedHyperlink"/>
    <w:basedOn w:val="DefaultParagraphFont"/>
    <w:uiPriority w:val="99"/>
    <w:semiHidden/>
    <w:unhideWhenUsed/>
    <w:rsid w:val="00C43AE4"/>
    <w:rPr>
      <w:color w:val="497A9C" w:themeColor="followedHyperlink"/>
      <w:u w:val="single"/>
    </w:rPr>
  </w:style>
  <w:style w:type="paragraph" w:styleId="FootnoteText">
    <w:name w:val="footnote text"/>
    <w:basedOn w:val="Normal"/>
    <w:link w:val="FootnoteTextChar"/>
    <w:uiPriority w:val="99"/>
    <w:semiHidden/>
    <w:unhideWhenUsed/>
    <w:rsid w:val="00886D43"/>
    <w:pPr>
      <w:spacing w:line="240" w:lineRule="auto"/>
    </w:pPr>
    <w:rPr>
      <w:sz w:val="20"/>
      <w:szCs w:val="20"/>
    </w:rPr>
  </w:style>
  <w:style w:type="character" w:customStyle="1" w:styleId="FootnoteTextChar">
    <w:name w:val="Footnote Text Char"/>
    <w:basedOn w:val="DefaultParagraphFont"/>
    <w:link w:val="FootnoteText"/>
    <w:uiPriority w:val="99"/>
    <w:semiHidden/>
    <w:rsid w:val="00886D43"/>
    <w:rPr>
      <w:sz w:val="20"/>
      <w:szCs w:val="20"/>
    </w:rPr>
  </w:style>
  <w:style w:type="character" w:styleId="FootnoteReference">
    <w:name w:val="footnote reference"/>
    <w:basedOn w:val="DefaultParagraphFont"/>
    <w:uiPriority w:val="99"/>
    <w:semiHidden/>
    <w:unhideWhenUsed/>
    <w:rsid w:val="00886D43"/>
    <w:rPr>
      <w:vertAlign w:val="superscript"/>
    </w:rPr>
  </w:style>
  <w:style w:type="paragraph" w:styleId="Revision">
    <w:name w:val="Revision"/>
    <w:hidden/>
    <w:uiPriority w:val="99"/>
    <w:semiHidden/>
    <w:rsid w:val="00856F65"/>
    <w:pPr>
      <w:spacing w:after="0" w:line="240" w:lineRule="auto"/>
    </w:pPr>
    <w:rPr>
      <w:sz w:val="24"/>
    </w:rPr>
  </w:style>
  <w:style w:type="paragraph" w:styleId="CommentText">
    <w:name w:val="annotation text"/>
    <w:basedOn w:val="Normal"/>
    <w:link w:val="CommentTextChar"/>
    <w:uiPriority w:val="99"/>
    <w:semiHidden/>
    <w:unhideWhenUsed/>
    <w:rsid w:val="001502E0"/>
    <w:pPr>
      <w:spacing w:line="240" w:lineRule="auto"/>
    </w:pPr>
    <w:rPr>
      <w:sz w:val="20"/>
      <w:szCs w:val="20"/>
    </w:rPr>
  </w:style>
  <w:style w:type="character" w:customStyle="1" w:styleId="CommentTextChar">
    <w:name w:val="Comment Text Char"/>
    <w:basedOn w:val="DefaultParagraphFont"/>
    <w:link w:val="CommentText"/>
    <w:uiPriority w:val="99"/>
    <w:semiHidden/>
    <w:rsid w:val="001502E0"/>
    <w:rPr>
      <w:sz w:val="20"/>
      <w:szCs w:val="20"/>
    </w:rPr>
  </w:style>
  <w:style w:type="character" w:styleId="CommentReference">
    <w:name w:val="annotation reference"/>
    <w:basedOn w:val="DefaultParagraphFont"/>
    <w:uiPriority w:val="99"/>
    <w:semiHidden/>
    <w:unhideWhenUsed/>
    <w:rsid w:val="001502E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0220">
      <w:bodyDiv w:val="1"/>
      <w:marLeft w:val="0"/>
      <w:marRight w:val="0"/>
      <w:marTop w:val="0"/>
      <w:marBottom w:val="0"/>
      <w:divBdr>
        <w:top w:val="none" w:sz="0" w:space="0" w:color="auto"/>
        <w:left w:val="none" w:sz="0" w:space="0" w:color="auto"/>
        <w:bottom w:val="none" w:sz="0" w:space="0" w:color="auto"/>
        <w:right w:val="none" w:sz="0" w:space="0" w:color="auto"/>
      </w:divBdr>
    </w:div>
    <w:div w:id="264389966">
      <w:bodyDiv w:val="1"/>
      <w:marLeft w:val="0"/>
      <w:marRight w:val="0"/>
      <w:marTop w:val="0"/>
      <w:marBottom w:val="0"/>
      <w:divBdr>
        <w:top w:val="none" w:sz="0" w:space="0" w:color="auto"/>
        <w:left w:val="none" w:sz="0" w:space="0" w:color="auto"/>
        <w:bottom w:val="none" w:sz="0" w:space="0" w:color="auto"/>
        <w:right w:val="none" w:sz="0" w:space="0" w:color="auto"/>
      </w:divBdr>
    </w:div>
    <w:div w:id="409348656">
      <w:bodyDiv w:val="1"/>
      <w:marLeft w:val="0"/>
      <w:marRight w:val="0"/>
      <w:marTop w:val="0"/>
      <w:marBottom w:val="0"/>
      <w:divBdr>
        <w:top w:val="none" w:sz="0" w:space="0" w:color="auto"/>
        <w:left w:val="none" w:sz="0" w:space="0" w:color="auto"/>
        <w:bottom w:val="none" w:sz="0" w:space="0" w:color="auto"/>
        <w:right w:val="none" w:sz="0" w:space="0" w:color="auto"/>
      </w:divBdr>
    </w:div>
    <w:div w:id="677578374">
      <w:bodyDiv w:val="1"/>
      <w:marLeft w:val="0"/>
      <w:marRight w:val="0"/>
      <w:marTop w:val="0"/>
      <w:marBottom w:val="0"/>
      <w:divBdr>
        <w:top w:val="none" w:sz="0" w:space="0" w:color="auto"/>
        <w:left w:val="none" w:sz="0" w:space="0" w:color="auto"/>
        <w:bottom w:val="none" w:sz="0" w:space="0" w:color="auto"/>
        <w:right w:val="none" w:sz="0" w:space="0" w:color="auto"/>
      </w:divBdr>
    </w:div>
    <w:div w:id="845634253">
      <w:bodyDiv w:val="1"/>
      <w:marLeft w:val="0"/>
      <w:marRight w:val="0"/>
      <w:marTop w:val="0"/>
      <w:marBottom w:val="0"/>
      <w:divBdr>
        <w:top w:val="none" w:sz="0" w:space="0" w:color="auto"/>
        <w:left w:val="none" w:sz="0" w:space="0" w:color="auto"/>
        <w:bottom w:val="none" w:sz="0" w:space="0" w:color="auto"/>
        <w:right w:val="none" w:sz="0" w:space="0" w:color="auto"/>
      </w:divBdr>
    </w:div>
    <w:div w:id="990643653">
      <w:bodyDiv w:val="1"/>
      <w:marLeft w:val="0"/>
      <w:marRight w:val="0"/>
      <w:marTop w:val="0"/>
      <w:marBottom w:val="0"/>
      <w:divBdr>
        <w:top w:val="none" w:sz="0" w:space="0" w:color="auto"/>
        <w:left w:val="none" w:sz="0" w:space="0" w:color="auto"/>
        <w:bottom w:val="none" w:sz="0" w:space="0" w:color="auto"/>
        <w:right w:val="none" w:sz="0" w:space="0" w:color="auto"/>
      </w:divBdr>
    </w:div>
    <w:div w:id="1182353622">
      <w:bodyDiv w:val="1"/>
      <w:marLeft w:val="0"/>
      <w:marRight w:val="0"/>
      <w:marTop w:val="0"/>
      <w:marBottom w:val="0"/>
      <w:divBdr>
        <w:top w:val="none" w:sz="0" w:space="0" w:color="auto"/>
        <w:left w:val="none" w:sz="0" w:space="0" w:color="auto"/>
        <w:bottom w:val="none" w:sz="0" w:space="0" w:color="auto"/>
        <w:right w:val="none" w:sz="0" w:space="0" w:color="auto"/>
      </w:divBdr>
    </w:div>
    <w:div w:id="1218473253">
      <w:bodyDiv w:val="1"/>
      <w:marLeft w:val="0"/>
      <w:marRight w:val="0"/>
      <w:marTop w:val="0"/>
      <w:marBottom w:val="0"/>
      <w:divBdr>
        <w:top w:val="none" w:sz="0" w:space="0" w:color="auto"/>
        <w:left w:val="none" w:sz="0" w:space="0" w:color="auto"/>
        <w:bottom w:val="none" w:sz="0" w:space="0" w:color="auto"/>
        <w:right w:val="none" w:sz="0" w:space="0" w:color="auto"/>
      </w:divBdr>
    </w:div>
    <w:div w:id="1277902925">
      <w:bodyDiv w:val="1"/>
      <w:marLeft w:val="0"/>
      <w:marRight w:val="0"/>
      <w:marTop w:val="0"/>
      <w:marBottom w:val="0"/>
      <w:divBdr>
        <w:top w:val="none" w:sz="0" w:space="0" w:color="auto"/>
        <w:left w:val="none" w:sz="0" w:space="0" w:color="auto"/>
        <w:bottom w:val="none" w:sz="0" w:space="0" w:color="auto"/>
        <w:right w:val="none" w:sz="0" w:space="0" w:color="auto"/>
      </w:divBdr>
    </w:div>
    <w:div w:id="1397514146">
      <w:bodyDiv w:val="1"/>
      <w:marLeft w:val="0"/>
      <w:marRight w:val="0"/>
      <w:marTop w:val="0"/>
      <w:marBottom w:val="0"/>
      <w:divBdr>
        <w:top w:val="none" w:sz="0" w:space="0" w:color="auto"/>
        <w:left w:val="none" w:sz="0" w:space="0" w:color="auto"/>
        <w:bottom w:val="none" w:sz="0" w:space="0" w:color="auto"/>
        <w:right w:val="none" w:sz="0" w:space="0" w:color="auto"/>
      </w:divBdr>
    </w:div>
    <w:div w:id="1648245892">
      <w:bodyDiv w:val="1"/>
      <w:marLeft w:val="0"/>
      <w:marRight w:val="0"/>
      <w:marTop w:val="0"/>
      <w:marBottom w:val="0"/>
      <w:divBdr>
        <w:top w:val="none" w:sz="0" w:space="0" w:color="auto"/>
        <w:left w:val="none" w:sz="0" w:space="0" w:color="auto"/>
        <w:bottom w:val="none" w:sz="0" w:space="0" w:color="auto"/>
        <w:right w:val="none" w:sz="0" w:space="0" w:color="auto"/>
      </w:divBdr>
    </w:div>
    <w:div w:id="170401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ics.scot/publications/our-performance/annual-reports-financial-statements/annual-report-2024-25"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scotlandontap.gov.uk/" TargetMode="External"/><Relationship Id="rId1" Type="http://schemas.openxmlformats.org/officeDocument/2006/relationships/hyperlink" Target="https://wics.sc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EF3CEDE45C3E41979E5CB746DEFCCD" ma:contentTypeVersion="5" ma:contentTypeDescription="Create a new document." ma:contentTypeScope="" ma:versionID="5a5914bbc4d45d2e86361984521cf35a">
  <xsd:schema xmlns:xsd="http://www.w3.org/2001/XMLSchema" xmlns:xs="http://www.w3.org/2001/XMLSchema" xmlns:p="http://schemas.microsoft.com/office/2006/metadata/properties" xmlns:ns1="http://schemas.microsoft.com/sharepoint/v3" xmlns:ns2="004380fa-a78c-4a05-918a-4947868b2b6d" targetNamespace="http://schemas.microsoft.com/office/2006/metadata/properties" ma:root="true" ma:fieldsID="65f183b1772b88eb244c05d2a75ffa02" ns1:_="" ns2:_="">
    <xsd:import namespace="http://schemas.microsoft.com/sharepoint/v3"/>
    <xsd:import namespace="004380fa-a78c-4a05-918a-4947868b2b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380fa-a78c-4a05-918a-4947868b2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2.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4.xml><?xml version="1.0" encoding="utf-8"?>
<ds:datastoreItem xmlns:ds="http://schemas.openxmlformats.org/officeDocument/2006/customXml" ds:itemID="{30D2EAC2-675E-4608-88D3-CCE6F4B71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4380fa-a78c-4a05-918a-4947868b2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1895</Words>
  <Characters>11732</Characters>
  <Application>Microsoft Office Word</Application>
  <DocSecurity>0</DocSecurity>
  <Lines>325</Lines>
  <Paragraphs>206</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13421</CharactersWithSpaces>
  <SharedDoc>false</SharedDoc>
  <HLinks>
    <vt:vector size="78" baseType="variant">
      <vt:variant>
        <vt:i4>2031665</vt:i4>
      </vt:variant>
      <vt:variant>
        <vt:i4>62</vt:i4>
      </vt:variant>
      <vt:variant>
        <vt:i4>0</vt:i4>
      </vt:variant>
      <vt:variant>
        <vt:i4>5</vt:i4>
      </vt:variant>
      <vt:variant>
        <vt:lpwstr/>
      </vt:variant>
      <vt:variant>
        <vt:lpwstr>_Toc184223610</vt:lpwstr>
      </vt:variant>
      <vt:variant>
        <vt:i4>1966129</vt:i4>
      </vt:variant>
      <vt:variant>
        <vt:i4>56</vt:i4>
      </vt:variant>
      <vt:variant>
        <vt:i4>0</vt:i4>
      </vt:variant>
      <vt:variant>
        <vt:i4>5</vt:i4>
      </vt:variant>
      <vt:variant>
        <vt:lpwstr/>
      </vt:variant>
      <vt:variant>
        <vt:lpwstr>_Toc184223609</vt:lpwstr>
      </vt:variant>
      <vt:variant>
        <vt:i4>1966129</vt:i4>
      </vt:variant>
      <vt:variant>
        <vt:i4>50</vt:i4>
      </vt:variant>
      <vt:variant>
        <vt:i4>0</vt:i4>
      </vt:variant>
      <vt:variant>
        <vt:i4>5</vt:i4>
      </vt:variant>
      <vt:variant>
        <vt:lpwstr/>
      </vt:variant>
      <vt:variant>
        <vt:lpwstr>_Toc184223608</vt:lpwstr>
      </vt:variant>
      <vt:variant>
        <vt:i4>1966129</vt:i4>
      </vt:variant>
      <vt:variant>
        <vt:i4>44</vt:i4>
      </vt:variant>
      <vt:variant>
        <vt:i4>0</vt:i4>
      </vt:variant>
      <vt:variant>
        <vt:i4>5</vt:i4>
      </vt:variant>
      <vt:variant>
        <vt:lpwstr/>
      </vt:variant>
      <vt:variant>
        <vt:lpwstr>_Toc184223607</vt:lpwstr>
      </vt:variant>
      <vt:variant>
        <vt:i4>1966129</vt:i4>
      </vt:variant>
      <vt:variant>
        <vt:i4>38</vt:i4>
      </vt:variant>
      <vt:variant>
        <vt:i4>0</vt:i4>
      </vt:variant>
      <vt:variant>
        <vt:i4>5</vt:i4>
      </vt:variant>
      <vt:variant>
        <vt:lpwstr/>
      </vt:variant>
      <vt:variant>
        <vt:lpwstr>_Toc184223606</vt:lpwstr>
      </vt:variant>
      <vt:variant>
        <vt:i4>1966129</vt:i4>
      </vt:variant>
      <vt:variant>
        <vt:i4>32</vt:i4>
      </vt:variant>
      <vt:variant>
        <vt:i4>0</vt:i4>
      </vt:variant>
      <vt:variant>
        <vt:i4>5</vt:i4>
      </vt:variant>
      <vt:variant>
        <vt:lpwstr/>
      </vt:variant>
      <vt:variant>
        <vt:lpwstr>_Toc184223605</vt:lpwstr>
      </vt:variant>
      <vt:variant>
        <vt:i4>1966129</vt:i4>
      </vt:variant>
      <vt:variant>
        <vt:i4>26</vt:i4>
      </vt:variant>
      <vt:variant>
        <vt:i4>0</vt:i4>
      </vt:variant>
      <vt:variant>
        <vt:i4>5</vt:i4>
      </vt:variant>
      <vt:variant>
        <vt:lpwstr/>
      </vt:variant>
      <vt:variant>
        <vt:lpwstr>_Toc184223604</vt:lpwstr>
      </vt:variant>
      <vt:variant>
        <vt:i4>1966129</vt:i4>
      </vt:variant>
      <vt:variant>
        <vt:i4>20</vt:i4>
      </vt:variant>
      <vt:variant>
        <vt:i4>0</vt:i4>
      </vt:variant>
      <vt:variant>
        <vt:i4>5</vt:i4>
      </vt:variant>
      <vt:variant>
        <vt:lpwstr/>
      </vt:variant>
      <vt:variant>
        <vt:lpwstr>_Toc184223603</vt:lpwstr>
      </vt:variant>
      <vt:variant>
        <vt:i4>1966129</vt:i4>
      </vt:variant>
      <vt:variant>
        <vt:i4>14</vt:i4>
      </vt:variant>
      <vt:variant>
        <vt:i4>0</vt:i4>
      </vt:variant>
      <vt:variant>
        <vt:i4>5</vt:i4>
      </vt:variant>
      <vt:variant>
        <vt:lpwstr/>
      </vt:variant>
      <vt:variant>
        <vt:lpwstr>_Toc184223601</vt:lpwstr>
      </vt:variant>
      <vt:variant>
        <vt:i4>1966129</vt:i4>
      </vt:variant>
      <vt:variant>
        <vt:i4>8</vt:i4>
      </vt:variant>
      <vt:variant>
        <vt:i4>0</vt:i4>
      </vt:variant>
      <vt:variant>
        <vt:i4>5</vt:i4>
      </vt:variant>
      <vt:variant>
        <vt:lpwstr/>
      </vt:variant>
      <vt:variant>
        <vt:lpwstr>_Toc184223600</vt:lpwstr>
      </vt:variant>
      <vt:variant>
        <vt:i4>1507378</vt:i4>
      </vt:variant>
      <vt:variant>
        <vt:i4>2</vt:i4>
      </vt:variant>
      <vt:variant>
        <vt:i4>0</vt:i4>
      </vt:variant>
      <vt:variant>
        <vt:i4>5</vt:i4>
      </vt:variant>
      <vt:variant>
        <vt:lpwstr/>
      </vt:variant>
      <vt:variant>
        <vt:lpwstr>_Toc184223599</vt:lpwstr>
      </vt:variant>
      <vt:variant>
        <vt:i4>5308497</vt:i4>
      </vt:variant>
      <vt:variant>
        <vt:i4>3</vt:i4>
      </vt:variant>
      <vt:variant>
        <vt:i4>0</vt:i4>
      </vt:variant>
      <vt:variant>
        <vt:i4>5</vt:i4>
      </vt:variant>
      <vt:variant>
        <vt:lpwstr>https://www.scotlandontap.gov.uk/</vt:lpwstr>
      </vt:variant>
      <vt:variant>
        <vt:lpwstr/>
      </vt:variant>
      <vt:variant>
        <vt:i4>3670125</vt:i4>
      </vt:variant>
      <vt:variant>
        <vt:i4>0</vt:i4>
      </vt:variant>
      <vt:variant>
        <vt:i4>0</vt:i4>
      </vt:variant>
      <vt:variant>
        <vt:i4>5</vt:i4>
      </vt:variant>
      <vt:variant>
        <vt:lpwstr>https://wics.scot/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Kirsty McLean</cp:lastModifiedBy>
  <cp:revision>284</cp:revision>
  <dcterms:created xsi:type="dcterms:W3CDTF">2023-07-27T18:59:00Z</dcterms:created>
  <dcterms:modified xsi:type="dcterms:W3CDTF">2026-01-07T13:12:00Z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0x010100A2EF3CEDE45C3E41979E5CB746DEFCCD</vt:lpwstr>
  </property>
  <property fmtid="{D5CDD505-2E9C-101B-9397-08002B2CF9AE}" pid="3" name="Order">
    <vt:r8>1666000</vt:r8>
  </property>
  <property fmtid="{D5CDD505-2E9C-101B-9397-08002B2CF9AE}" pid="4" name="Staff Admin Area">
    <vt:lpwstr/>
  </property>
  <property fmtid="{D5CDD505-2E9C-101B-9397-08002B2CF9AE}" pid="5" name="MediaServiceImageTags">
    <vt:lpwstr/>
  </property>
  <property fmtid="{D5CDD505-2E9C-101B-9397-08002B2CF9AE}" pid="6" name="Reports Area">
    <vt:lpwstr/>
  </property>
  <property fmtid="{D5CDD505-2E9C-101B-9397-08002B2CF9AE}" pid="7" name="f8222d92f0c14f9899aeb3bb6dd59f2b">
    <vt:lpwstr/>
  </property>
  <property fmtid="{D5CDD505-2E9C-101B-9397-08002B2CF9AE}" pid="8" name="Financial Year">
    <vt:lpwstr/>
  </property>
  <property fmtid="{D5CDD505-2E9C-101B-9397-08002B2CF9AE}" pid="9" name="Review_x0020_Period">
    <vt:lpwstr/>
  </property>
  <property fmtid="{D5CDD505-2E9C-101B-9397-08002B2CF9AE}" pid="10" name="Review Period">
    <vt:lpwstr/>
  </property>
  <property fmtid="{D5CDD505-2E9C-101B-9397-08002B2CF9AE}" pid="11" name="Financial_x0020_Year">
    <vt:lpwstr/>
  </property>
  <property fmtid="{D5CDD505-2E9C-101B-9397-08002B2CF9AE}" pid="12" name="Reports_x0020_Area">
    <vt:lpwstr/>
  </property>
  <property fmtid="{D5CDD505-2E9C-101B-9397-08002B2CF9AE}" pid="13" name="Governance_x0020_Area">
    <vt:lpwstr/>
  </property>
  <property fmtid="{D5CDD505-2E9C-101B-9397-08002B2CF9AE}" pid="14" name="Governance Area">
    <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y fmtid="{D5CDD505-2E9C-101B-9397-08002B2CF9AE}" pid="21" name="GrammarlyDocumentId">
    <vt:lpwstr>9bbbf50a-540a-43c0-a360-a3749db4d06e</vt:lpwstr>
  </property>
</Properties>
</file>