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tblGrid>
      <w:tr w:rsidR="00805421" w:rsidRPr="0030124D" w14:paraId="2BF079B7" w14:textId="77777777" w:rsidTr="00C54AD6">
        <w:trPr>
          <w:trHeight w:val="2759"/>
        </w:trPr>
        <w:tc>
          <w:tcPr>
            <w:tcW w:w="6946" w:type="dxa"/>
          </w:tcPr>
          <w:p w14:paraId="495062F0" w14:textId="55B9B8F7" w:rsidR="00805421" w:rsidRPr="0030124D" w:rsidRDefault="00ED146E" w:rsidP="00935FEB">
            <w:pPr>
              <w:pStyle w:val="Documenttitle"/>
              <w:jc w:val="left"/>
              <w:rPr>
                <w:szCs w:val="88"/>
              </w:rPr>
            </w:pPr>
            <w:r w:rsidRPr="0030124D">
              <w:rPr>
                <w:szCs w:val="88"/>
              </w:rPr>
              <w:t>S</w:t>
            </w:r>
            <w:bookmarkStart w:id="0" w:name="_Ref161665742"/>
            <w:bookmarkEnd w:id="0"/>
            <w:r w:rsidRPr="0030124D">
              <w:rPr>
                <w:szCs w:val="88"/>
              </w:rPr>
              <w:t>trategic Review of Charges 2027</w:t>
            </w:r>
            <w:r w:rsidR="00C54AD6" w:rsidRPr="0030124D">
              <w:rPr>
                <w:szCs w:val="88"/>
              </w:rPr>
              <w:t>-</w:t>
            </w:r>
            <w:r w:rsidR="007A02ED" w:rsidRPr="0030124D">
              <w:rPr>
                <w:szCs w:val="88"/>
              </w:rPr>
              <w:t>20</w:t>
            </w:r>
            <w:r w:rsidR="00C54AD6" w:rsidRPr="0030124D">
              <w:rPr>
                <w:szCs w:val="88"/>
              </w:rPr>
              <w:t>33</w:t>
            </w:r>
            <w:r w:rsidRPr="0030124D">
              <w:rPr>
                <w:szCs w:val="88"/>
              </w:rPr>
              <w:t xml:space="preserve">: </w:t>
            </w:r>
            <w:r w:rsidR="00BC1771">
              <w:rPr>
                <w:szCs w:val="88"/>
              </w:rPr>
              <w:t>Guidance and Definitions to the Business Plan Tables</w:t>
            </w:r>
          </w:p>
        </w:tc>
      </w:tr>
      <w:tr w:rsidR="00805421" w:rsidRPr="0030124D" w14:paraId="3FBED2F1" w14:textId="77777777" w:rsidTr="00C54AD6">
        <w:trPr>
          <w:trHeight w:val="1561"/>
        </w:trPr>
        <w:tc>
          <w:tcPr>
            <w:tcW w:w="6946" w:type="dxa"/>
          </w:tcPr>
          <w:p w14:paraId="437A23DE" w14:textId="38C20DE9" w:rsidR="00805421" w:rsidRPr="0030124D" w:rsidRDefault="00805421" w:rsidP="00935FEB">
            <w:pPr>
              <w:pStyle w:val="Documentsubtitle"/>
              <w:jc w:val="left"/>
            </w:pPr>
          </w:p>
        </w:tc>
      </w:tr>
      <w:tr w:rsidR="00805421" w:rsidRPr="0030124D" w14:paraId="25B3ADDF" w14:textId="77777777" w:rsidTr="00C54AD6">
        <w:trPr>
          <w:trHeight w:val="1134"/>
        </w:trPr>
        <w:tc>
          <w:tcPr>
            <w:tcW w:w="6946" w:type="dxa"/>
          </w:tcPr>
          <w:p w14:paraId="203ED665" w14:textId="543EC645" w:rsidR="00805421" w:rsidRPr="0030124D" w:rsidRDefault="00DE19DC" w:rsidP="001C48B5">
            <w:pPr>
              <w:pStyle w:val="Coverinfo"/>
            </w:pPr>
            <w:r w:rsidRPr="00561F93">
              <w:t xml:space="preserve">Version </w:t>
            </w:r>
            <w:r w:rsidR="0093078E" w:rsidRPr="00561F93">
              <w:t>3</w:t>
            </w:r>
          </w:p>
        </w:tc>
      </w:tr>
      <w:tr w:rsidR="00805421" w:rsidRPr="0030124D" w14:paraId="2B3D2FB0" w14:textId="77777777" w:rsidTr="00C54AD6">
        <w:trPr>
          <w:trHeight w:val="567"/>
        </w:trPr>
        <w:tc>
          <w:tcPr>
            <w:tcW w:w="6946" w:type="dxa"/>
          </w:tcPr>
          <w:p w14:paraId="06028F39" w14:textId="5D9AD521" w:rsidR="00805421" w:rsidRPr="0030124D" w:rsidRDefault="00090368" w:rsidP="001C48B5">
            <w:pPr>
              <w:pStyle w:val="Coverinfo"/>
              <w:rPr>
                <w:b/>
                <w:bCs/>
              </w:rPr>
            </w:pPr>
            <w:r>
              <w:rPr>
                <w:color w:val="5F7577" w:themeColor="accent2"/>
              </w:rPr>
              <w:t xml:space="preserve">12 </w:t>
            </w:r>
            <w:r w:rsidR="0093078E">
              <w:rPr>
                <w:color w:val="5F7577" w:themeColor="accent2"/>
              </w:rPr>
              <w:t>December</w:t>
            </w:r>
            <w:r w:rsidR="00423FF9" w:rsidRPr="0030124D">
              <w:rPr>
                <w:color w:val="5F7577" w:themeColor="accent2"/>
              </w:rPr>
              <w:t xml:space="preserve"> </w:t>
            </w:r>
            <w:r w:rsidR="00495EBD" w:rsidRPr="0030124D">
              <w:rPr>
                <w:color w:val="5F7577" w:themeColor="accent2"/>
              </w:rPr>
              <w:t>2024</w:t>
            </w:r>
          </w:p>
        </w:tc>
      </w:tr>
    </w:tbl>
    <w:p w14:paraId="6C639259" w14:textId="69D99F1A" w:rsidR="009215D0" w:rsidRPr="0030124D" w:rsidRDefault="00757B30" w:rsidP="00935FEB">
      <w:pPr>
        <w:jc w:val="left"/>
        <w:sectPr w:rsidR="009215D0" w:rsidRPr="0030124D" w:rsidSect="00A9562F">
          <w:headerReference w:type="even" r:id="rId12"/>
          <w:footerReference w:type="default" r:id="rId13"/>
          <w:headerReference w:type="first" r:id="rId14"/>
          <w:pgSz w:w="11906" w:h="16838" w:code="9"/>
          <w:pgMar w:top="1134" w:right="1134" w:bottom="1134" w:left="1134" w:header="567" w:footer="567" w:gutter="0"/>
          <w:pgNumType w:start="0"/>
          <w:cols w:space="708"/>
          <w:titlePg/>
          <w:docGrid w:linePitch="360"/>
        </w:sectPr>
      </w:pPr>
      <w:r w:rsidRPr="0030124D">
        <w:br w:type="textWrapping" w:clear="all"/>
      </w:r>
    </w:p>
    <w:p w14:paraId="515BD17C" w14:textId="77777777" w:rsidR="00440697" w:rsidRPr="0030124D" w:rsidRDefault="00440697" w:rsidP="00C72CE7">
      <w:pPr>
        <w:spacing w:after="160" w:line="259" w:lineRule="auto"/>
        <w:jc w:val="left"/>
        <w:rPr>
          <w:color w:val="064276" w:themeColor="text2"/>
          <w:sz w:val="72"/>
          <w:szCs w:val="72"/>
        </w:rPr>
      </w:pPr>
      <w:r w:rsidRPr="0030124D">
        <w:br w:type="page"/>
      </w:r>
    </w:p>
    <w:bookmarkStart w:id="1" w:name="_Toc184736024" w:displacedByCustomXml="next"/>
    <w:bookmarkStart w:id="2" w:name="_Toc161218279" w:displacedByCustomXml="next"/>
    <w:bookmarkStart w:id="3" w:name="_Toc160631746" w:displacedByCustomXml="next"/>
    <w:sdt>
      <w:sdtPr>
        <w:rPr>
          <w:rFonts w:asciiTheme="minorHAnsi" w:eastAsiaTheme="minorEastAsia" w:hAnsiTheme="minorHAnsi" w:cstheme="minorBidi"/>
          <w:color w:val="auto"/>
          <w:sz w:val="24"/>
          <w:szCs w:val="24"/>
        </w:rPr>
        <w:id w:val="-2018220775"/>
        <w:docPartObj>
          <w:docPartGallery w:val="Table of Contents"/>
          <w:docPartUnique/>
        </w:docPartObj>
      </w:sdtPr>
      <w:sdtEndPr>
        <w:rPr>
          <w:b/>
          <w:bCs/>
        </w:rPr>
      </w:sdtEndPr>
      <w:sdtContent>
        <w:p w14:paraId="20BABBAC" w14:textId="77777777" w:rsidR="00AE1E62" w:rsidRPr="0030124D" w:rsidRDefault="00AE1E62" w:rsidP="00E614A3">
          <w:pPr>
            <w:pStyle w:val="Heading1"/>
          </w:pPr>
          <w:r w:rsidRPr="0030124D">
            <w:t>Contents</w:t>
          </w:r>
          <w:bookmarkEnd w:id="3"/>
          <w:bookmarkEnd w:id="2"/>
          <w:bookmarkEnd w:id="1"/>
        </w:p>
        <w:p w14:paraId="30C32BF8" w14:textId="46604E0D" w:rsidR="005C5A9B" w:rsidRDefault="00AE1E62">
          <w:pPr>
            <w:pStyle w:val="TOC1"/>
            <w:rPr>
              <w:rFonts w:eastAsiaTheme="minorEastAsia"/>
              <w:b w:val="0"/>
              <w:noProof/>
              <w:color w:val="auto"/>
              <w:kern w:val="2"/>
              <w:szCs w:val="24"/>
              <w:lang w:eastAsia="en-GB"/>
              <w14:ligatures w14:val="standardContextual"/>
            </w:rPr>
          </w:pPr>
          <w:r w:rsidRPr="00623B77">
            <w:fldChar w:fldCharType="begin"/>
          </w:r>
          <w:r w:rsidRPr="0030124D">
            <w:instrText xml:space="preserve"> TOC \o "1-3" \h \z \u </w:instrText>
          </w:r>
          <w:r w:rsidRPr="00623B77">
            <w:fldChar w:fldCharType="separate"/>
          </w:r>
          <w:hyperlink w:anchor="_Toc184736024" w:history="1">
            <w:r w:rsidR="005C5A9B" w:rsidRPr="00AF02FF">
              <w:rPr>
                <w:rStyle w:val="Hyperlink"/>
                <w:noProof/>
              </w:rPr>
              <w:t>Contents</w:t>
            </w:r>
            <w:r w:rsidR="005C5A9B">
              <w:rPr>
                <w:noProof/>
                <w:webHidden/>
              </w:rPr>
              <w:tab/>
            </w:r>
            <w:r w:rsidR="005C5A9B">
              <w:rPr>
                <w:noProof/>
                <w:webHidden/>
              </w:rPr>
              <w:fldChar w:fldCharType="begin"/>
            </w:r>
            <w:r w:rsidR="005C5A9B">
              <w:rPr>
                <w:noProof/>
                <w:webHidden/>
              </w:rPr>
              <w:instrText xml:space="preserve"> PAGEREF _Toc184736024 \h </w:instrText>
            </w:r>
            <w:r w:rsidR="005C5A9B">
              <w:rPr>
                <w:noProof/>
                <w:webHidden/>
              </w:rPr>
            </w:r>
            <w:r w:rsidR="005C5A9B">
              <w:rPr>
                <w:noProof/>
                <w:webHidden/>
              </w:rPr>
              <w:fldChar w:fldCharType="separate"/>
            </w:r>
            <w:r w:rsidR="005C5A9B">
              <w:rPr>
                <w:noProof/>
                <w:webHidden/>
              </w:rPr>
              <w:t>1</w:t>
            </w:r>
            <w:r w:rsidR="005C5A9B">
              <w:rPr>
                <w:noProof/>
                <w:webHidden/>
              </w:rPr>
              <w:fldChar w:fldCharType="end"/>
            </w:r>
          </w:hyperlink>
        </w:p>
        <w:p w14:paraId="4A7AA57B" w14:textId="35F07DB8" w:rsidR="005C5A9B" w:rsidRDefault="005C5A9B">
          <w:pPr>
            <w:pStyle w:val="TOC2"/>
            <w:rPr>
              <w:rFonts w:eastAsiaTheme="minorEastAsia"/>
              <w:kern w:val="2"/>
              <w:sz w:val="24"/>
              <w:szCs w:val="24"/>
              <w:lang w:eastAsia="en-GB"/>
              <w14:ligatures w14:val="standardContextual"/>
            </w:rPr>
          </w:pPr>
          <w:hyperlink w:anchor="_Toc184736025" w:history="1">
            <w:r w:rsidRPr="00AF02FF">
              <w:rPr>
                <w:rStyle w:val="Hyperlink"/>
              </w:rPr>
              <w:t>Edition Changes</w:t>
            </w:r>
            <w:r>
              <w:rPr>
                <w:webHidden/>
              </w:rPr>
              <w:tab/>
            </w:r>
            <w:r>
              <w:rPr>
                <w:webHidden/>
              </w:rPr>
              <w:fldChar w:fldCharType="begin"/>
            </w:r>
            <w:r>
              <w:rPr>
                <w:webHidden/>
              </w:rPr>
              <w:instrText xml:space="preserve"> PAGEREF _Toc184736025 \h </w:instrText>
            </w:r>
            <w:r>
              <w:rPr>
                <w:webHidden/>
              </w:rPr>
            </w:r>
            <w:r>
              <w:rPr>
                <w:webHidden/>
              </w:rPr>
              <w:fldChar w:fldCharType="separate"/>
            </w:r>
            <w:r>
              <w:rPr>
                <w:webHidden/>
              </w:rPr>
              <w:t>3</w:t>
            </w:r>
            <w:r>
              <w:rPr>
                <w:webHidden/>
              </w:rPr>
              <w:fldChar w:fldCharType="end"/>
            </w:r>
          </w:hyperlink>
        </w:p>
        <w:p w14:paraId="5E2B3819" w14:textId="10A53D02" w:rsidR="005C5A9B" w:rsidRDefault="005C5A9B">
          <w:pPr>
            <w:pStyle w:val="TOC1"/>
            <w:rPr>
              <w:rFonts w:eastAsiaTheme="minorEastAsia"/>
              <w:b w:val="0"/>
              <w:noProof/>
              <w:color w:val="auto"/>
              <w:kern w:val="2"/>
              <w:szCs w:val="24"/>
              <w:lang w:eastAsia="en-GB"/>
              <w14:ligatures w14:val="standardContextual"/>
            </w:rPr>
          </w:pPr>
          <w:hyperlink w:anchor="_Toc184736026" w:history="1">
            <w:r w:rsidRPr="00AF02FF">
              <w:rPr>
                <w:rStyle w:val="Hyperlink"/>
                <w:rFonts w:asciiTheme="majorHAnsi" w:hAnsiTheme="majorHAnsi" w:cstheme="majorHAnsi"/>
                <w:noProof/>
              </w:rPr>
              <w:t>Common definitions</w:t>
            </w:r>
            <w:r>
              <w:rPr>
                <w:noProof/>
                <w:webHidden/>
              </w:rPr>
              <w:tab/>
            </w:r>
            <w:r>
              <w:rPr>
                <w:noProof/>
                <w:webHidden/>
              </w:rPr>
              <w:fldChar w:fldCharType="begin"/>
            </w:r>
            <w:r>
              <w:rPr>
                <w:noProof/>
                <w:webHidden/>
              </w:rPr>
              <w:instrText xml:space="preserve"> PAGEREF _Toc184736026 \h </w:instrText>
            </w:r>
            <w:r>
              <w:rPr>
                <w:noProof/>
                <w:webHidden/>
              </w:rPr>
            </w:r>
            <w:r>
              <w:rPr>
                <w:noProof/>
                <w:webHidden/>
              </w:rPr>
              <w:fldChar w:fldCharType="separate"/>
            </w:r>
            <w:r>
              <w:rPr>
                <w:noProof/>
                <w:webHidden/>
              </w:rPr>
              <w:t>4</w:t>
            </w:r>
            <w:r>
              <w:rPr>
                <w:noProof/>
                <w:webHidden/>
              </w:rPr>
              <w:fldChar w:fldCharType="end"/>
            </w:r>
          </w:hyperlink>
        </w:p>
        <w:p w14:paraId="3B13FDCF" w14:textId="55794F54" w:rsidR="005C5A9B" w:rsidRDefault="005C5A9B">
          <w:pPr>
            <w:pStyle w:val="TOC2"/>
            <w:rPr>
              <w:rFonts w:eastAsiaTheme="minorEastAsia"/>
              <w:kern w:val="2"/>
              <w:sz w:val="24"/>
              <w:szCs w:val="24"/>
              <w:lang w:eastAsia="en-GB"/>
              <w14:ligatures w14:val="standardContextual"/>
            </w:rPr>
          </w:pPr>
          <w:hyperlink w:anchor="_Toc184736027" w:history="1">
            <w:r w:rsidRPr="00AF02FF">
              <w:rPr>
                <w:rStyle w:val="Hyperlink"/>
              </w:rPr>
              <w:t>Confidence grading</w:t>
            </w:r>
            <w:r>
              <w:rPr>
                <w:webHidden/>
              </w:rPr>
              <w:tab/>
            </w:r>
            <w:r>
              <w:rPr>
                <w:webHidden/>
              </w:rPr>
              <w:fldChar w:fldCharType="begin"/>
            </w:r>
            <w:r>
              <w:rPr>
                <w:webHidden/>
              </w:rPr>
              <w:instrText xml:space="preserve"> PAGEREF _Toc184736027 \h </w:instrText>
            </w:r>
            <w:r>
              <w:rPr>
                <w:webHidden/>
              </w:rPr>
            </w:r>
            <w:r>
              <w:rPr>
                <w:webHidden/>
              </w:rPr>
              <w:fldChar w:fldCharType="separate"/>
            </w:r>
            <w:r>
              <w:rPr>
                <w:webHidden/>
              </w:rPr>
              <w:t>4</w:t>
            </w:r>
            <w:r>
              <w:rPr>
                <w:webHidden/>
              </w:rPr>
              <w:fldChar w:fldCharType="end"/>
            </w:r>
          </w:hyperlink>
        </w:p>
        <w:p w14:paraId="08FCC92A" w14:textId="3667E24F" w:rsidR="005C5A9B" w:rsidRDefault="005C5A9B">
          <w:pPr>
            <w:pStyle w:val="TOC2"/>
            <w:rPr>
              <w:rFonts w:eastAsiaTheme="minorEastAsia"/>
              <w:kern w:val="2"/>
              <w:sz w:val="24"/>
              <w:szCs w:val="24"/>
              <w:lang w:eastAsia="en-GB"/>
              <w14:ligatures w14:val="standardContextual"/>
            </w:rPr>
          </w:pPr>
          <w:hyperlink w:anchor="_Toc184736028" w:history="1">
            <w:r w:rsidRPr="00AF02FF">
              <w:rPr>
                <w:rStyle w:val="Hyperlink"/>
              </w:rPr>
              <w:t>Scenarios</w:t>
            </w:r>
            <w:r>
              <w:rPr>
                <w:webHidden/>
              </w:rPr>
              <w:tab/>
            </w:r>
            <w:r>
              <w:rPr>
                <w:webHidden/>
              </w:rPr>
              <w:fldChar w:fldCharType="begin"/>
            </w:r>
            <w:r>
              <w:rPr>
                <w:webHidden/>
              </w:rPr>
              <w:instrText xml:space="preserve"> PAGEREF _Toc184736028 \h </w:instrText>
            </w:r>
            <w:r>
              <w:rPr>
                <w:webHidden/>
              </w:rPr>
            </w:r>
            <w:r>
              <w:rPr>
                <w:webHidden/>
              </w:rPr>
              <w:fldChar w:fldCharType="separate"/>
            </w:r>
            <w:r>
              <w:rPr>
                <w:webHidden/>
              </w:rPr>
              <w:t>6</w:t>
            </w:r>
            <w:r>
              <w:rPr>
                <w:webHidden/>
              </w:rPr>
              <w:fldChar w:fldCharType="end"/>
            </w:r>
          </w:hyperlink>
        </w:p>
        <w:p w14:paraId="64BE175D" w14:textId="11822C03" w:rsidR="005C5A9B" w:rsidRDefault="005C5A9B">
          <w:pPr>
            <w:pStyle w:val="TOC2"/>
            <w:rPr>
              <w:rFonts w:eastAsiaTheme="minorEastAsia"/>
              <w:kern w:val="2"/>
              <w:sz w:val="24"/>
              <w:szCs w:val="24"/>
              <w:lang w:eastAsia="en-GB"/>
              <w14:ligatures w14:val="standardContextual"/>
            </w:rPr>
          </w:pPr>
          <w:hyperlink w:anchor="_Toc184736029" w:history="1">
            <w:r w:rsidRPr="00AF02FF">
              <w:rPr>
                <w:rStyle w:val="Hyperlink"/>
              </w:rPr>
              <w:t>Price base</w:t>
            </w:r>
            <w:r>
              <w:rPr>
                <w:webHidden/>
              </w:rPr>
              <w:tab/>
            </w:r>
            <w:r>
              <w:rPr>
                <w:webHidden/>
              </w:rPr>
              <w:fldChar w:fldCharType="begin"/>
            </w:r>
            <w:r>
              <w:rPr>
                <w:webHidden/>
              </w:rPr>
              <w:instrText xml:space="preserve"> PAGEREF _Toc184736029 \h </w:instrText>
            </w:r>
            <w:r>
              <w:rPr>
                <w:webHidden/>
              </w:rPr>
            </w:r>
            <w:r>
              <w:rPr>
                <w:webHidden/>
              </w:rPr>
              <w:fldChar w:fldCharType="separate"/>
            </w:r>
            <w:r>
              <w:rPr>
                <w:webHidden/>
              </w:rPr>
              <w:t>7</w:t>
            </w:r>
            <w:r>
              <w:rPr>
                <w:webHidden/>
              </w:rPr>
              <w:fldChar w:fldCharType="end"/>
            </w:r>
          </w:hyperlink>
        </w:p>
        <w:p w14:paraId="6B933315" w14:textId="416E52A9" w:rsidR="005C5A9B" w:rsidRDefault="005C5A9B">
          <w:pPr>
            <w:pStyle w:val="TOC1"/>
            <w:rPr>
              <w:rFonts w:eastAsiaTheme="minorEastAsia"/>
              <w:b w:val="0"/>
              <w:noProof/>
              <w:color w:val="auto"/>
              <w:kern w:val="2"/>
              <w:szCs w:val="24"/>
              <w:lang w:eastAsia="en-GB"/>
              <w14:ligatures w14:val="standardContextual"/>
            </w:rPr>
          </w:pPr>
          <w:hyperlink w:anchor="_Toc184736030" w:history="1">
            <w:r w:rsidRPr="00AF02FF">
              <w:rPr>
                <w:rStyle w:val="Hyperlink"/>
                <w:bCs/>
                <w:noProof/>
              </w:rPr>
              <w:t>1.</w:t>
            </w:r>
            <w:r>
              <w:rPr>
                <w:rFonts w:eastAsiaTheme="minorEastAsia"/>
                <w:b w:val="0"/>
                <w:noProof/>
                <w:color w:val="auto"/>
                <w:kern w:val="2"/>
                <w:szCs w:val="24"/>
                <w:lang w:eastAsia="en-GB"/>
                <w14:ligatures w14:val="standardContextual"/>
              </w:rPr>
              <w:tab/>
            </w:r>
            <w:r w:rsidRPr="00AF02FF">
              <w:rPr>
                <w:rStyle w:val="Hyperlink"/>
                <w:noProof/>
              </w:rPr>
              <w:t>Outcomes</w:t>
            </w:r>
            <w:r>
              <w:rPr>
                <w:noProof/>
                <w:webHidden/>
              </w:rPr>
              <w:tab/>
            </w:r>
            <w:r>
              <w:rPr>
                <w:noProof/>
                <w:webHidden/>
              </w:rPr>
              <w:fldChar w:fldCharType="begin"/>
            </w:r>
            <w:r>
              <w:rPr>
                <w:noProof/>
                <w:webHidden/>
              </w:rPr>
              <w:instrText xml:space="preserve"> PAGEREF _Toc184736030 \h </w:instrText>
            </w:r>
            <w:r>
              <w:rPr>
                <w:noProof/>
                <w:webHidden/>
              </w:rPr>
            </w:r>
            <w:r>
              <w:rPr>
                <w:noProof/>
                <w:webHidden/>
              </w:rPr>
              <w:fldChar w:fldCharType="separate"/>
            </w:r>
            <w:r>
              <w:rPr>
                <w:noProof/>
                <w:webHidden/>
              </w:rPr>
              <w:t>8</w:t>
            </w:r>
            <w:r>
              <w:rPr>
                <w:noProof/>
                <w:webHidden/>
              </w:rPr>
              <w:fldChar w:fldCharType="end"/>
            </w:r>
          </w:hyperlink>
        </w:p>
        <w:p w14:paraId="091BA6D7" w14:textId="590EC29F" w:rsidR="005C5A9B" w:rsidRDefault="005C5A9B">
          <w:pPr>
            <w:pStyle w:val="TOC2"/>
            <w:rPr>
              <w:rFonts w:eastAsiaTheme="minorEastAsia"/>
              <w:kern w:val="2"/>
              <w:sz w:val="24"/>
              <w:szCs w:val="24"/>
              <w:lang w:eastAsia="en-GB"/>
              <w14:ligatures w14:val="standardContextual"/>
            </w:rPr>
          </w:pPr>
          <w:hyperlink w:anchor="_Toc184736031" w:history="1">
            <w:r w:rsidRPr="00AF02FF">
              <w:rPr>
                <w:rStyle w:val="Hyperlink"/>
              </w:rPr>
              <w:t>1.1.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_Toc184736031 \h </w:instrText>
            </w:r>
            <w:r>
              <w:rPr>
                <w:webHidden/>
              </w:rPr>
            </w:r>
            <w:r>
              <w:rPr>
                <w:webHidden/>
              </w:rPr>
              <w:fldChar w:fldCharType="separate"/>
            </w:r>
            <w:r>
              <w:rPr>
                <w:webHidden/>
              </w:rPr>
              <w:t>8</w:t>
            </w:r>
            <w:r>
              <w:rPr>
                <w:webHidden/>
              </w:rPr>
              <w:fldChar w:fldCharType="end"/>
            </w:r>
          </w:hyperlink>
        </w:p>
        <w:p w14:paraId="04DC437A" w14:textId="661BFBF4" w:rsidR="005C5A9B" w:rsidRDefault="005C5A9B">
          <w:pPr>
            <w:pStyle w:val="TOC2"/>
            <w:rPr>
              <w:rFonts w:eastAsiaTheme="minorEastAsia"/>
              <w:kern w:val="2"/>
              <w:sz w:val="24"/>
              <w:szCs w:val="24"/>
              <w:lang w:eastAsia="en-GB"/>
              <w14:ligatures w14:val="standardContextual"/>
            </w:rPr>
          </w:pPr>
          <w:hyperlink w:anchor="_Toc184736032" w:history="1">
            <w:r w:rsidRPr="00AF02FF">
              <w:rPr>
                <w:rStyle w:val="Hyperlink"/>
              </w:rPr>
              <w:t>1.2.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_Toc184736032 \h </w:instrText>
            </w:r>
            <w:r>
              <w:rPr>
                <w:webHidden/>
              </w:rPr>
            </w:r>
            <w:r>
              <w:rPr>
                <w:webHidden/>
              </w:rPr>
              <w:fldChar w:fldCharType="separate"/>
            </w:r>
            <w:r>
              <w:rPr>
                <w:webHidden/>
              </w:rPr>
              <w:t>11</w:t>
            </w:r>
            <w:r>
              <w:rPr>
                <w:webHidden/>
              </w:rPr>
              <w:fldChar w:fldCharType="end"/>
            </w:r>
          </w:hyperlink>
        </w:p>
        <w:p w14:paraId="111549BC" w14:textId="2F76D415" w:rsidR="005C5A9B" w:rsidRDefault="005C5A9B">
          <w:pPr>
            <w:pStyle w:val="TOC2"/>
            <w:rPr>
              <w:rFonts w:eastAsiaTheme="minorEastAsia"/>
              <w:kern w:val="2"/>
              <w:sz w:val="24"/>
              <w:szCs w:val="24"/>
              <w:lang w:eastAsia="en-GB"/>
              <w14:ligatures w14:val="standardContextual"/>
            </w:rPr>
          </w:pPr>
          <w:hyperlink w:anchor="_Toc184736033" w:history="1">
            <w:r w:rsidRPr="00AF02FF">
              <w:rPr>
                <w:rStyle w:val="Hyperlink"/>
              </w:rPr>
              <w:t>1.3.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_Toc184736033 \h </w:instrText>
            </w:r>
            <w:r>
              <w:rPr>
                <w:webHidden/>
              </w:rPr>
            </w:r>
            <w:r>
              <w:rPr>
                <w:webHidden/>
              </w:rPr>
              <w:fldChar w:fldCharType="separate"/>
            </w:r>
            <w:r>
              <w:rPr>
                <w:webHidden/>
              </w:rPr>
              <w:t>14</w:t>
            </w:r>
            <w:r>
              <w:rPr>
                <w:webHidden/>
              </w:rPr>
              <w:fldChar w:fldCharType="end"/>
            </w:r>
          </w:hyperlink>
        </w:p>
        <w:p w14:paraId="78BA5D6D" w14:textId="15866C10" w:rsidR="005C5A9B" w:rsidRDefault="005C5A9B">
          <w:pPr>
            <w:pStyle w:val="TOC1"/>
            <w:rPr>
              <w:rFonts w:eastAsiaTheme="minorEastAsia"/>
              <w:b w:val="0"/>
              <w:noProof/>
              <w:color w:val="auto"/>
              <w:kern w:val="2"/>
              <w:szCs w:val="24"/>
              <w:lang w:eastAsia="en-GB"/>
              <w14:ligatures w14:val="standardContextual"/>
            </w:rPr>
          </w:pPr>
          <w:hyperlink w:anchor="_Toc184736034" w:history="1">
            <w:r w:rsidRPr="00AF02FF">
              <w:rPr>
                <w:rStyle w:val="Hyperlink"/>
                <w:bCs/>
                <w:noProof/>
              </w:rPr>
              <w:t>2.</w:t>
            </w:r>
            <w:r>
              <w:rPr>
                <w:rFonts w:eastAsiaTheme="minorEastAsia"/>
                <w:b w:val="0"/>
                <w:noProof/>
                <w:color w:val="auto"/>
                <w:kern w:val="2"/>
                <w:szCs w:val="24"/>
                <w:lang w:eastAsia="en-GB"/>
                <w14:ligatures w14:val="standardContextual"/>
              </w:rPr>
              <w:tab/>
            </w:r>
            <w:r w:rsidRPr="00AF02FF">
              <w:rPr>
                <w:rStyle w:val="Hyperlink"/>
                <w:noProof/>
              </w:rPr>
              <w:t>Enhancement and growth outputs</w:t>
            </w:r>
            <w:r>
              <w:rPr>
                <w:noProof/>
                <w:webHidden/>
              </w:rPr>
              <w:tab/>
            </w:r>
            <w:r>
              <w:rPr>
                <w:noProof/>
                <w:webHidden/>
              </w:rPr>
              <w:fldChar w:fldCharType="begin"/>
            </w:r>
            <w:r>
              <w:rPr>
                <w:noProof/>
                <w:webHidden/>
              </w:rPr>
              <w:instrText xml:space="preserve"> PAGEREF _Toc184736034 \h </w:instrText>
            </w:r>
            <w:r>
              <w:rPr>
                <w:noProof/>
                <w:webHidden/>
              </w:rPr>
            </w:r>
            <w:r>
              <w:rPr>
                <w:noProof/>
                <w:webHidden/>
              </w:rPr>
              <w:fldChar w:fldCharType="separate"/>
            </w:r>
            <w:r>
              <w:rPr>
                <w:noProof/>
                <w:webHidden/>
              </w:rPr>
              <w:t>26</w:t>
            </w:r>
            <w:r>
              <w:rPr>
                <w:noProof/>
                <w:webHidden/>
              </w:rPr>
              <w:fldChar w:fldCharType="end"/>
            </w:r>
          </w:hyperlink>
        </w:p>
        <w:p w14:paraId="209F1E47" w14:textId="704800AC" w:rsidR="005C5A9B" w:rsidRDefault="005C5A9B">
          <w:pPr>
            <w:pStyle w:val="TOC2"/>
            <w:rPr>
              <w:rFonts w:eastAsiaTheme="minorEastAsia"/>
              <w:kern w:val="2"/>
              <w:sz w:val="24"/>
              <w:szCs w:val="24"/>
              <w:lang w:eastAsia="en-GB"/>
              <w14:ligatures w14:val="standardContextual"/>
            </w:rPr>
          </w:pPr>
          <w:hyperlink w:anchor="_Toc184736035" w:history="1">
            <w:r w:rsidRPr="00AF02FF">
              <w:rPr>
                <w:rStyle w:val="Hyperlink"/>
              </w:rPr>
              <w:t>2.1.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_Toc184736035 \h </w:instrText>
            </w:r>
            <w:r>
              <w:rPr>
                <w:webHidden/>
              </w:rPr>
            </w:r>
            <w:r>
              <w:rPr>
                <w:webHidden/>
              </w:rPr>
              <w:fldChar w:fldCharType="separate"/>
            </w:r>
            <w:r>
              <w:rPr>
                <w:webHidden/>
              </w:rPr>
              <w:t>26</w:t>
            </w:r>
            <w:r>
              <w:rPr>
                <w:webHidden/>
              </w:rPr>
              <w:fldChar w:fldCharType="end"/>
            </w:r>
          </w:hyperlink>
        </w:p>
        <w:p w14:paraId="1359510E" w14:textId="34234D71" w:rsidR="005C5A9B" w:rsidRDefault="005C5A9B">
          <w:pPr>
            <w:pStyle w:val="TOC2"/>
            <w:rPr>
              <w:rFonts w:eastAsiaTheme="minorEastAsia"/>
              <w:kern w:val="2"/>
              <w:sz w:val="24"/>
              <w:szCs w:val="24"/>
              <w:lang w:eastAsia="en-GB"/>
              <w14:ligatures w14:val="standardContextual"/>
            </w:rPr>
          </w:pPr>
          <w:hyperlink w:anchor="_Toc184736036" w:history="1">
            <w:r w:rsidRPr="00AF02FF">
              <w:rPr>
                <w:rStyle w:val="Hyperlink"/>
              </w:rPr>
              <w:t>2.2.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_Toc184736036 \h </w:instrText>
            </w:r>
            <w:r>
              <w:rPr>
                <w:webHidden/>
              </w:rPr>
            </w:r>
            <w:r>
              <w:rPr>
                <w:webHidden/>
              </w:rPr>
              <w:fldChar w:fldCharType="separate"/>
            </w:r>
            <w:r>
              <w:rPr>
                <w:webHidden/>
              </w:rPr>
              <w:t>26</w:t>
            </w:r>
            <w:r>
              <w:rPr>
                <w:webHidden/>
              </w:rPr>
              <w:fldChar w:fldCharType="end"/>
            </w:r>
          </w:hyperlink>
        </w:p>
        <w:p w14:paraId="64872F98" w14:textId="689D69C7" w:rsidR="005C5A9B" w:rsidRDefault="005C5A9B">
          <w:pPr>
            <w:pStyle w:val="TOC2"/>
            <w:rPr>
              <w:rFonts w:eastAsiaTheme="minorEastAsia"/>
              <w:kern w:val="2"/>
              <w:sz w:val="24"/>
              <w:szCs w:val="24"/>
              <w:lang w:eastAsia="en-GB"/>
              <w14:ligatures w14:val="standardContextual"/>
            </w:rPr>
          </w:pPr>
          <w:hyperlink w:anchor="_Toc184736037" w:history="1">
            <w:r w:rsidRPr="00AF02FF">
              <w:rPr>
                <w:rStyle w:val="Hyperlink"/>
              </w:rPr>
              <w:t>2.3.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_Toc184736037 \h </w:instrText>
            </w:r>
            <w:r>
              <w:rPr>
                <w:webHidden/>
              </w:rPr>
            </w:r>
            <w:r>
              <w:rPr>
                <w:webHidden/>
              </w:rPr>
              <w:fldChar w:fldCharType="separate"/>
            </w:r>
            <w:r>
              <w:rPr>
                <w:webHidden/>
              </w:rPr>
              <w:t>29</w:t>
            </w:r>
            <w:r>
              <w:rPr>
                <w:webHidden/>
              </w:rPr>
              <w:fldChar w:fldCharType="end"/>
            </w:r>
          </w:hyperlink>
        </w:p>
        <w:p w14:paraId="3139CC30" w14:textId="480B2626" w:rsidR="005C5A9B" w:rsidRDefault="005C5A9B">
          <w:pPr>
            <w:pStyle w:val="TOC1"/>
            <w:rPr>
              <w:rFonts w:eastAsiaTheme="minorEastAsia"/>
              <w:b w:val="0"/>
              <w:noProof/>
              <w:color w:val="auto"/>
              <w:kern w:val="2"/>
              <w:szCs w:val="24"/>
              <w:lang w:eastAsia="en-GB"/>
              <w14:ligatures w14:val="standardContextual"/>
            </w:rPr>
          </w:pPr>
          <w:hyperlink w:anchor="_Toc184736038" w:history="1">
            <w:r w:rsidRPr="00AF02FF">
              <w:rPr>
                <w:rStyle w:val="Hyperlink"/>
                <w:bCs/>
                <w:noProof/>
              </w:rPr>
              <w:t>3.</w:t>
            </w:r>
            <w:r>
              <w:rPr>
                <w:rFonts w:eastAsiaTheme="minorEastAsia"/>
                <w:b w:val="0"/>
                <w:noProof/>
                <w:color w:val="auto"/>
                <w:kern w:val="2"/>
                <w:szCs w:val="24"/>
                <w:lang w:eastAsia="en-GB"/>
                <w14:ligatures w14:val="standardContextual"/>
              </w:rPr>
              <w:tab/>
            </w:r>
            <w:r w:rsidRPr="00AF02FF">
              <w:rPr>
                <w:rStyle w:val="Hyperlink"/>
                <w:noProof/>
              </w:rPr>
              <w:t>Maintenance expenditure and asset health</w:t>
            </w:r>
            <w:r>
              <w:rPr>
                <w:noProof/>
                <w:webHidden/>
              </w:rPr>
              <w:tab/>
            </w:r>
            <w:r>
              <w:rPr>
                <w:noProof/>
                <w:webHidden/>
              </w:rPr>
              <w:fldChar w:fldCharType="begin"/>
            </w:r>
            <w:r>
              <w:rPr>
                <w:noProof/>
                <w:webHidden/>
              </w:rPr>
              <w:instrText xml:space="preserve"> PAGEREF _Toc184736038 \h </w:instrText>
            </w:r>
            <w:r>
              <w:rPr>
                <w:noProof/>
                <w:webHidden/>
              </w:rPr>
            </w:r>
            <w:r>
              <w:rPr>
                <w:noProof/>
                <w:webHidden/>
              </w:rPr>
              <w:fldChar w:fldCharType="separate"/>
            </w:r>
            <w:r>
              <w:rPr>
                <w:noProof/>
                <w:webHidden/>
              </w:rPr>
              <w:t>43</w:t>
            </w:r>
            <w:r>
              <w:rPr>
                <w:noProof/>
                <w:webHidden/>
              </w:rPr>
              <w:fldChar w:fldCharType="end"/>
            </w:r>
          </w:hyperlink>
        </w:p>
        <w:p w14:paraId="115B0B7B" w14:textId="7613ACB4" w:rsidR="005C5A9B" w:rsidRDefault="005C5A9B">
          <w:pPr>
            <w:pStyle w:val="TOC2"/>
            <w:rPr>
              <w:rFonts w:eastAsiaTheme="minorEastAsia"/>
              <w:kern w:val="2"/>
              <w:sz w:val="24"/>
              <w:szCs w:val="24"/>
              <w:lang w:eastAsia="en-GB"/>
              <w14:ligatures w14:val="standardContextual"/>
            </w:rPr>
          </w:pPr>
          <w:hyperlink w:anchor="_Toc184736039" w:history="1">
            <w:r w:rsidRPr="00AF02FF">
              <w:rPr>
                <w:rStyle w:val="Hyperlink"/>
              </w:rPr>
              <w:t>3.1.</w:t>
            </w:r>
            <w:r>
              <w:rPr>
                <w:rFonts w:eastAsiaTheme="minorEastAsia"/>
                <w:kern w:val="2"/>
                <w:sz w:val="24"/>
                <w:szCs w:val="24"/>
                <w:lang w:eastAsia="en-GB"/>
                <w14:ligatures w14:val="standardContextual"/>
              </w:rPr>
              <w:tab/>
            </w:r>
            <w:r w:rsidRPr="00AF02FF">
              <w:rPr>
                <w:rStyle w:val="Hyperlink"/>
              </w:rPr>
              <w:t>Table 3a: Maintenance expenditure</w:t>
            </w:r>
            <w:r>
              <w:rPr>
                <w:webHidden/>
              </w:rPr>
              <w:tab/>
            </w:r>
            <w:r>
              <w:rPr>
                <w:webHidden/>
              </w:rPr>
              <w:fldChar w:fldCharType="begin"/>
            </w:r>
            <w:r>
              <w:rPr>
                <w:webHidden/>
              </w:rPr>
              <w:instrText xml:space="preserve"> PAGEREF _Toc184736039 \h </w:instrText>
            </w:r>
            <w:r>
              <w:rPr>
                <w:webHidden/>
              </w:rPr>
            </w:r>
            <w:r>
              <w:rPr>
                <w:webHidden/>
              </w:rPr>
              <w:fldChar w:fldCharType="separate"/>
            </w:r>
            <w:r>
              <w:rPr>
                <w:webHidden/>
              </w:rPr>
              <w:t>43</w:t>
            </w:r>
            <w:r>
              <w:rPr>
                <w:webHidden/>
              </w:rPr>
              <w:fldChar w:fldCharType="end"/>
            </w:r>
          </w:hyperlink>
        </w:p>
        <w:p w14:paraId="6CD43071" w14:textId="31AF08D2" w:rsidR="005C5A9B" w:rsidRDefault="005C5A9B">
          <w:pPr>
            <w:pStyle w:val="TOC2"/>
            <w:rPr>
              <w:rFonts w:eastAsiaTheme="minorEastAsia"/>
              <w:kern w:val="2"/>
              <w:sz w:val="24"/>
              <w:szCs w:val="24"/>
              <w:lang w:eastAsia="en-GB"/>
              <w14:ligatures w14:val="standardContextual"/>
            </w:rPr>
          </w:pPr>
          <w:hyperlink w:anchor="_Toc184736040" w:history="1">
            <w:r w:rsidRPr="00AF02FF">
              <w:rPr>
                <w:rStyle w:val="Hyperlink"/>
              </w:rPr>
              <w:t>3.2.</w:t>
            </w:r>
            <w:r>
              <w:rPr>
                <w:rFonts w:eastAsiaTheme="minorEastAsia"/>
                <w:kern w:val="2"/>
                <w:sz w:val="24"/>
                <w:szCs w:val="24"/>
                <w:lang w:eastAsia="en-GB"/>
                <w14:ligatures w14:val="standardContextual"/>
              </w:rPr>
              <w:tab/>
            </w:r>
            <w:r w:rsidRPr="00AF02FF">
              <w:rPr>
                <w:rStyle w:val="Hyperlink"/>
              </w:rPr>
              <w:t>Table 3b: Asset health</w:t>
            </w:r>
            <w:r>
              <w:rPr>
                <w:webHidden/>
              </w:rPr>
              <w:tab/>
            </w:r>
            <w:r>
              <w:rPr>
                <w:webHidden/>
              </w:rPr>
              <w:fldChar w:fldCharType="begin"/>
            </w:r>
            <w:r>
              <w:rPr>
                <w:webHidden/>
              </w:rPr>
              <w:instrText xml:space="preserve"> PAGEREF _Toc184736040 \h </w:instrText>
            </w:r>
            <w:r>
              <w:rPr>
                <w:webHidden/>
              </w:rPr>
            </w:r>
            <w:r>
              <w:rPr>
                <w:webHidden/>
              </w:rPr>
              <w:fldChar w:fldCharType="separate"/>
            </w:r>
            <w:r>
              <w:rPr>
                <w:webHidden/>
              </w:rPr>
              <w:t>49</w:t>
            </w:r>
            <w:r>
              <w:rPr>
                <w:webHidden/>
              </w:rPr>
              <w:fldChar w:fldCharType="end"/>
            </w:r>
          </w:hyperlink>
        </w:p>
        <w:p w14:paraId="23535930" w14:textId="150B1978" w:rsidR="005C5A9B" w:rsidRDefault="005C5A9B">
          <w:pPr>
            <w:pStyle w:val="TOC1"/>
            <w:rPr>
              <w:rFonts w:eastAsiaTheme="minorEastAsia"/>
              <w:b w:val="0"/>
              <w:noProof/>
              <w:color w:val="auto"/>
              <w:kern w:val="2"/>
              <w:szCs w:val="24"/>
              <w:lang w:eastAsia="en-GB"/>
              <w14:ligatures w14:val="standardContextual"/>
            </w:rPr>
          </w:pPr>
          <w:hyperlink w:anchor="_Toc184736041" w:history="1">
            <w:r w:rsidRPr="00AF02FF">
              <w:rPr>
                <w:rStyle w:val="Hyperlink"/>
                <w:bCs/>
                <w:noProof/>
              </w:rPr>
              <w:t>4.</w:t>
            </w:r>
            <w:r>
              <w:rPr>
                <w:rFonts w:eastAsiaTheme="minorEastAsia"/>
                <w:b w:val="0"/>
                <w:noProof/>
                <w:color w:val="auto"/>
                <w:kern w:val="2"/>
                <w:szCs w:val="24"/>
                <w:lang w:eastAsia="en-GB"/>
                <w14:ligatures w14:val="standardContextual"/>
              </w:rPr>
              <w:tab/>
            </w:r>
            <w:r w:rsidRPr="00AF02FF">
              <w:rPr>
                <w:rStyle w:val="Hyperlink"/>
                <w:noProof/>
              </w:rPr>
              <w:t>Mains and sewers condition</w:t>
            </w:r>
            <w:r>
              <w:rPr>
                <w:noProof/>
                <w:webHidden/>
              </w:rPr>
              <w:tab/>
            </w:r>
            <w:r>
              <w:rPr>
                <w:noProof/>
                <w:webHidden/>
              </w:rPr>
              <w:fldChar w:fldCharType="begin"/>
            </w:r>
            <w:r>
              <w:rPr>
                <w:noProof/>
                <w:webHidden/>
              </w:rPr>
              <w:instrText xml:space="preserve"> PAGEREF _Toc184736041 \h </w:instrText>
            </w:r>
            <w:r>
              <w:rPr>
                <w:noProof/>
                <w:webHidden/>
              </w:rPr>
            </w:r>
            <w:r>
              <w:rPr>
                <w:noProof/>
                <w:webHidden/>
              </w:rPr>
              <w:fldChar w:fldCharType="separate"/>
            </w:r>
            <w:r>
              <w:rPr>
                <w:noProof/>
                <w:webHidden/>
              </w:rPr>
              <w:t>52</w:t>
            </w:r>
            <w:r>
              <w:rPr>
                <w:noProof/>
                <w:webHidden/>
              </w:rPr>
              <w:fldChar w:fldCharType="end"/>
            </w:r>
          </w:hyperlink>
        </w:p>
        <w:p w14:paraId="4F913CE9" w14:textId="15D2F666" w:rsidR="005C5A9B" w:rsidRDefault="005C5A9B">
          <w:pPr>
            <w:pStyle w:val="TOC2"/>
            <w:rPr>
              <w:rFonts w:eastAsiaTheme="minorEastAsia"/>
              <w:kern w:val="2"/>
              <w:sz w:val="24"/>
              <w:szCs w:val="24"/>
              <w:lang w:eastAsia="en-GB"/>
              <w14:ligatures w14:val="standardContextual"/>
            </w:rPr>
          </w:pPr>
          <w:hyperlink w:anchor="_Toc184736042" w:history="1">
            <w:r w:rsidRPr="00AF02FF">
              <w:rPr>
                <w:rStyle w:val="Hyperlink"/>
              </w:rPr>
              <w:t>4.1.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_Toc184736042 \h </w:instrText>
            </w:r>
            <w:r>
              <w:rPr>
                <w:webHidden/>
              </w:rPr>
            </w:r>
            <w:r>
              <w:rPr>
                <w:webHidden/>
              </w:rPr>
              <w:fldChar w:fldCharType="separate"/>
            </w:r>
            <w:r>
              <w:rPr>
                <w:webHidden/>
              </w:rPr>
              <w:t>52</w:t>
            </w:r>
            <w:r>
              <w:rPr>
                <w:webHidden/>
              </w:rPr>
              <w:fldChar w:fldCharType="end"/>
            </w:r>
          </w:hyperlink>
        </w:p>
        <w:p w14:paraId="11DA9282" w14:textId="5C949791" w:rsidR="005C5A9B" w:rsidRDefault="005C5A9B">
          <w:pPr>
            <w:pStyle w:val="TOC2"/>
            <w:rPr>
              <w:rFonts w:eastAsiaTheme="minorEastAsia"/>
              <w:kern w:val="2"/>
              <w:sz w:val="24"/>
              <w:szCs w:val="24"/>
              <w:lang w:eastAsia="en-GB"/>
              <w14:ligatures w14:val="standardContextual"/>
            </w:rPr>
          </w:pPr>
          <w:hyperlink w:anchor="_Toc184736043" w:history="1">
            <w:r w:rsidRPr="00AF02FF">
              <w:rPr>
                <w:rStyle w:val="Hyperlink"/>
              </w:rPr>
              <w:t>4.2.</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_Toc184736043 \h </w:instrText>
            </w:r>
            <w:r>
              <w:rPr>
                <w:webHidden/>
              </w:rPr>
            </w:r>
            <w:r>
              <w:rPr>
                <w:webHidden/>
              </w:rPr>
              <w:fldChar w:fldCharType="separate"/>
            </w:r>
            <w:r>
              <w:rPr>
                <w:webHidden/>
              </w:rPr>
              <w:t>53</w:t>
            </w:r>
            <w:r>
              <w:rPr>
                <w:webHidden/>
              </w:rPr>
              <w:fldChar w:fldCharType="end"/>
            </w:r>
          </w:hyperlink>
        </w:p>
        <w:p w14:paraId="0933533B" w14:textId="28537004" w:rsidR="005C5A9B" w:rsidRDefault="005C5A9B">
          <w:pPr>
            <w:pStyle w:val="TOC1"/>
            <w:rPr>
              <w:rFonts w:eastAsiaTheme="minorEastAsia"/>
              <w:b w:val="0"/>
              <w:noProof/>
              <w:color w:val="auto"/>
              <w:kern w:val="2"/>
              <w:szCs w:val="24"/>
              <w:lang w:eastAsia="en-GB"/>
              <w14:ligatures w14:val="standardContextual"/>
            </w:rPr>
          </w:pPr>
          <w:hyperlink w:anchor="_Toc184736044" w:history="1">
            <w:r w:rsidRPr="00AF02FF">
              <w:rPr>
                <w:rStyle w:val="Hyperlink"/>
                <w:bCs/>
                <w:noProof/>
              </w:rPr>
              <w:t>5.</w:t>
            </w:r>
            <w:r>
              <w:rPr>
                <w:rFonts w:eastAsiaTheme="minorEastAsia"/>
                <w:b w:val="0"/>
                <w:noProof/>
                <w:color w:val="auto"/>
                <w:kern w:val="2"/>
                <w:szCs w:val="24"/>
                <w:lang w:eastAsia="en-GB"/>
                <w14:ligatures w14:val="standardContextual"/>
              </w:rPr>
              <w:tab/>
            </w:r>
            <w:r w:rsidRPr="00AF02FF">
              <w:rPr>
                <w:rStyle w:val="Hyperlink"/>
                <w:noProof/>
              </w:rPr>
              <w:t>SRC27 projects and programmes</w:t>
            </w:r>
            <w:r>
              <w:rPr>
                <w:noProof/>
                <w:webHidden/>
              </w:rPr>
              <w:tab/>
            </w:r>
            <w:r>
              <w:rPr>
                <w:noProof/>
                <w:webHidden/>
              </w:rPr>
              <w:fldChar w:fldCharType="begin"/>
            </w:r>
            <w:r>
              <w:rPr>
                <w:noProof/>
                <w:webHidden/>
              </w:rPr>
              <w:instrText xml:space="preserve"> PAGEREF _Toc184736044 \h </w:instrText>
            </w:r>
            <w:r>
              <w:rPr>
                <w:noProof/>
                <w:webHidden/>
              </w:rPr>
            </w:r>
            <w:r>
              <w:rPr>
                <w:noProof/>
                <w:webHidden/>
              </w:rPr>
              <w:fldChar w:fldCharType="separate"/>
            </w:r>
            <w:r>
              <w:rPr>
                <w:noProof/>
                <w:webHidden/>
              </w:rPr>
              <w:t>58</w:t>
            </w:r>
            <w:r>
              <w:rPr>
                <w:noProof/>
                <w:webHidden/>
              </w:rPr>
              <w:fldChar w:fldCharType="end"/>
            </w:r>
          </w:hyperlink>
        </w:p>
        <w:p w14:paraId="110CB549" w14:textId="105EC71F" w:rsidR="005C5A9B" w:rsidRDefault="005C5A9B">
          <w:pPr>
            <w:pStyle w:val="TOC2"/>
            <w:rPr>
              <w:rFonts w:eastAsiaTheme="minorEastAsia"/>
              <w:kern w:val="2"/>
              <w:sz w:val="24"/>
              <w:szCs w:val="24"/>
              <w:lang w:eastAsia="en-GB"/>
              <w14:ligatures w14:val="standardContextual"/>
            </w:rPr>
          </w:pPr>
          <w:hyperlink w:anchor="_Toc184736045" w:history="1">
            <w:r w:rsidRPr="00AF02FF">
              <w:rPr>
                <w:rStyle w:val="Hyperlink"/>
              </w:rPr>
              <w:t>5.1.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_Toc184736045 \h </w:instrText>
            </w:r>
            <w:r>
              <w:rPr>
                <w:webHidden/>
              </w:rPr>
            </w:r>
            <w:r>
              <w:rPr>
                <w:webHidden/>
              </w:rPr>
              <w:fldChar w:fldCharType="separate"/>
            </w:r>
            <w:r>
              <w:rPr>
                <w:webHidden/>
              </w:rPr>
              <w:t>58</w:t>
            </w:r>
            <w:r>
              <w:rPr>
                <w:webHidden/>
              </w:rPr>
              <w:fldChar w:fldCharType="end"/>
            </w:r>
          </w:hyperlink>
        </w:p>
        <w:p w14:paraId="2F93637F" w14:textId="19AB2B19" w:rsidR="005C5A9B" w:rsidRDefault="005C5A9B">
          <w:pPr>
            <w:pStyle w:val="TOC2"/>
            <w:rPr>
              <w:rFonts w:eastAsiaTheme="minorEastAsia"/>
              <w:kern w:val="2"/>
              <w:sz w:val="24"/>
              <w:szCs w:val="24"/>
              <w:lang w:eastAsia="en-GB"/>
              <w14:ligatures w14:val="standardContextual"/>
            </w:rPr>
          </w:pPr>
          <w:hyperlink w:anchor="_Toc184736046" w:history="1">
            <w:r w:rsidRPr="00AF02FF">
              <w:rPr>
                <w:rStyle w:val="Hyperlink"/>
              </w:rPr>
              <w:t>5.2.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_Toc184736046 \h </w:instrText>
            </w:r>
            <w:r>
              <w:rPr>
                <w:webHidden/>
              </w:rPr>
            </w:r>
            <w:r>
              <w:rPr>
                <w:webHidden/>
              </w:rPr>
              <w:fldChar w:fldCharType="separate"/>
            </w:r>
            <w:r>
              <w:rPr>
                <w:webHidden/>
              </w:rPr>
              <w:t>58</w:t>
            </w:r>
            <w:r>
              <w:rPr>
                <w:webHidden/>
              </w:rPr>
              <w:fldChar w:fldCharType="end"/>
            </w:r>
          </w:hyperlink>
        </w:p>
        <w:p w14:paraId="445CDEE5" w14:textId="0F023141" w:rsidR="005C5A9B" w:rsidRDefault="005C5A9B">
          <w:pPr>
            <w:pStyle w:val="TOC2"/>
            <w:rPr>
              <w:rFonts w:eastAsiaTheme="minorEastAsia"/>
              <w:kern w:val="2"/>
              <w:sz w:val="24"/>
              <w:szCs w:val="24"/>
              <w:lang w:eastAsia="en-GB"/>
              <w14:ligatures w14:val="standardContextual"/>
            </w:rPr>
          </w:pPr>
          <w:hyperlink w:anchor="_Toc184736047" w:history="1">
            <w:r w:rsidRPr="00AF02FF">
              <w:rPr>
                <w:rStyle w:val="Hyperlink"/>
              </w:rPr>
              <w:t>5.3.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_Toc184736047 \h </w:instrText>
            </w:r>
            <w:r>
              <w:rPr>
                <w:webHidden/>
              </w:rPr>
            </w:r>
            <w:r>
              <w:rPr>
                <w:webHidden/>
              </w:rPr>
              <w:fldChar w:fldCharType="separate"/>
            </w:r>
            <w:r>
              <w:rPr>
                <w:webHidden/>
              </w:rPr>
              <w:t>66</w:t>
            </w:r>
            <w:r>
              <w:rPr>
                <w:webHidden/>
              </w:rPr>
              <w:fldChar w:fldCharType="end"/>
            </w:r>
          </w:hyperlink>
        </w:p>
        <w:p w14:paraId="39DFD647" w14:textId="7E8A3540" w:rsidR="005C5A9B" w:rsidRDefault="005C5A9B">
          <w:pPr>
            <w:pStyle w:val="TOC1"/>
            <w:rPr>
              <w:rFonts w:eastAsiaTheme="minorEastAsia"/>
              <w:b w:val="0"/>
              <w:noProof/>
              <w:color w:val="auto"/>
              <w:kern w:val="2"/>
              <w:szCs w:val="24"/>
              <w:lang w:eastAsia="en-GB"/>
              <w14:ligatures w14:val="standardContextual"/>
            </w:rPr>
          </w:pPr>
          <w:hyperlink w:anchor="_Toc184736048" w:history="1">
            <w:r w:rsidRPr="00AF02FF">
              <w:rPr>
                <w:rStyle w:val="Hyperlink"/>
                <w:bCs/>
                <w:noProof/>
              </w:rPr>
              <w:t>6.</w:t>
            </w:r>
            <w:r>
              <w:rPr>
                <w:rFonts w:eastAsiaTheme="minorEastAsia"/>
                <w:b w:val="0"/>
                <w:noProof/>
                <w:color w:val="auto"/>
                <w:kern w:val="2"/>
                <w:szCs w:val="24"/>
                <w:lang w:eastAsia="en-GB"/>
                <w14:ligatures w14:val="standardContextual"/>
              </w:rPr>
              <w:tab/>
            </w:r>
            <w:r w:rsidRPr="00AF02FF">
              <w:rPr>
                <w:rStyle w:val="Hyperlink"/>
                <w:noProof/>
              </w:rPr>
              <w:t>Transformation initiatives</w:t>
            </w:r>
            <w:r>
              <w:rPr>
                <w:noProof/>
                <w:webHidden/>
              </w:rPr>
              <w:tab/>
            </w:r>
            <w:r>
              <w:rPr>
                <w:noProof/>
                <w:webHidden/>
              </w:rPr>
              <w:fldChar w:fldCharType="begin"/>
            </w:r>
            <w:r>
              <w:rPr>
                <w:noProof/>
                <w:webHidden/>
              </w:rPr>
              <w:instrText xml:space="preserve"> PAGEREF _Toc184736048 \h </w:instrText>
            </w:r>
            <w:r>
              <w:rPr>
                <w:noProof/>
                <w:webHidden/>
              </w:rPr>
            </w:r>
            <w:r>
              <w:rPr>
                <w:noProof/>
                <w:webHidden/>
              </w:rPr>
              <w:fldChar w:fldCharType="separate"/>
            </w:r>
            <w:r>
              <w:rPr>
                <w:noProof/>
                <w:webHidden/>
              </w:rPr>
              <w:t>84</w:t>
            </w:r>
            <w:r>
              <w:rPr>
                <w:noProof/>
                <w:webHidden/>
              </w:rPr>
              <w:fldChar w:fldCharType="end"/>
            </w:r>
          </w:hyperlink>
        </w:p>
        <w:p w14:paraId="5B2C2886" w14:textId="56501978" w:rsidR="005C5A9B" w:rsidRDefault="005C5A9B">
          <w:pPr>
            <w:pStyle w:val="TOC2"/>
            <w:rPr>
              <w:rFonts w:eastAsiaTheme="minorEastAsia"/>
              <w:kern w:val="2"/>
              <w:sz w:val="24"/>
              <w:szCs w:val="24"/>
              <w:lang w:eastAsia="en-GB"/>
              <w14:ligatures w14:val="standardContextual"/>
            </w:rPr>
          </w:pPr>
          <w:hyperlink w:anchor="_Toc184736049" w:history="1">
            <w:r w:rsidRPr="00AF02FF">
              <w:rPr>
                <w:rStyle w:val="Hyperlink"/>
              </w:rPr>
              <w:t>6.1.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_Toc184736049 \h </w:instrText>
            </w:r>
            <w:r>
              <w:rPr>
                <w:webHidden/>
              </w:rPr>
            </w:r>
            <w:r>
              <w:rPr>
                <w:webHidden/>
              </w:rPr>
              <w:fldChar w:fldCharType="separate"/>
            </w:r>
            <w:r>
              <w:rPr>
                <w:webHidden/>
              </w:rPr>
              <w:t>84</w:t>
            </w:r>
            <w:r>
              <w:rPr>
                <w:webHidden/>
              </w:rPr>
              <w:fldChar w:fldCharType="end"/>
            </w:r>
          </w:hyperlink>
        </w:p>
        <w:p w14:paraId="481B8880" w14:textId="35473F8F" w:rsidR="005C5A9B" w:rsidRDefault="005C5A9B">
          <w:pPr>
            <w:pStyle w:val="TOC2"/>
            <w:rPr>
              <w:rFonts w:eastAsiaTheme="minorEastAsia"/>
              <w:kern w:val="2"/>
              <w:sz w:val="24"/>
              <w:szCs w:val="24"/>
              <w:lang w:eastAsia="en-GB"/>
              <w14:ligatures w14:val="standardContextual"/>
            </w:rPr>
          </w:pPr>
          <w:hyperlink w:anchor="_Toc184736050" w:history="1">
            <w:r w:rsidRPr="00AF02FF">
              <w:rPr>
                <w:rStyle w:val="Hyperlink"/>
              </w:rPr>
              <w:t>6.2.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_Toc184736050 \h </w:instrText>
            </w:r>
            <w:r>
              <w:rPr>
                <w:webHidden/>
              </w:rPr>
            </w:r>
            <w:r>
              <w:rPr>
                <w:webHidden/>
              </w:rPr>
              <w:fldChar w:fldCharType="separate"/>
            </w:r>
            <w:r>
              <w:rPr>
                <w:webHidden/>
              </w:rPr>
              <w:t>84</w:t>
            </w:r>
            <w:r>
              <w:rPr>
                <w:webHidden/>
              </w:rPr>
              <w:fldChar w:fldCharType="end"/>
            </w:r>
          </w:hyperlink>
        </w:p>
        <w:p w14:paraId="63507EF3" w14:textId="01329318" w:rsidR="005C5A9B" w:rsidRDefault="005C5A9B">
          <w:pPr>
            <w:pStyle w:val="TOC2"/>
            <w:rPr>
              <w:rFonts w:eastAsiaTheme="minorEastAsia"/>
              <w:kern w:val="2"/>
              <w:sz w:val="24"/>
              <w:szCs w:val="24"/>
              <w:lang w:eastAsia="en-GB"/>
              <w14:ligatures w14:val="standardContextual"/>
            </w:rPr>
          </w:pPr>
          <w:hyperlink w:anchor="_Toc184736051" w:history="1">
            <w:r w:rsidRPr="00AF02FF">
              <w:rPr>
                <w:rStyle w:val="Hyperlink"/>
              </w:rPr>
              <w:t>6.3.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_Toc184736051 \h </w:instrText>
            </w:r>
            <w:r>
              <w:rPr>
                <w:webHidden/>
              </w:rPr>
            </w:r>
            <w:r>
              <w:rPr>
                <w:webHidden/>
              </w:rPr>
              <w:fldChar w:fldCharType="separate"/>
            </w:r>
            <w:r>
              <w:rPr>
                <w:webHidden/>
              </w:rPr>
              <w:t>85</w:t>
            </w:r>
            <w:r>
              <w:rPr>
                <w:webHidden/>
              </w:rPr>
              <w:fldChar w:fldCharType="end"/>
            </w:r>
          </w:hyperlink>
        </w:p>
        <w:p w14:paraId="22231210" w14:textId="6E34C9A0" w:rsidR="005C5A9B" w:rsidRDefault="005C5A9B">
          <w:pPr>
            <w:pStyle w:val="TOC1"/>
            <w:rPr>
              <w:rFonts w:eastAsiaTheme="minorEastAsia"/>
              <w:b w:val="0"/>
              <w:noProof/>
              <w:color w:val="auto"/>
              <w:kern w:val="2"/>
              <w:szCs w:val="24"/>
              <w:lang w:eastAsia="en-GB"/>
              <w14:ligatures w14:val="standardContextual"/>
            </w:rPr>
          </w:pPr>
          <w:hyperlink w:anchor="_Toc184736052" w:history="1">
            <w:r w:rsidRPr="00AF02FF">
              <w:rPr>
                <w:rStyle w:val="Hyperlink"/>
                <w:bCs/>
                <w:noProof/>
              </w:rPr>
              <w:t>7.</w:t>
            </w:r>
            <w:r>
              <w:rPr>
                <w:rFonts w:eastAsiaTheme="minorEastAsia"/>
                <w:b w:val="0"/>
                <w:noProof/>
                <w:color w:val="auto"/>
                <w:kern w:val="2"/>
                <w:szCs w:val="24"/>
                <w:lang w:eastAsia="en-GB"/>
                <w14:ligatures w14:val="standardContextual"/>
              </w:rPr>
              <w:tab/>
            </w:r>
            <w:r w:rsidRPr="00AF02FF">
              <w:rPr>
                <w:rStyle w:val="Hyperlink"/>
                <w:noProof/>
              </w:rPr>
              <w:t>Other costs and assumptions</w:t>
            </w:r>
            <w:r>
              <w:rPr>
                <w:noProof/>
                <w:webHidden/>
              </w:rPr>
              <w:tab/>
            </w:r>
            <w:r>
              <w:rPr>
                <w:noProof/>
                <w:webHidden/>
              </w:rPr>
              <w:fldChar w:fldCharType="begin"/>
            </w:r>
            <w:r>
              <w:rPr>
                <w:noProof/>
                <w:webHidden/>
              </w:rPr>
              <w:instrText xml:space="preserve"> PAGEREF _Toc184736052 \h </w:instrText>
            </w:r>
            <w:r>
              <w:rPr>
                <w:noProof/>
                <w:webHidden/>
              </w:rPr>
            </w:r>
            <w:r>
              <w:rPr>
                <w:noProof/>
                <w:webHidden/>
              </w:rPr>
              <w:fldChar w:fldCharType="separate"/>
            </w:r>
            <w:r>
              <w:rPr>
                <w:noProof/>
                <w:webHidden/>
              </w:rPr>
              <w:t>87</w:t>
            </w:r>
            <w:r>
              <w:rPr>
                <w:noProof/>
                <w:webHidden/>
              </w:rPr>
              <w:fldChar w:fldCharType="end"/>
            </w:r>
          </w:hyperlink>
        </w:p>
        <w:p w14:paraId="3678A4DD" w14:textId="1876B068" w:rsidR="005C5A9B" w:rsidRDefault="005C5A9B">
          <w:pPr>
            <w:pStyle w:val="TOC2"/>
            <w:rPr>
              <w:rFonts w:eastAsiaTheme="minorEastAsia"/>
              <w:kern w:val="2"/>
              <w:sz w:val="24"/>
              <w:szCs w:val="24"/>
              <w:lang w:eastAsia="en-GB"/>
              <w14:ligatures w14:val="standardContextual"/>
            </w:rPr>
          </w:pPr>
          <w:hyperlink w:anchor="_Toc184736053" w:history="1">
            <w:r w:rsidRPr="00AF02FF">
              <w:rPr>
                <w:rStyle w:val="Hyperlink"/>
              </w:rPr>
              <w:t>7.1.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_Toc184736053 \h </w:instrText>
            </w:r>
            <w:r>
              <w:rPr>
                <w:webHidden/>
              </w:rPr>
            </w:r>
            <w:r>
              <w:rPr>
                <w:webHidden/>
              </w:rPr>
              <w:fldChar w:fldCharType="separate"/>
            </w:r>
            <w:r>
              <w:rPr>
                <w:webHidden/>
              </w:rPr>
              <w:t>87</w:t>
            </w:r>
            <w:r>
              <w:rPr>
                <w:webHidden/>
              </w:rPr>
              <w:fldChar w:fldCharType="end"/>
            </w:r>
          </w:hyperlink>
        </w:p>
        <w:p w14:paraId="4D597CD7" w14:textId="1BB4F70E" w:rsidR="005C5A9B" w:rsidRDefault="005C5A9B">
          <w:pPr>
            <w:pStyle w:val="TOC2"/>
            <w:rPr>
              <w:rFonts w:eastAsiaTheme="minorEastAsia"/>
              <w:kern w:val="2"/>
              <w:sz w:val="24"/>
              <w:szCs w:val="24"/>
              <w:lang w:eastAsia="en-GB"/>
              <w14:ligatures w14:val="standardContextual"/>
            </w:rPr>
          </w:pPr>
          <w:hyperlink w:anchor="_Toc184736054" w:history="1">
            <w:r w:rsidRPr="00AF02FF">
              <w:rPr>
                <w:rStyle w:val="Hyperlink"/>
              </w:rPr>
              <w:t>7.2.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_Toc184736054 \h </w:instrText>
            </w:r>
            <w:r>
              <w:rPr>
                <w:webHidden/>
              </w:rPr>
            </w:r>
            <w:r>
              <w:rPr>
                <w:webHidden/>
              </w:rPr>
              <w:fldChar w:fldCharType="separate"/>
            </w:r>
            <w:r>
              <w:rPr>
                <w:webHidden/>
              </w:rPr>
              <w:t>87</w:t>
            </w:r>
            <w:r>
              <w:rPr>
                <w:webHidden/>
              </w:rPr>
              <w:fldChar w:fldCharType="end"/>
            </w:r>
          </w:hyperlink>
        </w:p>
        <w:p w14:paraId="7D1713AD" w14:textId="3038A0B1" w:rsidR="005C5A9B" w:rsidRDefault="005C5A9B">
          <w:pPr>
            <w:pStyle w:val="TOC2"/>
            <w:rPr>
              <w:rFonts w:eastAsiaTheme="minorEastAsia"/>
              <w:kern w:val="2"/>
              <w:sz w:val="24"/>
              <w:szCs w:val="24"/>
              <w:lang w:eastAsia="en-GB"/>
              <w14:ligatures w14:val="standardContextual"/>
            </w:rPr>
          </w:pPr>
          <w:hyperlink w:anchor="_Toc184736055" w:history="1">
            <w:r w:rsidRPr="00AF02FF">
              <w:rPr>
                <w:rStyle w:val="Hyperlink"/>
              </w:rPr>
              <w:t>7.3.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_Toc184736055 \h </w:instrText>
            </w:r>
            <w:r>
              <w:rPr>
                <w:webHidden/>
              </w:rPr>
            </w:r>
            <w:r>
              <w:rPr>
                <w:webHidden/>
              </w:rPr>
              <w:fldChar w:fldCharType="separate"/>
            </w:r>
            <w:r>
              <w:rPr>
                <w:webHidden/>
              </w:rPr>
              <w:t>89</w:t>
            </w:r>
            <w:r>
              <w:rPr>
                <w:webHidden/>
              </w:rPr>
              <w:fldChar w:fldCharType="end"/>
            </w:r>
          </w:hyperlink>
        </w:p>
        <w:p w14:paraId="795AD04D" w14:textId="1F427AD7" w:rsidR="005C5A9B" w:rsidRDefault="005C5A9B">
          <w:pPr>
            <w:pStyle w:val="TOC2"/>
            <w:rPr>
              <w:rFonts w:eastAsiaTheme="minorEastAsia"/>
              <w:kern w:val="2"/>
              <w:sz w:val="24"/>
              <w:szCs w:val="24"/>
              <w:lang w:eastAsia="en-GB"/>
              <w14:ligatures w14:val="standardContextual"/>
            </w:rPr>
          </w:pPr>
          <w:hyperlink w:anchor="_Toc184736056" w:history="1">
            <w:r w:rsidRPr="00AF02FF">
              <w:rPr>
                <w:rStyle w:val="Hyperlink"/>
              </w:rPr>
              <w:t>7.4.</w:t>
            </w:r>
            <w:r>
              <w:rPr>
                <w:rFonts w:eastAsiaTheme="minorEastAsia"/>
                <w:kern w:val="2"/>
                <w:sz w:val="24"/>
                <w:szCs w:val="24"/>
                <w:lang w:eastAsia="en-GB"/>
                <w14:ligatures w14:val="standardContextual"/>
              </w:rPr>
              <w:tab/>
            </w:r>
            <w:r w:rsidRPr="00AF02FF">
              <w:rPr>
                <w:rStyle w:val="Hyperlink"/>
              </w:rPr>
              <w:t>Additional areas to be covered in commentary but not in tables</w:t>
            </w:r>
            <w:r>
              <w:rPr>
                <w:webHidden/>
              </w:rPr>
              <w:tab/>
            </w:r>
            <w:r>
              <w:rPr>
                <w:webHidden/>
              </w:rPr>
              <w:fldChar w:fldCharType="begin"/>
            </w:r>
            <w:r>
              <w:rPr>
                <w:webHidden/>
              </w:rPr>
              <w:instrText xml:space="preserve"> PAGEREF _Toc184736056 \h </w:instrText>
            </w:r>
            <w:r>
              <w:rPr>
                <w:webHidden/>
              </w:rPr>
            </w:r>
            <w:r>
              <w:rPr>
                <w:webHidden/>
              </w:rPr>
              <w:fldChar w:fldCharType="separate"/>
            </w:r>
            <w:r>
              <w:rPr>
                <w:webHidden/>
              </w:rPr>
              <w:t>96</w:t>
            </w:r>
            <w:r>
              <w:rPr>
                <w:webHidden/>
              </w:rPr>
              <w:fldChar w:fldCharType="end"/>
            </w:r>
          </w:hyperlink>
        </w:p>
        <w:p w14:paraId="2BF60EF0" w14:textId="7CAC0F57" w:rsidR="005C5A9B" w:rsidRDefault="005C5A9B">
          <w:pPr>
            <w:pStyle w:val="TOC1"/>
            <w:rPr>
              <w:rFonts w:eastAsiaTheme="minorEastAsia"/>
              <w:b w:val="0"/>
              <w:noProof/>
              <w:color w:val="auto"/>
              <w:kern w:val="2"/>
              <w:szCs w:val="24"/>
              <w:lang w:eastAsia="en-GB"/>
              <w14:ligatures w14:val="standardContextual"/>
            </w:rPr>
          </w:pPr>
          <w:hyperlink w:anchor="_Toc184736057" w:history="1">
            <w:r w:rsidRPr="00AF02FF">
              <w:rPr>
                <w:rStyle w:val="Hyperlink"/>
                <w:bCs/>
                <w:noProof/>
              </w:rPr>
              <w:t>8.</w:t>
            </w:r>
            <w:r>
              <w:rPr>
                <w:rFonts w:eastAsiaTheme="minorEastAsia"/>
                <w:b w:val="0"/>
                <w:noProof/>
                <w:color w:val="auto"/>
                <w:kern w:val="2"/>
                <w:szCs w:val="24"/>
                <w:lang w:eastAsia="en-GB"/>
                <w14:ligatures w14:val="standardContextual"/>
              </w:rPr>
              <w:tab/>
            </w:r>
            <w:r w:rsidRPr="00AF02FF">
              <w:rPr>
                <w:rStyle w:val="Hyperlink"/>
                <w:noProof/>
              </w:rPr>
              <w:t>Summary costs</w:t>
            </w:r>
            <w:r>
              <w:rPr>
                <w:noProof/>
                <w:webHidden/>
              </w:rPr>
              <w:tab/>
            </w:r>
            <w:r>
              <w:rPr>
                <w:noProof/>
                <w:webHidden/>
              </w:rPr>
              <w:fldChar w:fldCharType="begin"/>
            </w:r>
            <w:r>
              <w:rPr>
                <w:noProof/>
                <w:webHidden/>
              </w:rPr>
              <w:instrText xml:space="preserve"> PAGEREF _Toc184736057 \h </w:instrText>
            </w:r>
            <w:r>
              <w:rPr>
                <w:noProof/>
                <w:webHidden/>
              </w:rPr>
            </w:r>
            <w:r>
              <w:rPr>
                <w:noProof/>
                <w:webHidden/>
              </w:rPr>
              <w:fldChar w:fldCharType="separate"/>
            </w:r>
            <w:r>
              <w:rPr>
                <w:noProof/>
                <w:webHidden/>
              </w:rPr>
              <w:t>97</w:t>
            </w:r>
            <w:r>
              <w:rPr>
                <w:noProof/>
                <w:webHidden/>
              </w:rPr>
              <w:fldChar w:fldCharType="end"/>
            </w:r>
          </w:hyperlink>
        </w:p>
        <w:p w14:paraId="19A7D57F" w14:textId="5F486E83" w:rsidR="005C5A9B" w:rsidRDefault="005C5A9B">
          <w:pPr>
            <w:pStyle w:val="TOC2"/>
            <w:rPr>
              <w:rFonts w:eastAsiaTheme="minorEastAsia"/>
              <w:kern w:val="2"/>
              <w:sz w:val="24"/>
              <w:szCs w:val="24"/>
              <w:lang w:eastAsia="en-GB"/>
              <w14:ligatures w14:val="standardContextual"/>
            </w:rPr>
          </w:pPr>
          <w:hyperlink w:anchor="_Toc184736058" w:history="1">
            <w:r w:rsidRPr="00AF02FF">
              <w:rPr>
                <w:rStyle w:val="Hyperlink"/>
              </w:rPr>
              <w:t>8.1.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_Toc184736058 \h </w:instrText>
            </w:r>
            <w:r>
              <w:rPr>
                <w:webHidden/>
              </w:rPr>
            </w:r>
            <w:r>
              <w:rPr>
                <w:webHidden/>
              </w:rPr>
              <w:fldChar w:fldCharType="separate"/>
            </w:r>
            <w:r>
              <w:rPr>
                <w:webHidden/>
              </w:rPr>
              <w:t>97</w:t>
            </w:r>
            <w:r>
              <w:rPr>
                <w:webHidden/>
              </w:rPr>
              <w:fldChar w:fldCharType="end"/>
            </w:r>
          </w:hyperlink>
        </w:p>
        <w:p w14:paraId="56B6277A" w14:textId="1FCB7097" w:rsidR="005C5A9B" w:rsidRDefault="005C5A9B">
          <w:pPr>
            <w:pStyle w:val="TOC2"/>
            <w:rPr>
              <w:rFonts w:eastAsiaTheme="minorEastAsia"/>
              <w:kern w:val="2"/>
              <w:sz w:val="24"/>
              <w:szCs w:val="24"/>
              <w:lang w:eastAsia="en-GB"/>
              <w14:ligatures w14:val="standardContextual"/>
            </w:rPr>
          </w:pPr>
          <w:hyperlink w:anchor="_Toc184736059" w:history="1">
            <w:r w:rsidRPr="00AF02FF">
              <w:rPr>
                <w:rStyle w:val="Hyperlink"/>
              </w:rPr>
              <w:t>8.2.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_Toc184736059 \h </w:instrText>
            </w:r>
            <w:r>
              <w:rPr>
                <w:webHidden/>
              </w:rPr>
            </w:r>
            <w:r>
              <w:rPr>
                <w:webHidden/>
              </w:rPr>
              <w:fldChar w:fldCharType="separate"/>
            </w:r>
            <w:r>
              <w:rPr>
                <w:webHidden/>
              </w:rPr>
              <w:t>97</w:t>
            </w:r>
            <w:r>
              <w:rPr>
                <w:webHidden/>
              </w:rPr>
              <w:fldChar w:fldCharType="end"/>
            </w:r>
          </w:hyperlink>
        </w:p>
        <w:p w14:paraId="251551F5" w14:textId="3A280E2B" w:rsidR="005C5A9B" w:rsidRDefault="005C5A9B">
          <w:pPr>
            <w:pStyle w:val="TOC1"/>
            <w:rPr>
              <w:rFonts w:eastAsiaTheme="minorEastAsia"/>
              <w:b w:val="0"/>
              <w:noProof/>
              <w:color w:val="auto"/>
              <w:kern w:val="2"/>
              <w:szCs w:val="24"/>
              <w:lang w:eastAsia="en-GB"/>
              <w14:ligatures w14:val="standardContextual"/>
            </w:rPr>
          </w:pPr>
          <w:hyperlink w:anchor="_Toc184736060" w:history="1">
            <w:r w:rsidRPr="00AF02FF">
              <w:rPr>
                <w:rStyle w:val="Hyperlink"/>
                <w:bCs/>
                <w:noProof/>
              </w:rPr>
              <w:t>9.</w:t>
            </w:r>
            <w:r>
              <w:rPr>
                <w:rFonts w:eastAsiaTheme="minorEastAsia"/>
                <w:b w:val="0"/>
                <w:noProof/>
                <w:color w:val="auto"/>
                <w:kern w:val="2"/>
                <w:szCs w:val="24"/>
                <w:lang w:eastAsia="en-GB"/>
                <w14:ligatures w14:val="standardContextual"/>
              </w:rPr>
              <w:tab/>
            </w:r>
            <w:r w:rsidRPr="00AF02FF">
              <w:rPr>
                <w:rStyle w:val="Hyperlink"/>
                <w:noProof/>
              </w:rPr>
              <w:t>Enhancement and growth benchmarking</w:t>
            </w:r>
            <w:r>
              <w:rPr>
                <w:noProof/>
                <w:webHidden/>
              </w:rPr>
              <w:tab/>
            </w:r>
            <w:r>
              <w:rPr>
                <w:noProof/>
                <w:webHidden/>
              </w:rPr>
              <w:fldChar w:fldCharType="begin"/>
            </w:r>
            <w:r>
              <w:rPr>
                <w:noProof/>
                <w:webHidden/>
              </w:rPr>
              <w:instrText xml:space="preserve"> PAGEREF _Toc184736060 \h </w:instrText>
            </w:r>
            <w:r>
              <w:rPr>
                <w:noProof/>
                <w:webHidden/>
              </w:rPr>
            </w:r>
            <w:r>
              <w:rPr>
                <w:noProof/>
                <w:webHidden/>
              </w:rPr>
              <w:fldChar w:fldCharType="separate"/>
            </w:r>
            <w:r>
              <w:rPr>
                <w:noProof/>
                <w:webHidden/>
              </w:rPr>
              <w:t>98</w:t>
            </w:r>
            <w:r>
              <w:rPr>
                <w:noProof/>
                <w:webHidden/>
              </w:rPr>
              <w:fldChar w:fldCharType="end"/>
            </w:r>
          </w:hyperlink>
        </w:p>
        <w:p w14:paraId="3DF5E74A" w14:textId="4E564333" w:rsidR="005C5A9B" w:rsidRDefault="005C5A9B">
          <w:pPr>
            <w:pStyle w:val="TOC2"/>
            <w:rPr>
              <w:rFonts w:eastAsiaTheme="minorEastAsia"/>
              <w:kern w:val="2"/>
              <w:sz w:val="24"/>
              <w:szCs w:val="24"/>
              <w:lang w:eastAsia="en-GB"/>
              <w14:ligatures w14:val="standardContextual"/>
            </w:rPr>
          </w:pPr>
          <w:hyperlink w:anchor="_Toc184736061" w:history="1">
            <w:r w:rsidRPr="00AF02FF">
              <w:rPr>
                <w:rStyle w:val="Hyperlink"/>
              </w:rPr>
              <w:t>9.1.</w:t>
            </w:r>
            <w:r>
              <w:rPr>
                <w:rFonts w:eastAsiaTheme="minorEastAsia"/>
                <w:kern w:val="2"/>
                <w:sz w:val="24"/>
                <w:szCs w:val="24"/>
                <w:lang w:eastAsia="en-GB"/>
                <w14:ligatures w14:val="standardContextual"/>
              </w:rPr>
              <w:tab/>
            </w:r>
            <w:r w:rsidRPr="00AF02FF">
              <w:rPr>
                <w:rStyle w:val="Hyperlink"/>
              </w:rPr>
              <w:t>Purpose</w:t>
            </w:r>
            <w:r>
              <w:rPr>
                <w:webHidden/>
              </w:rPr>
              <w:tab/>
            </w:r>
            <w:r>
              <w:rPr>
                <w:webHidden/>
              </w:rPr>
              <w:fldChar w:fldCharType="begin"/>
            </w:r>
            <w:r>
              <w:rPr>
                <w:webHidden/>
              </w:rPr>
              <w:instrText xml:space="preserve"> PAGEREF _Toc184736061 \h </w:instrText>
            </w:r>
            <w:r>
              <w:rPr>
                <w:webHidden/>
              </w:rPr>
            </w:r>
            <w:r>
              <w:rPr>
                <w:webHidden/>
              </w:rPr>
              <w:fldChar w:fldCharType="separate"/>
            </w:r>
            <w:r>
              <w:rPr>
                <w:webHidden/>
              </w:rPr>
              <w:t>98</w:t>
            </w:r>
            <w:r>
              <w:rPr>
                <w:webHidden/>
              </w:rPr>
              <w:fldChar w:fldCharType="end"/>
            </w:r>
          </w:hyperlink>
        </w:p>
        <w:p w14:paraId="1DB6E012" w14:textId="45EF7BF7" w:rsidR="005C5A9B" w:rsidRDefault="005C5A9B">
          <w:pPr>
            <w:pStyle w:val="TOC2"/>
            <w:rPr>
              <w:rFonts w:eastAsiaTheme="minorEastAsia"/>
              <w:kern w:val="2"/>
              <w:sz w:val="24"/>
              <w:szCs w:val="24"/>
              <w:lang w:eastAsia="en-GB"/>
              <w14:ligatures w14:val="standardContextual"/>
            </w:rPr>
          </w:pPr>
          <w:hyperlink w:anchor="_Toc184736062" w:history="1">
            <w:r w:rsidRPr="00AF02FF">
              <w:rPr>
                <w:rStyle w:val="Hyperlink"/>
              </w:rPr>
              <w:t>9.2.</w:t>
            </w:r>
            <w:r>
              <w:rPr>
                <w:rFonts w:eastAsiaTheme="minorEastAsia"/>
                <w:kern w:val="2"/>
                <w:sz w:val="24"/>
                <w:szCs w:val="24"/>
                <w:lang w:eastAsia="en-GB"/>
                <w14:ligatures w14:val="standardContextual"/>
              </w:rPr>
              <w:tab/>
            </w:r>
            <w:r w:rsidRPr="00AF02FF">
              <w:rPr>
                <w:rStyle w:val="Hyperlink"/>
              </w:rPr>
              <w:t>Guidance</w:t>
            </w:r>
            <w:r>
              <w:rPr>
                <w:webHidden/>
              </w:rPr>
              <w:tab/>
            </w:r>
            <w:r>
              <w:rPr>
                <w:webHidden/>
              </w:rPr>
              <w:fldChar w:fldCharType="begin"/>
            </w:r>
            <w:r>
              <w:rPr>
                <w:webHidden/>
              </w:rPr>
              <w:instrText xml:space="preserve"> PAGEREF _Toc184736062 \h </w:instrText>
            </w:r>
            <w:r>
              <w:rPr>
                <w:webHidden/>
              </w:rPr>
            </w:r>
            <w:r>
              <w:rPr>
                <w:webHidden/>
              </w:rPr>
              <w:fldChar w:fldCharType="separate"/>
            </w:r>
            <w:r>
              <w:rPr>
                <w:webHidden/>
              </w:rPr>
              <w:t>98</w:t>
            </w:r>
            <w:r>
              <w:rPr>
                <w:webHidden/>
              </w:rPr>
              <w:fldChar w:fldCharType="end"/>
            </w:r>
          </w:hyperlink>
        </w:p>
        <w:p w14:paraId="0BBED262" w14:textId="1A98DBE0" w:rsidR="005C5A9B" w:rsidRDefault="005C5A9B">
          <w:pPr>
            <w:pStyle w:val="TOC2"/>
            <w:rPr>
              <w:rFonts w:eastAsiaTheme="minorEastAsia"/>
              <w:kern w:val="2"/>
              <w:sz w:val="24"/>
              <w:szCs w:val="24"/>
              <w:lang w:eastAsia="en-GB"/>
              <w14:ligatures w14:val="standardContextual"/>
            </w:rPr>
          </w:pPr>
          <w:hyperlink w:anchor="_Toc184736063" w:history="1">
            <w:r w:rsidRPr="00AF02FF">
              <w:rPr>
                <w:rStyle w:val="Hyperlink"/>
              </w:rPr>
              <w:t>9.3.</w:t>
            </w:r>
            <w:r>
              <w:rPr>
                <w:rFonts w:eastAsiaTheme="minorEastAsia"/>
                <w:kern w:val="2"/>
                <w:sz w:val="24"/>
                <w:szCs w:val="24"/>
                <w:lang w:eastAsia="en-GB"/>
                <w14:ligatures w14:val="standardContextual"/>
              </w:rPr>
              <w:tab/>
            </w:r>
            <w:r w:rsidRPr="00AF02FF">
              <w:rPr>
                <w:rStyle w:val="Hyperlink"/>
              </w:rPr>
              <w:t>Definitions</w:t>
            </w:r>
            <w:r>
              <w:rPr>
                <w:webHidden/>
              </w:rPr>
              <w:tab/>
            </w:r>
            <w:r>
              <w:rPr>
                <w:webHidden/>
              </w:rPr>
              <w:fldChar w:fldCharType="begin"/>
            </w:r>
            <w:r>
              <w:rPr>
                <w:webHidden/>
              </w:rPr>
              <w:instrText xml:space="preserve"> PAGEREF _Toc184736063 \h </w:instrText>
            </w:r>
            <w:r>
              <w:rPr>
                <w:webHidden/>
              </w:rPr>
            </w:r>
            <w:r>
              <w:rPr>
                <w:webHidden/>
              </w:rPr>
              <w:fldChar w:fldCharType="separate"/>
            </w:r>
            <w:r>
              <w:rPr>
                <w:webHidden/>
              </w:rPr>
              <w:t>98</w:t>
            </w:r>
            <w:r>
              <w:rPr>
                <w:webHidden/>
              </w:rPr>
              <w:fldChar w:fldCharType="end"/>
            </w:r>
          </w:hyperlink>
        </w:p>
        <w:p w14:paraId="36BE697C" w14:textId="3299A3CA" w:rsidR="00AE1E62" w:rsidRPr="0030124D" w:rsidRDefault="00AE1E62" w:rsidP="00C72CE7">
          <w:pPr>
            <w:jc w:val="left"/>
          </w:pPr>
          <w:r w:rsidRPr="00623B77">
            <w:rPr>
              <w:b/>
              <w:bCs/>
            </w:rPr>
            <w:fldChar w:fldCharType="end"/>
          </w:r>
        </w:p>
      </w:sdtContent>
    </w:sdt>
    <w:p w14:paraId="7AF4CED2" w14:textId="77777777" w:rsidR="00FA7339" w:rsidRDefault="00FA7339" w:rsidP="00C72CE7">
      <w:pPr>
        <w:keepNext/>
        <w:keepLines/>
        <w:jc w:val="left"/>
      </w:pPr>
    </w:p>
    <w:p w14:paraId="2A21DD98" w14:textId="0EC38709" w:rsidR="00440697" w:rsidRPr="0030124D" w:rsidRDefault="00440697" w:rsidP="00762D44">
      <w:pPr>
        <w:pStyle w:val="heading10"/>
        <w:rPr>
          <w:b/>
          <w:caps/>
        </w:rPr>
      </w:pPr>
      <w:r w:rsidRPr="0030124D">
        <w:br w:type="page"/>
      </w:r>
    </w:p>
    <w:p w14:paraId="151EC10F" w14:textId="77777777" w:rsidR="004C7876" w:rsidRDefault="004C7876" w:rsidP="00620AE0">
      <w:pPr>
        <w:pStyle w:val="SMALLHEADINGALLCAPS"/>
        <w:outlineLvl w:val="1"/>
      </w:pPr>
      <w:bookmarkStart w:id="4" w:name="_Toc184736025"/>
      <w:r>
        <w:lastRenderedPageBreak/>
        <w:t>Edition Changes</w:t>
      </w:r>
      <w:bookmarkEnd w:id="4"/>
    </w:p>
    <w:tbl>
      <w:tblPr>
        <w:tblStyle w:val="Blueline"/>
        <w:tblW w:w="0" w:type="auto"/>
        <w:tblLook w:val="04A0" w:firstRow="1" w:lastRow="0" w:firstColumn="1" w:lastColumn="0" w:noHBand="0" w:noVBand="1"/>
      </w:tblPr>
      <w:tblGrid>
        <w:gridCol w:w="1293"/>
        <w:gridCol w:w="1293"/>
        <w:gridCol w:w="6236"/>
      </w:tblGrid>
      <w:tr w:rsidR="00143F90" w14:paraId="6F80056B" w14:textId="77777777" w:rsidTr="00C80D73">
        <w:trPr>
          <w:cnfStyle w:val="100000000000" w:firstRow="1" w:lastRow="0" w:firstColumn="0" w:lastColumn="0" w:oddVBand="0" w:evenVBand="0" w:oddHBand="0" w:evenHBand="0" w:firstRowFirstColumn="0" w:firstRowLastColumn="0" w:lastRowFirstColumn="0" w:lastRowLastColumn="0"/>
        </w:trPr>
        <w:tc>
          <w:tcPr>
            <w:tcW w:w="1293" w:type="dxa"/>
            <w:vAlign w:val="center"/>
          </w:tcPr>
          <w:p w14:paraId="3C1D9649" w14:textId="7F38B4AF" w:rsidR="00143F90" w:rsidRDefault="00143F90" w:rsidP="00492FFA">
            <w:pPr>
              <w:spacing w:line="259" w:lineRule="auto"/>
              <w:jc w:val="left"/>
              <w:rPr>
                <w:rFonts w:ascii="Calibri" w:hAnsi="Calibri" w:cs="Calibri"/>
              </w:rPr>
            </w:pPr>
            <w:r>
              <w:rPr>
                <w:rFonts w:ascii="Calibri" w:hAnsi="Calibri" w:cs="Calibri"/>
              </w:rPr>
              <w:t>Edition</w:t>
            </w:r>
          </w:p>
        </w:tc>
        <w:tc>
          <w:tcPr>
            <w:tcW w:w="0" w:type="dxa"/>
          </w:tcPr>
          <w:p w14:paraId="541CC738" w14:textId="77777777" w:rsidR="00143F90" w:rsidRDefault="00143F90" w:rsidP="00492FFA">
            <w:pPr>
              <w:spacing w:line="259" w:lineRule="auto"/>
              <w:jc w:val="left"/>
              <w:rPr>
                <w:rFonts w:ascii="Calibri" w:hAnsi="Calibri" w:cs="Calibri"/>
              </w:rPr>
            </w:pPr>
          </w:p>
        </w:tc>
        <w:tc>
          <w:tcPr>
            <w:tcW w:w="6236" w:type="dxa"/>
            <w:vAlign w:val="center"/>
          </w:tcPr>
          <w:p w14:paraId="561B4702" w14:textId="2FE60947" w:rsidR="00143F90" w:rsidRDefault="00143F90" w:rsidP="00492FFA">
            <w:pPr>
              <w:spacing w:line="259" w:lineRule="auto"/>
              <w:jc w:val="left"/>
              <w:rPr>
                <w:rFonts w:ascii="Calibri" w:hAnsi="Calibri" w:cs="Calibri"/>
              </w:rPr>
            </w:pPr>
            <w:r>
              <w:rPr>
                <w:rFonts w:ascii="Calibri" w:hAnsi="Calibri" w:cs="Calibri"/>
              </w:rPr>
              <w:t>Description of Change</w:t>
            </w:r>
          </w:p>
        </w:tc>
      </w:tr>
      <w:tr w:rsidR="00143F90" w14:paraId="48EB2109" w14:textId="77777777" w:rsidTr="00C80D73">
        <w:tc>
          <w:tcPr>
            <w:tcW w:w="1293" w:type="dxa"/>
          </w:tcPr>
          <w:p w14:paraId="67A97DBC" w14:textId="77777777" w:rsidR="00143F90" w:rsidRDefault="00143F90">
            <w:pPr>
              <w:spacing w:after="160" w:line="259" w:lineRule="auto"/>
              <w:jc w:val="left"/>
              <w:rPr>
                <w:rFonts w:ascii="Calibri" w:hAnsi="Calibri" w:cs="Calibri"/>
              </w:rPr>
            </w:pPr>
            <w:r>
              <w:rPr>
                <w:rFonts w:ascii="Calibri" w:hAnsi="Calibri" w:cs="Calibri"/>
              </w:rPr>
              <w:t xml:space="preserve">1 </w:t>
            </w:r>
          </w:p>
          <w:p w14:paraId="1D5CD714" w14:textId="25852BE2" w:rsidR="00143F90" w:rsidRDefault="00143F90">
            <w:pPr>
              <w:spacing w:after="160" w:line="259" w:lineRule="auto"/>
              <w:jc w:val="left"/>
              <w:rPr>
                <w:rFonts w:ascii="Calibri" w:hAnsi="Calibri" w:cs="Calibri"/>
              </w:rPr>
            </w:pPr>
          </w:p>
        </w:tc>
        <w:tc>
          <w:tcPr>
            <w:tcW w:w="0" w:type="dxa"/>
          </w:tcPr>
          <w:p w14:paraId="5ABB1D47" w14:textId="3C332C3E" w:rsidR="00143F90" w:rsidRDefault="00143F90">
            <w:pPr>
              <w:spacing w:after="160" w:line="259" w:lineRule="auto"/>
              <w:jc w:val="left"/>
              <w:rPr>
                <w:rFonts w:ascii="Calibri" w:hAnsi="Calibri" w:cs="Calibri"/>
              </w:rPr>
            </w:pPr>
            <w:r>
              <w:rPr>
                <w:rFonts w:ascii="Calibri" w:hAnsi="Calibri" w:cs="Calibri"/>
              </w:rPr>
              <w:t>2 September 2024</w:t>
            </w:r>
          </w:p>
        </w:tc>
        <w:tc>
          <w:tcPr>
            <w:tcW w:w="6236" w:type="dxa"/>
          </w:tcPr>
          <w:p w14:paraId="0DB3E1D3" w14:textId="1E95D4F2" w:rsidR="00143F90" w:rsidRDefault="00143F90">
            <w:pPr>
              <w:spacing w:after="160" w:line="259" w:lineRule="auto"/>
              <w:jc w:val="left"/>
              <w:rPr>
                <w:rFonts w:ascii="Calibri" w:hAnsi="Calibri" w:cs="Calibri"/>
              </w:rPr>
            </w:pPr>
            <w:r>
              <w:rPr>
                <w:rFonts w:ascii="Calibri" w:hAnsi="Calibri" w:cs="Calibri"/>
              </w:rPr>
              <w:t>Creation of SRC27 data tables guidance document.</w:t>
            </w:r>
          </w:p>
        </w:tc>
      </w:tr>
      <w:tr w:rsidR="00143F90" w14:paraId="7F082FB4" w14:textId="77777777" w:rsidTr="00C80D73">
        <w:tc>
          <w:tcPr>
            <w:tcW w:w="1293" w:type="dxa"/>
          </w:tcPr>
          <w:p w14:paraId="10C773EE" w14:textId="77777777" w:rsidR="00143F90" w:rsidRDefault="00143F90">
            <w:pPr>
              <w:spacing w:after="160" w:line="259" w:lineRule="auto"/>
              <w:jc w:val="left"/>
              <w:rPr>
                <w:rFonts w:ascii="Calibri" w:hAnsi="Calibri" w:cs="Calibri"/>
              </w:rPr>
            </w:pPr>
            <w:r>
              <w:rPr>
                <w:rFonts w:ascii="Calibri" w:hAnsi="Calibri" w:cs="Calibri"/>
              </w:rPr>
              <w:t>2</w:t>
            </w:r>
          </w:p>
          <w:p w14:paraId="7F5F37BF" w14:textId="1797C660" w:rsidR="00143F90" w:rsidRDefault="00143F90">
            <w:pPr>
              <w:spacing w:after="160" w:line="259" w:lineRule="auto"/>
              <w:jc w:val="left"/>
              <w:rPr>
                <w:rFonts w:ascii="Calibri" w:hAnsi="Calibri" w:cs="Calibri"/>
              </w:rPr>
            </w:pPr>
          </w:p>
        </w:tc>
        <w:tc>
          <w:tcPr>
            <w:tcW w:w="0" w:type="dxa"/>
          </w:tcPr>
          <w:p w14:paraId="774C6662" w14:textId="28CC25D4" w:rsidR="00143F90" w:rsidRDefault="00143F90">
            <w:pPr>
              <w:spacing w:after="160" w:line="259" w:lineRule="auto"/>
              <w:jc w:val="left"/>
              <w:rPr>
                <w:rFonts w:ascii="Calibri" w:hAnsi="Calibri" w:cs="Calibri"/>
              </w:rPr>
            </w:pPr>
            <w:r>
              <w:rPr>
                <w:rFonts w:ascii="Calibri" w:hAnsi="Calibri" w:cs="Calibri"/>
              </w:rPr>
              <w:t>7 October 2024</w:t>
            </w:r>
          </w:p>
        </w:tc>
        <w:tc>
          <w:tcPr>
            <w:tcW w:w="6236" w:type="dxa"/>
          </w:tcPr>
          <w:p w14:paraId="63477FA2" w14:textId="642B1CFF" w:rsidR="00143F90" w:rsidRDefault="00143F90">
            <w:pPr>
              <w:spacing w:after="160" w:line="259" w:lineRule="auto"/>
              <w:jc w:val="left"/>
              <w:rPr>
                <w:rFonts w:ascii="Calibri" w:hAnsi="Calibri" w:cs="Calibri"/>
              </w:rPr>
            </w:pPr>
            <w:r>
              <w:rPr>
                <w:rFonts w:ascii="Calibri" w:hAnsi="Calibri" w:cs="Calibri"/>
              </w:rPr>
              <w:t>Recognition of the linkage between outcome measures and the Scottish Government National Performance Framework.</w:t>
            </w:r>
          </w:p>
          <w:p w14:paraId="7BEF641E" w14:textId="73467B2E" w:rsidR="00143F90" w:rsidRDefault="00143F90">
            <w:pPr>
              <w:spacing w:after="160" w:line="259" w:lineRule="auto"/>
              <w:jc w:val="left"/>
              <w:rPr>
                <w:rFonts w:ascii="Calibri" w:hAnsi="Calibri" w:cs="Calibri"/>
              </w:rPr>
            </w:pPr>
            <w:r>
              <w:rPr>
                <w:rFonts w:ascii="Calibri" w:hAnsi="Calibri" w:cs="Calibri"/>
              </w:rPr>
              <w:t>Additional outcome measures added for drinking water quality.</w:t>
            </w:r>
          </w:p>
          <w:p w14:paraId="02EAA6A8" w14:textId="42587046" w:rsidR="00143F90" w:rsidRDefault="00143F90" w:rsidP="001D62E0">
            <w:pPr>
              <w:spacing w:after="160" w:line="259" w:lineRule="auto"/>
              <w:jc w:val="left"/>
              <w:rPr>
                <w:rFonts w:ascii="Calibri" w:hAnsi="Calibri" w:cs="Calibri"/>
              </w:rPr>
            </w:pPr>
            <w:r>
              <w:rPr>
                <w:rFonts w:ascii="Calibri" w:hAnsi="Calibri" w:cs="Calibri"/>
              </w:rPr>
              <w:t xml:space="preserve">Clarification on the base year for the leakage, per capita consumption and business demand outcome </w:t>
            </w:r>
            <w:r w:rsidRPr="1C8AD6A6">
              <w:rPr>
                <w:rFonts w:ascii="Calibri" w:hAnsi="Calibri" w:cs="Calibri"/>
              </w:rPr>
              <w:t>measures</w:t>
            </w:r>
            <w:r>
              <w:rPr>
                <w:rFonts w:ascii="Calibri" w:hAnsi="Calibri" w:cs="Calibri"/>
              </w:rPr>
              <w:t>.</w:t>
            </w:r>
          </w:p>
        </w:tc>
      </w:tr>
      <w:tr w:rsidR="00143F90" w14:paraId="5B0C0FA0" w14:textId="77777777" w:rsidTr="00C80D73">
        <w:tc>
          <w:tcPr>
            <w:tcW w:w="1293" w:type="dxa"/>
          </w:tcPr>
          <w:p w14:paraId="1A8394ED" w14:textId="77777777" w:rsidR="00143F90" w:rsidRDefault="00143F90">
            <w:pPr>
              <w:spacing w:after="160" w:line="259" w:lineRule="auto"/>
              <w:jc w:val="left"/>
              <w:rPr>
                <w:rFonts w:ascii="Calibri" w:hAnsi="Calibri" w:cs="Calibri"/>
              </w:rPr>
            </w:pPr>
            <w:r>
              <w:rPr>
                <w:rFonts w:ascii="Calibri" w:hAnsi="Calibri" w:cs="Calibri"/>
              </w:rPr>
              <w:t>3</w:t>
            </w:r>
          </w:p>
          <w:p w14:paraId="781B00D4" w14:textId="2E735005" w:rsidR="00143F90" w:rsidRDefault="00143F90">
            <w:pPr>
              <w:spacing w:after="160" w:line="259" w:lineRule="auto"/>
              <w:jc w:val="left"/>
              <w:rPr>
                <w:rFonts w:ascii="Calibri" w:hAnsi="Calibri" w:cs="Calibri"/>
              </w:rPr>
            </w:pPr>
          </w:p>
        </w:tc>
        <w:tc>
          <w:tcPr>
            <w:tcW w:w="0" w:type="dxa"/>
          </w:tcPr>
          <w:p w14:paraId="04B26479" w14:textId="2001F056" w:rsidR="00143F90" w:rsidRDefault="00143F90">
            <w:pPr>
              <w:spacing w:after="160" w:line="259" w:lineRule="auto"/>
              <w:jc w:val="left"/>
              <w:rPr>
                <w:rFonts w:ascii="Calibri" w:hAnsi="Calibri" w:cs="Calibri"/>
              </w:rPr>
            </w:pPr>
            <w:r>
              <w:rPr>
                <w:rFonts w:ascii="Calibri" w:hAnsi="Calibri" w:cs="Calibri"/>
              </w:rPr>
              <w:t>12 December</w:t>
            </w:r>
          </w:p>
        </w:tc>
        <w:tc>
          <w:tcPr>
            <w:tcW w:w="6236" w:type="dxa"/>
          </w:tcPr>
          <w:p w14:paraId="3EFBC046" w14:textId="72E30C29" w:rsidR="00143F90" w:rsidRDefault="00143F90">
            <w:pPr>
              <w:spacing w:after="160" w:line="259" w:lineRule="auto"/>
              <w:jc w:val="left"/>
              <w:rPr>
                <w:rFonts w:ascii="Calibri" w:hAnsi="Calibri" w:cs="Calibri"/>
              </w:rPr>
            </w:pPr>
            <w:r>
              <w:rPr>
                <w:rFonts w:ascii="Calibri" w:hAnsi="Calibri" w:cs="Calibri"/>
              </w:rPr>
              <w:t xml:space="preserve">Updates following workshops and consultation responses. </w:t>
            </w:r>
          </w:p>
        </w:tc>
      </w:tr>
      <w:tr w:rsidR="00143F90" w14:paraId="290EA358" w14:textId="77777777" w:rsidTr="00C80D73">
        <w:tc>
          <w:tcPr>
            <w:tcW w:w="1293" w:type="dxa"/>
          </w:tcPr>
          <w:p w14:paraId="78C050ED" w14:textId="77777777" w:rsidR="00143F90" w:rsidRDefault="00143F90">
            <w:pPr>
              <w:spacing w:after="160" w:line="259" w:lineRule="auto"/>
              <w:jc w:val="left"/>
              <w:rPr>
                <w:rFonts w:ascii="Calibri" w:hAnsi="Calibri" w:cs="Calibri"/>
              </w:rPr>
            </w:pPr>
          </w:p>
        </w:tc>
        <w:tc>
          <w:tcPr>
            <w:tcW w:w="0" w:type="dxa"/>
          </w:tcPr>
          <w:p w14:paraId="7CC9D7D1" w14:textId="77777777" w:rsidR="00143F90" w:rsidRDefault="00143F90">
            <w:pPr>
              <w:spacing w:after="160" w:line="259" w:lineRule="auto"/>
              <w:jc w:val="left"/>
              <w:rPr>
                <w:rFonts w:ascii="Calibri" w:hAnsi="Calibri" w:cs="Calibri"/>
              </w:rPr>
            </w:pPr>
          </w:p>
        </w:tc>
        <w:tc>
          <w:tcPr>
            <w:tcW w:w="6236" w:type="dxa"/>
          </w:tcPr>
          <w:p w14:paraId="04ED9235" w14:textId="77777777" w:rsidR="00143F90" w:rsidRDefault="00143F90">
            <w:pPr>
              <w:spacing w:after="160" w:line="259" w:lineRule="auto"/>
              <w:jc w:val="left"/>
              <w:rPr>
                <w:rFonts w:ascii="Calibri" w:hAnsi="Calibri" w:cs="Calibri"/>
              </w:rPr>
            </w:pPr>
          </w:p>
        </w:tc>
      </w:tr>
      <w:tr w:rsidR="00143F90" w14:paraId="6ECA1E6E" w14:textId="77777777" w:rsidTr="00C80D73">
        <w:tc>
          <w:tcPr>
            <w:tcW w:w="1293" w:type="dxa"/>
          </w:tcPr>
          <w:p w14:paraId="319D2144" w14:textId="77777777" w:rsidR="00143F90" w:rsidRDefault="00143F90">
            <w:pPr>
              <w:spacing w:after="160" w:line="259" w:lineRule="auto"/>
              <w:jc w:val="left"/>
              <w:rPr>
                <w:rFonts w:ascii="Calibri" w:hAnsi="Calibri" w:cs="Calibri"/>
              </w:rPr>
            </w:pPr>
          </w:p>
        </w:tc>
        <w:tc>
          <w:tcPr>
            <w:tcW w:w="0" w:type="dxa"/>
          </w:tcPr>
          <w:p w14:paraId="71F6651B" w14:textId="77777777" w:rsidR="00143F90" w:rsidRDefault="00143F90">
            <w:pPr>
              <w:spacing w:after="160" w:line="259" w:lineRule="auto"/>
              <w:jc w:val="left"/>
              <w:rPr>
                <w:rFonts w:ascii="Calibri" w:hAnsi="Calibri" w:cs="Calibri"/>
              </w:rPr>
            </w:pPr>
          </w:p>
        </w:tc>
        <w:tc>
          <w:tcPr>
            <w:tcW w:w="6236" w:type="dxa"/>
          </w:tcPr>
          <w:p w14:paraId="7411ED50" w14:textId="77777777" w:rsidR="00143F90" w:rsidRDefault="00143F90">
            <w:pPr>
              <w:spacing w:after="160" w:line="259" w:lineRule="auto"/>
              <w:jc w:val="left"/>
              <w:rPr>
                <w:rFonts w:ascii="Calibri" w:hAnsi="Calibri" w:cs="Calibri"/>
              </w:rPr>
            </w:pPr>
          </w:p>
        </w:tc>
      </w:tr>
      <w:tr w:rsidR="00143F90" w14:paraId="5311D0E6" w14:textId="77777777" w:rsidTr="00C80D73">
        <w:tc>
          <w:tcPr>
            <w:tcW w:w="1293" w:type="dxa"/>
          </w:tcPr>
          <w:p w14:paraId="5AFE5247" w14:textId="77777777" w:rsidR="00143F90" w:rsidRDefault="00143F90">
            <w:pPr>
              <w:spacing w:after="160" w:line="259" w:lineRule="auto"/>
              <w:jc w:val="left"/>
              <w:rPr>
                <w:rFonts w:ascii="Calibri" w:hAnsi="Calibri" w:cs="Calibri"/>
              </w:rPr>
            </w:pPr>
          </w:p>
        </w:tc>
        <w:tc>
          <w:tcPr>
            <w:tcW w:w="0" w:type="dxa"/>
          </w:tcPr>
          <w:p w14:paraId="0AEA12C9" w14:textId="77777777" w:rsidR="00143F90" w:rsidRDefault="00143F90">
            <w:pPr>
              <w:spacing w:after="160" w:line="259" w:lineRule="auto"/>
              <w:jc w:val="left"/>
              <w:rPr>
                <w:rFonts w:ascii="Calibri" w:hAnsi="Calibri" w:cs="Calibri"/>
              </w:rPr>
            </w:pPr>
          </w:p>
        </w:tc>
        <w:tc>
          <w:tcPr>
            <w:tcW w:w="6236" w:type="dxa"/>
          </w:tcPr>
          <w:p w14:paraId="69A7526B" w14:textId="77777777" w:rsidR="00143F90" w:rsidRDefault="00143F90">
            <w:pPr>
              <w:spacing w:after="160" w:line="259" w:lineRule="auto"/>
              <w:jc w:val="left"/>
              <w:rPr>
                <w:rFonts w:ascii="Calibri" w:hAnsi="Calibri" w:cs="Calibri"/>
              </w:rPr>
            </w:pPr>
          </w:p>
        </w:tc>
      </w:tr>
      <w:tr w:rsidR="00143F90" w14:paraId="5F711D17" w14:textId="77777777" w:rsidTr="00C80D73">
        <w:tc>
          <w:tcPr>
            <w:tcW w:w="1293" w:type="dxa"/>
          </w:tcPr>
          <w:p w14:paraId="6D87F552" w14:textId="77777777" w:rsidR="00143F90" w:rsidRDefault="00143F90">
            <w:pPr>
              <w:spacing w:after="160" w:line="259" w:lineRule="auto"/>
              <w:jc w:val="left"/>
              <w:rPr>
                <w:rFonts w:ascii="Calibri" w:hAnsi="Calibri" w:cs="Calibri"/>
              </w:rPr>
            </w:pPr>
          </w:p>
        </w:tc>
        <w:tc>
          <w:tcPr>
            <w:tcW w:w="0" w:type="dxa"/>
          </w:tcPr>
          <w:p w14:paraId="6A018F09" w14:textId="77777777" w:rsidR="00143F90" w:rsidRDefault="00143F90">
            <w:pPr>
              <w:spacing w:after="160" w:line="259" w:lineRule="auto"/>
              <w:jc w:val="left"/>
              <w:rPr>
                <w:rFonts w:ascii="Calibri" w:hAnsi="Calibri" w:cs="Calibri"/>
              </w:rPr>
            </w:pPr>
          </w:p>
        </w:tc>
        <w:tc>
          <w:tcPr>
            <w:tcW w:w="6236" w:type="dxa"/>
          </w:tcPr>
          <w:p w14:paraId="13DB4EF7" w14:textId="77777777" w:rsidR="00143F90" w:rsidRDefault="00143F90">
            <w:pPr>
              <w:spacing w:after="160" w:line="259" w:lineRule="auto"/>
              <w:jc w:val="left"/>
              <w:rPr>
                <w:rFonts w:ascii="Calibri" w:hAnsi="Calibri" w:cs="Calibri"/>
              </w:rPr>
            </w:pPr>
          </w:p>
        </w:tc>
      </w:tr>
    </w:tbl>
    <w:p w14:paraId="49278E20" w14:textId="7C7AFBE7" w:rsidR="00BC1771" w:rsidRDefault="00BC1771">
      <w:pPr>
        <w:spacing w:after="160" w:line="259" w:lineRule="auto"/>
        <w:jc w:val="left"/>
        <w:rPr>
          <w:rFonts w:ascii="Calibri" w:hAnsi="Calibri" w:cs="Calibri"/>
        </w:rPr>
      </w:pPr>
      <w:r>
        <w:rPr>
          <w:rFonts w:ascii="Calibri" w:hAnsi="Calibri" w:cs="Calibri"/>
        </w:rPr>
        <w:br w:type="page"/>
      </w:r>
    </w:p>
    <w:p w14:paraId="1694D498" w14:textId="47DF2566" w:rsidR="00CF3361" w:rsidRPr="002D6D2C" w:rsidRDefault="00CF3361" w:rsidP="00EB68C0">
      <w:pPr>
        <w:pStyle w:val="heading20"/>
        <w:numPr>
          <w:ilvl w:val="0"/>
          <w:numId w:val="0"/>
        </w:numPr>
        <w:outlineLvl w:val="0"/>
        <w:rPr>
          <w:rFonts w:cstheme="majorHAnsi"/>
          <w:szCs w:val="56"/>
        </w:rPr>
      </w:pPr>
      <w:bookmarkStart w:id="5" w:name="_Toc184736026"/>
      <w:r w:rsidRPr="00EB68C0">
        <w:rPr>
          <w:rFonts w:asciiTheme="majorHAnsi" w:hAnsiTheme="majorHAnsi" w:cstheme="majorHAnsi"/>
          <w:color w:val="064276" w:themeColor="accent1"/>
          <w:sz w:val="56"/>
          <w:szCs w:val="56"/>
        </w:rPr>
        <w:lastRenderedPageBreak/>
        <w:t xml:space="preserve">Common </w:t>
      </w:r>
      <w:r w:rsidR="005E1A53" w:rsidRPr="00EB68C0">
        <w:rPr>
          <w:rFonts w:asciiTheme="majorHAnsi" w:hAnsiTheme="majorHAnsi" w:cstheme="majorHAnsi"/>
          <w:color w:val="064276" w:themeColor="accent1"/>
          <w:sz w:val="56"/>
          <w:szCs w:val="56"/>
        </w:rPr>
        <w:t>d</w:t>
      </w:r>
      <w:r w:rsidRPr="00EB68C0">
        <w:rPr>
          <w:rFonts w:asciiTheme="majorHAnsi" w:hAnsiTheme="majorHAnsi" w:cstheme="majorHAnsi"/>
          <w:color w:val="064276" w:themeColor="accent1"/>
          <w:sz w:val="56"/>
          <w:szCs w:val="56"/>
        </w:rPr>
        <w:t>efinitions</w:t>
      </w:r>
      <w:bookmarkEnd w:id="5"/>
    </w:p>
    <w:p w14:paraId="66AC93E6" w14:textId="0403AB2B" w:rsidR="00CF3361" w:rsidRDefault="00CF3361" w:rsidP="00CF3361">
      <w:pPr>
        <w:pStyle w:val="heading20"/>
        <w:numPr>
          <w:ilvl w:val="0"/>
          <w:numId w:val="0"/>
        </w:numPr>
        <w:ind w:left="432" w:hanging="432"/>
        <w:outlineLvl w:val="1"/>
      </w:pPr>
      <w:bookmarkStart w:id="6" w:name="_Toc184736027"/>
      <w:r>
        <w:t xml:space="preserve">Confidence </w:t>
      </w:r>
      <w:r w:rsidR="00EB68C0">
        <w:t>g</w:t>
      </w:r>
      <w:r>
        <w:t>rading</w:t>
      </w:r>
      <w:bookmarkEnd w:id="6"/>
    </w:p>
    <w:p w14:paraId="05B2BFBE" w14:textId="77777777" w:rsidR="00CF3361" w:rsidRDefault="00CF3361" w:rsidP="00CF3361"/>
    <w:p w14:paraId="35727FB1" w14:textId="77777777" w:rsidR="00CF3361" w:rsidRPr="00A8327D" w:rsidRDefault="00CF3361" w:rsidP="00CF3361">
      <w:r w:rsidRPr="00A8327D">
        <w:t xml:space="preserve">The confidence grade system has been developed to provide a reasoned basis for Scottish Water to qualify information in respect to reliability and accuracy. It is essential that proper care and a high level of application is given by </w:t>
      </w:r>
      <w:r>
        <w:t>Scottish Water</w:t>
      </w:r>
      <w:r w:rsidRPr="00A8327D">
        <w:t xml:space="preserve"> to the assignment of confidence grades to data requiring such annexation.</w:t>
      </w:r>
    </w:p>
    <w:p w14:paraId="04996E77" w14:textId="77777777" w:rsidR="00CF3361" w:rsidRPr="00A8327D" w:rsidRDefault="00CF3361" w:rsidP="00CF3361">
      <w:pPr>
        <w:rPr>
          <w:szCs w:val="24"/>
        </w:rPr>
      </w:pPr>
    </w:p>
    <w:p w14:paraId="0D2F7173" w14:textId="77777777" w:rsidR="00CF3361" w:rsidRPr="00A8327D" w:rsidRDefault="00CF3361" w:rsidP="00CF3361">
      <w:pPr>
        <w:rPr>
          <w:szCs w:val="24"/>
        </w:rPr>
      </w:pPr>
      <w:r w:rsidRPr="00A8327D">
        <w:rPr>
          <w:szCs w:val="24"/>
        </w:rPr>
        <w:t>There are two elements to the confidence grades:</w:t>
      </w:r>
    </w:p>
    <w:p w14:paraId="701FEE50" w14:textId="77777777" w:rsidR="00CF3361" w:rsidRPr="00A8327D" w:rsidRDefault="00CF3361" w:rsidP="00CF3361">
      <w:pPr>
        <w:pStyle w:val="Bullet1"/>
      </w:pPr>
      <w:r w:rsidRPr="00A8327D">
        <w:t>Reliability bands (A to D); and</w:t>
      </w:r>
    </w:p>
    <w:p w14:paraId="14067358" w14:textId="77777777" w:rsidR="00CF3361" w:rsidRPr="00F61BE1" w:rsidRDefault="00CF3361" w:rsidP="00CF3361">
      <w:pPr>
        <w:pStyle w:val="Bullet1"/>
      </w:pPr>
      <w:r w:rsidRPr="00A8327D">
        <w:t>Accuracy bands (1 to 6).</w:t>
      </w:r>
    </w:p>
    <w:p w14:paraId="5683A93F" w14:textId="77777777" w:rsidR="00CF3361" w:rsidRPr="00A8327D" w:rsidRDefault="00CF3361" w:rsidP="00CF3361">
      <w:pPr>
        <w:rPr>
          <w:szCs w:val="24"/>
        </w:rPr>
      </w:pPr>
      <w:r w:rsidRPr="00A8327D">
        <w:rPr>
          <w:szCs w:val="24"/>
        </w:rPr>
        <w:t>The reliability bands are assigned according to the source of the information.</w:t>
      </w:r>
    </w:p>
    <w:p w14:paraId="1400AB28" w14:textId="77777777" w:rsidR="00CF3361" w:rsidRPr="00A8327D" w:rsidRDefault="00CF3361" w:rsidP="00CF3361">
      <w:pPr>
        <w:rPr>
          <w:szCs w:val="24"/>
        </w:rPr>
      </w:pPr>
    </w:p>
    <w:tbl>
      <w:tblPr>
        <w:tblStyle w:val="Blueline"/>
        <w:tblW w:w="4942" w:type="pct"/>
        <w:tblLook w:val="04A0" w:firstRow="1" w:lastRow="0" w:firstColumn="1" w:lastColumn="0" w:noHBand="0" w:noVBand="1"/>
      </w:tblPr>
      <w:tblGrid>
        <w:gridCol w:w="1305"/>
        <w:gridCol w:w="8221"/>
      </w:tblGrid>
      <w:tr w:rsidR="00CF3361" w:rsidRPr="00F61BE1" w14:paraId="0898DDDE" w14:textId="77777777">
        <w:trPr>
          <w:cnfStyle w:val="100000000000" w:firstRow="1" w:lastRow="0" w:firstColumn="0" w:lastColumn="0" w:oddVBand="0" w:evenVBand="0" w:oddHBand="0" w:evenHBand="0" w:firstRowFirstColumn="0" w:firstRowLastColumn="0" w:lastRowFirstColumn="0" w:lastRowLastColumn="0"/>
          <w:trHeight w:val="183"/>
        </w:trPr>
        <w:tc>
          <w:tcPr>
            <w:tcW w:w="685" w:type="pct"/>
          </w:tcPr>
          <w:p w14:paraId="78B2EC21" w14:textId="77777777" w:rsidR="00CF3361" w:rsidRPr="00B25A7C" w:rsidRDefault="00CF3361">
            <w:pPr>
              <w:rPr>
                <w:rFonts w:ascii="Calibri" w:hAnsi="Calibri" w:cs="Calibri"/>
                <w:b w:val="0"/>
                <w:szCs w:val="24"/>
                <w:lang w:eastAsia="en-GB"/>
              </w:rPr>
            </w:pPr>
            <w:r w:rsidRPr="00B25A7C">
              <w:rPr>
                <w:rFonts w:ascii="Calibri" w:hAnsi="Calibri" w:cs="Calibri"/>
                <w:szCs w:val="24"/>
                <w:lang w:eastAsia="en-GB"/>
              </w:rPr>
              <w:t>Reliability band</w:t>
            </w:r>
          </w:p>
        </w:tc>
        <w:tc>
          <w:tcPr>
            <w:tcW w:w="4315" w:type="pct"/>
          </w:tcPr>
          <w:p w14:paraId="03199C96" w14:textId="77777777" w:rsidR="00CF3361" w:rsidRPr="00B25A7C" w:rsidRDefault="00CF3361">
            <w:pPr>
              <w:rPr>
                <w:rFonts w:ascii="Calibri" w:hAnsi="Calibri" w:cs="Calibri"/>
                <w:b w:val="0"/>
                <w:szCs w:val="24"/>
                <w:lang w:eastAsia="en-GB"/>
              </w:rPr>
            </w:pPr>
            <w:r w:rsidRPr="00B25A7C">
              <w:rPr>
                <w:rFonts w:ascii="Calibri" w:hAnsi="Calibri" w:cs="Calibri"/>
                <w:szCs w:val="24"/>
                <w:lang w:eastAsia="en-GB"/>
              </w:rPr>
              <w:t>Description</w:t>
            </w:r>
          </w:p>
        </w:tc>
      </w:tr>
      <w:tr w:rsidR="00CF3361" w:rsidRPr="00F61BE1" w14:paraId="61CDA46C" w14:textId="77777777">
        <w:trPr>
          <w:trHeight w:val="183"/>
        </w:trPr>
        <w:tc>
          <w:tcPr>
            <w:tcW w:w="685" w:type="pct"/>
          </w:tcPr>
          <w:p w14:paraId="6B844A0A"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A</w:t>
            </w:r>
          </w:p>
        </w:tc>
        <w:tc>
          <w:tcPr>
            <w:tcW w:w="4315" w:type="pct"/>
          </w:tcPr>
          <w:p w14:paraId="4D1961E6"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Sound textual records, procedures, investigations or analysis properly documented and recognised as the best method of assessment.</w:t>
            </w:r>
          </w:p>
        </w:tc>
      </w:tr>
      <w:tr w:rsidR="00CF3361" w:rsidRPr="00F61BE1" w14:paraId="39530730" w14:textId="77777777">
        <w:trPr>
          <w:trHeight w:val="183"/>
        </w:trPr>
        <w:tc>
          <w:tcPr>
            <w:tcW w:w="685" w:type="pct"/>
          </w:tcPr>
          <w:p w14:paraId="2929A458"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B</w:t>
            </w:r>
          </w:p>
        </w:tc>
        <w:tc>
          <w:tcPr>
            <w:tcW w:w="4315" w:type="pct"/>
          </w:tcPr>
          <w:p w14:paraId="3D928708"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As A but with minor shortcomings. Examples include old assessment, some missing documentation, some reliance on unconfirmed reports, some use of extrapolation.</w:t>
            </w:r>
          </w:p>
        </w:tc>
      </w:tr>
      <w:tr w:rsidR="00CF3361" w:rsidRPr="00F61BE1" w14:paraId="0CE5AD86" w14:textId="77777777">
        <w:trPr>
          <w:trHeight w:val="183"/>
        </w:trPr>
        <w:tc>
          <w:tcPr>
            <w:tcW w:w="685" w:type="pct"/>
          </w:tcPr>
          <w:p w14:paraId="414788A4"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C</w:t>
            </w:r>
          </w:p>
        </w:tc>
        <w:tc>
          <w:tcPr>
            <w:tcW w:w="4315" w:type="pct"/>
          </w:tcPr>
          <w:p w14:paraId="7051CB00"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Extrapolation from limited sample for which Grade A or B data is available.</w:t>
            </w:r>
          </w:p>
        </w:tc>
      </w:tr>
      <w:tr w:rsidR="00CF3361" w:rsidRPr="00F61BE1" w14:paraId="7FD311A6" w14:textId="77777777">
        <w:trPr>
          <w:trHeight w:val="183"/>
        </w:trPr>
        <w:tc>
          <w:tcPr>
            <w:tcW w:w="685" w:type="pct"/>
          </w:tcPr>
          <w:p w14:paraId="623E9E28"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D</w:t>
            </w:r>
          </w:p>
        </w:tc>
        <w:tc>
          <w:tcPr>
            <w:tcW w:w="4315" w:type="pct"/>
          </w:tcPr>
          <w:p w14:paraId="17465261" w14:textId="77777777" w:rsidR="00CF3361" w:rsidRPr="00B25A7C" w:rsidRDefault="00CF3361">
            <w:pPr>
              <w:rPr>
                <w:rFonts w:ascii="Calibri" w:hAnsi="Calibri" w:cs="Calibri"/>
                <w:szCs w:val="24"/>
                <w:lang w:eastAsia="en-GB"/>
              </w:rPr>
            </w:pPr>
            <w:r w:rsidRPr="00B25A7C">
              <w:rPr>
                <w:rFonts w:ascii="Calibri" w:hAnsi="Calibri" w:cs="Calibri"/>
                <w:szCs w:val="24"/>
                <w:lang w:eastAsia="en-GB"/>
              </w:rPr>
              <w:t>Unconfirmed verbal reports, cursory inspections or analysis.</w:t>
            </w:r>
          </w:p>
        </w:tc>
      </w:tr>
    </w:tbl>
    <w:p w14:paraId="5F591945" w14:textId="77777777" w:rsidR="00CF3361" w:rsidRPr="00A8327D" w:rsidRDefault="00CF3361" w:rsidP="00CF3361">
      <w:pPr>
        <w:rPr>
          <w:lang w:bidi="en-US"/>
        </w:rPr>
      </w:pPr>
    </w:p>
    <w:p w14:paraId="782B5197" w14:textId="77777777" w:rsidR="00CF3361" w:rsidRPr="00A8327D" w:rsidRDefault="00CF3361" w:rsidP="00CF3361">
      <w:pPr>
        <w:rPr>
          <w:szCs w:val="24"/>
        </w:rPr>
      </w:pPr>
      <w:r w:rsidRPr="00A8327D">
        <w:rPr>
          <w:szCs w:val="24"/>
        </w:rPr>
        <w:t xml:space="preserve">Accuracy bands provide the margin of error around the central estimate. </w:t>
      </w:r>
    </w:p>
    <w:p w14:paraId="30E612C8" w14:textId="77777777" w:rsidR="00CF3361" w:rsidRPr="00A8327D" w:rsidRDefault="00CF3361" w:rsidP="00CF3361">
      <w:pPr>
        <w:rPr>
          <w:szCs w:val="24"/>
        </w:rPr>
      </w:pPr>
    </w:p>
    <w:tbl>
      <w:tblPr>
        <w:tblStyle w:val="Blueline"/>
        <w:tblW w:w="0" w:type="auto"/>
        <w:tblLook w:val="0000" w:firstRow="0" w:lastRow="0" w:firstColumn="0" w:lastColumn="0" w:noHBand="0" w:noVBand="0"/>
      </w:tblPr>
      <w:tblGrid>
        <w:gridCol w:w="1985"/>
        <w:gridCol w:w="4473"/>
        <w:gridCol w:w="3180"/>
      </w:tblGrid>
      <w:tr w:rsidR="00CF3361" w:rsidRPr="00B25A7C" w14:paraId="755B72AB" w14:textId="77777777">
        <w:trPr>
          <w:trHeight w:val="768"/>
        </w:trPr>
        <w:tc>
          <w:tcPr>
            <w:tcW w:w="1985" w:type="dxa"/>
            <w:vAlign w:val="center"/>
          </w:tcPr>
          <w:p w14:paraId="056B3F21"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lastRenderedPageBreak/>
              <w:t>Accuracy band</w:t>
            </w:r>
          </w:p>
        </w:tc>
        <w:tc>
          <w:tcPr>
            <w:tcW w:w="4473" w:type="dxa"/>
            <w:vAlign w:val="center"/>
          </w:tcPr>
          <w:p w14:paraId="7E617880"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t>Accuracy to or within +/-</w:t>
            </w:r>
          </w:p>
        </w:tc>
        <w:tc>
          <w:tcPr>
            <w:tcW w:w="0" w:type="auto"/>
            <w:vAlign w:val="center"/>
          </w:tcPr>
          <w:p w14:paraId="7C58CA72"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t>but outside +/-</w:t>
            </w:r>
          </w:p>
        </w:tc>
      </w:tr>
      <w:tr w:rsidR="00CF3361" w:rsidRPr="00B25A7C" w14:paraId="0BFCBC6F" w14:textId="77777777">
        <w:trPr>
          <w:trHeight w:val="422"/>
        </w:trPr>
        <w:tc>
          <w:tcPr>
            <w:tcW w:w="1985" w:type="dxa"/>
          </w:tcPr>
          <w:p w14:paraId="504B02AE"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w:t>
            </w:r>
          </w:p>
        </w:tc>
        <w:tc>
          <w:tcPr>
            <w:tcW w:w="4473" w:type="dxa"/>
          </w:tcPr>
          <w:p w14:paraId="68B2B117"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w:t>
            </w:r>
          </w:p>
        </w:tc>
        <w:tc>
          <w:tcPr>
            <w:tcW w:w="0" w:type="auto"/>
          </w:tcPr>
          <w:p w14:paraId="2A409E11"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w:t>
            </w:r>
          </w:p>
        </w:tc>
      </w:tr>
      <w:tr w:rsidR="00CF3361" w:rsidRPr="00B25A7C" w14:paraId="1FA05D16" w14:textId="77777777">
        <w:trPr>
          <w:trHeight w:val="374"/>
        </w:trPr>
        <w:tc>
          <w:tcPr>
            <w:tcW w:w="1985" w:type="dxa"/>
          </w:tcPr>
          <w:p w14:paraId="79D5A206"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2</w:t>
            </w:r>
          </w:p>
        </w:tc>
        <w:tc>
          <w:tcPr>
            <w:tcW w:w="4473" w:type="dxa"/>
          </w:tcPr>
          <w:p w14:paraId="13B5A6C2"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5%</w:t>
            </w:r>
          </w:p>
        </w:tc>
        <w:tc>
          <w:tcPr>
            <w:tcW w:w="0" w:type="auto"/>
          </w:tcPr>
          <w:p w14:paraId="3ACB2D9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w:t>
            </w:r>
          </w:p>
        </w:tc>
      </w:tr>
      <w:tr w:rsidR="00CF3361" w:rsidRPr="00B25A7C" w14:paraId="2A79FFF9" w14:textId="77777777">
        <w:trPr>
          <w:trHeight w:val="396"/>
        </w:trPr>
        <w:tc>
          <w:tcPr>
            <w:tcW w:w="1985" w:type="dxa"/>
          </w:tcPr>
          <w:p w14:paraId="661FD20F"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3</w:t>
            </w:r>
          </w:p>
        </w:tc>
        <w:tc>
          <w:tcPr>
            <w:tcW w:w="4473" w:type="dxa"/>
          </w:tcPr>
          <w:p w14:paraId="6DCA64B6"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10%</w:t>
            </w:r>
          </w:p>
        </w:tc>
        <w:tc>
          <w:tcPr>
            <w:tcW w:w="0" w:type="auto"/>
          </w:tcPr>
          <w:p w14:paraId="08867D1A"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5%</w:t>
            </w:r>
          </w:p>
        </w:tc>
      </w:tr>
      <w:tr w:rsidR="00CF3361" w:rsidRPr="00B25A7C" w14:paraId="0BDFF4C8" w14:textId="77777777">
        <w:trPr>
          <w:trHeight w:val="390"/>
        </w:trPr>
        <w:tc>
          <w:tcPr>
            <w:tcW w:w="1985" w:type="dxa"/>
          </w:tcPr>
          <w:p w14:paraId="255DCFC5"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4</w:t>
            </w:r>
          </w:p>
        </w:tc>
        <w:tc>
          <w:tcPr>
            <w:tcW w:w="4473" w:type="dxa"/>
          </w:tcPr>
          <w:p w14:paraId="1AF88A0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25%</w:t>
            </w:r>
          </w:p>
        </w:tc>
        <w:tc>
          <w:tcPr>
            <w:tcW w:w="0" w:type="auto"/>
          </w:tcPr>
          <w:p w14:paraId="4BD37FF0"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10%</w:t>
            </w:r>
          </w:p>
        </w:tc>
      </w:tr>
      <w:tr w:rsidR="00CF3361" w:rsidRPr="00B25A7C" w14:paraId="5C01C31B" w14:textId="77777777">
        <w:trPr>
          <w:trHeight w:val="503"/>
        </w:trPr>
        <w:tc>
          <w:tcPr>
            <w:tcW w:w="1985" w:type="dxa"/>
          </w:tcPr>
          <w:p w14:paraId="29BE40EC"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5</w:t>
            </w:r>
          </w:p>
        </w:tc>
        <w:tc>
          <w:tcPr>
            <w:tcW w:w="4473" w:type="dxa"/>
          </w:tcPr>
          <w:p w14:paraId="02CD7448"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50%</w:t>
            </w:r>
          </w:p>
        </w:tc>
        <w:tc>
          <w:tcPr>
            <w:tcW w:w="0" w:type="auto"/>
          </w:tcPr>
          <w:p w14:paraId="1EF299C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25%</w:t>
            </w:r>
          </w:p>
        </w:tc>
      </w:tr>
      <w:tr w:rsidR="00CF3361" w:rsidRPr="00B25A7C" w14:paraId="735D4D20" w14:textId="77777777">
        <w:trPr>
          <w:trHeight w:val="570"/>
        </w:trPr>
        <w:tc>
          <w:tcPr>
            <w:tcW w:w="1985" w:type="dxa"/>
          </w:tcPr>
          <w:p w14:paraId="4AA6B78D"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6</w:t>
            </w:r>
          </w:p>
        </w:tc>
        <w:tc>
          <w:tcPr>
            <w:tcW w:w="4473" w:type="dxa"/>
          </w:tcPr>
          <w:p w14:paraId="78DC86C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100%</w:t>
            </w:r>
          </w:p>
        </w:tc>
        <w:tc>
          <w:tcPr>
            <w:tcW w:w="0" w:type="auto"/>
          </w:tcPr>
          <w:p w14:paraId="3F2B18A5"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50%</w:t>
            </w:r>
          </w:p>
        </w:tc>
      </w:tr>
      <w:tr w:rsidR="00CF3361" w:rsidRPr="00B25A7C" w14:paraId="0B699A29" w14:textId="77777777">
        <w:trPr>
          <w:trHeight w:val="524"/>
        </w:trPr>
        <w:tc>
          <w:tcPr>
            <w:tcW w:w="1985" w:type="dxa"/>
          </w:tcPr>
          <w:p w14:paraId="5D64C700"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X</w:t>
            </w:r>
          </w:p>
        </w:tc>
        <w:tc>
          <w:tcPr>
            <w:tcW w:w="7653" w:type="dxa"/>
            <w:gridSpan w:val="2"/>
          </w:tcPr>
          <w:p w14:paraId="7E3326EF"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Accuracy outside +/- 100 %, zero or small numbers or otherwise incompatible, see example below.</w:t>
            </w:r>
          </w:p>
        </w:tc>
      </w:tr>
    </w:tbl>
    <w:p w14:paraId="6D4BC9C5" w14:textId="77777777" w:rsidR="00CF3361" w:rsidRPr="00A8327D" w:rsidRDefault="00CF3361" w:rsidP="00CF3361">
      <w:pPr>
        <w:rPr>
          <w:lang w:bidi="en-US"/>
        </w:rPr>
      </w:pPr>
    </w:p>
    <w:p w14:paraId="0F887139" w14:textId="77777777" w:rsidR="00CF3361" w:rsidRPr="00A8327D" w:rsidRDefault="00CF3361" w:rsidP="00CF3361">
      <w:pPr>
        <w:rPr>
          <w:szCs w:val="24"/>
        </w:rPr>
      </w:pPr>
      <w:r w:rsidRPr="00A8327D">
        <w:rPr>
          <w:szCs w:val="24"/>
        </w:rPr>
        <w:t>The X grade is generally only likely to be appropriate where a zero has been entered.</w:t>
      </w:r>
    </w:p>
    <w:p w14:paraId="006C457E" w14:textId="77777777" w:rsidR="00CF3361" w:rsidRPr="00A8327D" w:rsidRDefault="00CF3361" w:rsidP="00CF3361">
      <w:pPr>
        <w:rPr>
          <w:szCs w:val="24"/>
        </w:rPr>
      </w:pPr>
    </w:p>
    <w:p w14:paraId="54B2A593" w14:textId="77777777" w:rsidR="00CF3361" w:rsidRPr="00A8327D" w:rsidRDefault="00CF3361" w:rsidP="00CF3361">
      <w:pPr>
        <w:rPr>
          <w:szCs w:val="24"/>
        </w:rPr>
      </w:pPr>
      <w:r w:rsidRPr="00A8327D">
        <w:rPr>
          <w:szCs w:val="24"/>
        </w:rPr>
        <w:t>The overall confidence grade is a combination of the reliability and accuracy band. For example:</w:t>
      </w:r>
    </w:p>
    <w:p w14:paraId="6486D816" w14:textId="77777777" w:rsidR="00CF3361" w:rsidRPr="00A8327D" w:rsidRDefault="00CF3361" w:rsidP="00CF3361">
      <w:pPr>
        <w:rPr>
          <w:szCs w:val="24"/>
        </w:rPr>
      </w:pPr>
      <w:r w:rsidRPr="00A8327D">
        <w:rPr>
          <w:szCs w:val="24"/>
        </w:rPr>
        <w:t>A2: Data based on sound records etc. (A, highly reliable) and estimated to be within +/- 5% (accuracy band 2);</w:t>
      </w:r>
    </w:p>
    <w:p w14:paraId="241CA793" w14:textId="77777777" w:rsidR="00CF3361" w:rsidRPr="00A8327D" w:rsidRDefault="00CF3361" w:rsidP="00CF3361">
      <w:pPr>
        <w:rPr>
          <w:szCs w:val="24"/>
        </w:rPr>
      </w:pPr>
      <w:r w:rsidRPr="00A8327D">
        <w:rPr>
          <w:szCs w:val="24"/>
        </w:rPr>
        <w:t xml:space="preserve">C4: Data based on extrapolation from a limited sample (C, unreliable) and estimated to be within +/- 25% (accuracy band 4); </w:t>
      </w:r>
    </w:p>
    <w:p w14:paraId="7A55753C" w14:textId="7881D9D1" w:rsidR="00CF3361" w:rsidRPr="00A8327D" w:rsidRDefault="00CF3361" w:rsidP="00CF3361">
      <w:pPr>
        <w:rPr>
          <w:szCs w:val="24"/>
        </w:rPr>
      </w:pPr>
      <w:r w:rsidRPr="00A8327D">
        <w:rPr>
          <w:szCs w:val="24"/>
        </w:rPr>
        <w:t>AX: Data based on sound records etc. (A, highly reliable) but value too small to calculate any meaningful accuracy percentage</w:t>
      </w:r>
      <w:r w:rsidR="007372DA">
        <w:rPr>
          <w:szCs w:val="24"/>
        </w:rPr>
        <w:t xml:space="preserve"> (accuracy band X)</w:t>
      </w:r>
      <w:r w:rsidRPr="00A8327D">
        <w:rPr>
          <w:szCs w:val="24"/>
        </w:rPr>
        <w:t>.</w:t>
      </w:r>
    </w:p>
    <w:p w14:paraId="3B7F7FE6" w14:textId="77777777" w:rsidR="00CF3361" w:rsidRPr="00A8327D" w:rsidRDefault="00CF3361" w:rsidP="00CF3361">
      <w:pPr>
        <w:rPr>
          <w:szCs w:val="24"/>
        </w:rPr>
      </w:pPr>
    </w:p>
    <w:p w14:paraId="255A7332" w14:textId="77777777" w:rsidR="00CF3361" w:rsidRPr="00A8327D" w:rsidRDefault="00CF3361" w:rsidP="00CF3361">
      <w:pPr>
        <w:rPr>
          <w:szCs w:val="24"/>
        </w:rPr>
      </w:pPr>
      <w:r w:rsidRPr="00A8327D">
        <w:rPr>
          <w:szCs w:val="24"/>
        </w:rPr>
        <w:t xml:space="preserve">The table below provides a list of compatible confidence grades. </w:t>
      </w:r>
    </w:p>
    <w:p w14:paraId="1A021A6F" w14:textId="77777777" w:rsidR="00CF3361" w:rsidRPr="00A8327D" w:rsidRDefault="00CF3361" w:rsidP="00CF3361">
      <w:pPr>
        <w:rPr>
          <w:szCs w:val="24"/>
        </w:rPr>
      </w:pPr>
    </w:p>
    <w:tbl>
      <w:tblPr>
        <w:tblStyle w:val="Blueline"/>
        <w:tblW w:w="4983" w:type="pct"/>
        <w:tblLayout w:type="fixed"/>
        <w:tblLook w:val="0000" w:firstRow="0" w:lastRow="0" w:firstColumn="0" w:lastColumn="0" w:noHBand="0" w:noVBand="0"/>
      </w:tblPr>
      <w:tblGrid>
        <w:gridCol w:w="1983"/>
        <w:gridCol w:w="1906"/>
        <w:gridCol w:w="1906"/>
        <w:gridCol w:w="1906"/>
        <w:gridCol w:w="1904"/>
      </w:tblGrid>
      <w:tr w:rsidR="00CF3361" w:rsidRPr="00B25A7C" w14:paraId="325A6654" w14:textId="77777777">
        <w:trPr>
          <w:trHeight w:val="433"/>
        </w:trPr>
        <w:tc>
          <w:tcPr>
            <w:tcW w:w="0" w:type="pct"/>
            <w:gridSpan w:val="5"/>
            <w:vAlign w:val="center"/>
          </w:tcPr>
          <w:p w14:paraId="5DBCE2EC"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lastRenderedPageBreak/>
              <w:t>Compatible confidence grades</w:t>
            </w:r>
          </w:p>
        </w:tc>
      </w:tr>
      <w:tr w:rsidR="00CF3361" w:rsidRPr="00B25A7C" w14:paraId="136773A4" w14:textId="77777777">
        <w:trPr>
          <w:trHeight w:val="401"/>
        </w:trPr>
        <w:tc>
          <w:tcPr>
            <w:tcW w:w="1033" w:type="pct"/>
            <w:vAlign w:val="center"/>
          </w:tcPr>
          <w:p w14:paraId="51148240"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t>Accuracy band</w:t>
            </w:r>
          </w:p>
        </w:tc>
        <w:tc>
          <w:tcPr>
            <w:tcW w:w="3967" w:type="pct"/>
            <w:gridSpan w:val="4"/>
            <w:vAlign w:val="center"/>
          </w:tcPr>
          <w:p w14:paraId="1AD5B402" w14:textId="77777777" w:rsidR="00CF3361" w:rsidRPr="00EE63ED" w:rsidRDefault="00CF3361">
            <w:pPr>
              <w:keepNext/>
              <w:keepLines/>
              <w:jc w:val="center"/>
              <w:rPr>
                <w:rFonts w:ascii="Calibri" w:hAnsi="Calibri" w:cs="Calibri"/>
                <w:b/>
                <w:color w:val="064276" w:themeColor="text2"/>
                <w:szCs w:val="24"/>
                <w:lang w:eastAsia="en-GB"/>
              </w:rPr>
            </w:pPr>
            <w:r w:rsidRPr="00EE63ED">
              <w:rPr>
                <w:rFonts w:ascii="Calibri" w:hAnsi="Calibri" w:cs="Calibri"/>
                <w:b/>
                <w:color w:val="064276" w:themeColor="text2"/>
                <w:szCs w:val="24"/>
                <w:lang w:eastAsia="en-GB"/>
              </w:rPr>
              <w:t>Reliability band</w:t>
            </w:r>
          </w:p>
        </w:tc>
      </w:tr>
      <w:tr w:rsidR="00CF3361" w:rsidRPr="00B25A7C" w14:paraId="5A7DAD93" w14:textId="77777777">
        <w:trPr>
          <w:trHeight w:val="450"/>
        </w:trPr>
        <w:tc>
          <w:tcPr>
            <w:tcW w:w="1033" w:type="pct"/>
            <w:tcBorders>
              <w:right w:val="single" w:sz="4" w:space="0" w:color="auto"/>
            </w:tcBorders>
            <w:vAlign w:val="center"/>
          </w:tcPr>
          <w:p w14:paraId="02CC15ED" w14:textId="77777777" w:rsidR="00CF3361" w:rsidRPr="00B25A7C" w:rsidRDefault="00CF3361">
            <w:pPr>
              <w:keepNext/>
              <w:keepLines/>
              <w:spacing w:after="100" w:afterAutospacing="1"/>
              <w:jc w:val="center"/>
              <w:rPr>
                <w:rFonts w:ascii="Calibri" w:hAnsi="Calibri" w:cs="Calibri"/>
                <w:szCs w:val="24"/>
                <w:lang w:bidi="en-US"/>
              </w:rPr>
            </w:pPr>
          </w:p>
        </w:tc>
        <w:tc>
          <w:tcPr>
            <w:tcW w:w="992" w:type="pct"/>
            <w:tcBorders>
              <w:left w:val="single" w:sz="4" w:space="0" w:color="auto"/>
              <w:bottom w:val="single" w:sz="4" w:space="0" w:color="auto"/>
            </w:tcBorders>
            <w:vAlign w:val="center"/>
          </w:tcPr>
          <w:p w14:paraId="6A71D32D"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A</w:t>
            </w:r>
          </w:p>
        </w:tc>
        <w:tc>
          <w:tcPr>
            <w:tcW w:w="992" w:type="pct"/>
            <w:tcBorders>
              <w:bottom w:val="single" w:sz="4" w:space="0" w:color="auto"/>
            </w:tcBorders>
            <w:vAlign w:val="center"/>
          </w:tcPr>
          <w:p w14:paraId="2BBF5A64"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B</w:t>
            </w:r>
          </w:p>
        </w:tc>
        <w:tc>
          <w:tcPr>
            <w:tcW w:w="992" w:type="pct"/>
            <w:tcBorders>
              <w:bottom w:val="single" w:sz="4" w:space="0" w:color="auto"/>
            </w:tcBorders>
            <w:vAlign w:val="center"/>
          </w:tcPr>
          <w:p w14:paraId="66FB6E2A"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C</w:t>
            </w:r>
          </w:p>
        </w:tc>
        <w:tc>
          <w:tcPr>
            <w:tcW w:w="992" w:type="pct"/>
            <w:tcBorders>
              <w:bottom w:val="single" w:sz="4" w:space="0" w:color="auto"/>
            </w:tcBorders>
            <w:vAlign w:val="center"/>
          </w:tcPr>
          <w:p w14:paraId="56BE382B"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D</w:t>
            </w:r>
          </w:p>
        </w:tc>
      </w:tr>
      <w:tr w:rsidR="00CF3361" w:rsidRPr="00B25A7C" w14:paraId="7327339E" w14:textId="77777777" w:rsidTr="00F369ED">
        <w:trPr>
          <w:trHeight w:val="450"/>
        </w:trPr>
        <w:tc>
          <w:tcPr>
            <w:tcW w:w="0" w:type="pct"/>
            <w:tcBorders>
              <w:right w:val="single" w:sz="4" w:space="0" w:color="auto"/>
            </w:tcBorders>
            <w:vAlign w:val="center"/>
          </w:tcPr>
          <w:p w14:paraId="2278C615"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1</w:t>
            </w:r>
          </w:p>
        </w:tc>
        <w:tc>
          <w:tcPr>
            <w:tcW w:w="0" w:type="pct"/>
            <w:tcBorders>
              <w:top w:val="single" w:sz="4" w:space="0" w:color="auto"/>
              <w:left w:val="single" w:sz="4" w:space="0" w:color="auto"/>
            </w:tcBorders>
            <w:vAlign w:val="center"/>
          </w:tcPr>
          <w:p w14:paraId="0E53D9C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A1</w:t>
            </w:r>
          </w:p>
        </w:tc>
        <w:tc>
          <w:tcPr>
            <w:tcW w:w="0" w:type="pct"/>
            <w:tcBorders>
              <w:top w:val="single" w:sz="4" w:space="0" w:color="auto"/>
            </w:tcBorders>
            <w:shd w:val="clear" w:color="auto" w:fill="BFBFBF" w:themeFill="background1" w:themeFillShade="BF"/>
            <w:vAlign w:val="center"/>
          </w:tcPr>
          <w:p w14:paraId="41D5E847" w14:textId="77777777" w:rsidR="00CF3361" w:rsidRPr="00B25A7C" w:rsidRDefault="00CF3361">
            <w:pPr>
              <w:keepNext/>
              <w:keepLines/>
              <w:spacing w:after="100" w:afterAutospacing="1"/>
              <w:jc w:val="center"/>
              <w:rPr>
                <w:rFonts w:ascii="Calibri" w:hAnsi="Calibri" w:cs="Calibri"/>
                <w:szCs w:val="24"/>
                <w:lang w:bidi="en-US"/>
              </w:rPr>
            </w:pPr>
          </w:p>
        </w:tc>
        <w:tc>
          <w:tcPr>
            <w:tcW w:w="0" w:type="pct"/>
            <w:tcBorders>
              <w:top w:val="single" w:sz="4" w:space="0" w:color="auto"/>
            </w:tcBorders>
            <w:shd w:val="clear" w:color="auto" w:fill="BFBFBF" w:themeFill="background1" w:themeFillShade="BF"/>
            <w:vAlign w:val="center"/>
          </w:tcPr>
          <w:p w14:paraId="463CCED9" w14:textId="77777777" w:rsidR="00CF3361" w:rsidRPr="00B25A7C" w:rsidRDefault="00CF3361">
            <w:pPr>
              <w:keepNext/>
              <w:keepLines/>
              <w:spacing w:after="100" w:afterAutospacing="1"/>
              <w:jc w:val="center"/>
              <w:rPr>
                <w:rFonts w:ascii="Calibri" w:hAnsi="Calibri" w:cs="Calibri"/>
                <w:szCs w:val="24"/>
                <w:lang w:bidi="en-US"/>
              </w:rPr>
            </w:pPr>
          </w:p>
        </w:tc>
        <w:tc>
          <w:tcPr>
            <w:tcW w:w="0" w:type="pct"/>
            <w:tcBorders>
              <w:top w:val="single" w:sz="4" w:space="0" w:color="auto"/>
            </w:tcBorders>
            <w:shd w:val="clear" w:color="auto" w:fill="BFBFBF" w:themeFill="background1" w:themeFillShade="BF"/>
            <w:vAlign w:val="center"/>
          </w:tcPr>
          <w:p w14:paraId="25D8399E" w14:textId="77777777" w:rsidR="00CF3361" w:rsidRPr="00B25A7C" w:rsidRDefault="00CF3361">
            <w:pPr>
              <w:keepNext/>
              <w:keepLines/>
              <w:spacing w:after="100" w:afterAutospacing="1"/>
              <w:jc w:val="center"/>
              <w:rPr>
                <w:rFonts w:ascii="Calibri" w:hAnsi="Calibri" w:cs="Calibri"/>
                <w:szCs w:val="24"/>
                <w:lang w:bidi="en-US"/>
              </w:rPr>
            </w:pPr>
          </w:p>
        </w:tc>
      </w:tr>
      <w:tr w:rsidR="00CF3361" w:rsidRPr="00B25A7C" w14:paraId="6F98FFCE" w14:textId="77777777" w:rsidTr="00F369ED">
        <w:trPr>
          <w:trHeight w:val="450"/>
        </w:trPr>
        <w:tc>
          <w:tcPr>
            <w:tcW w:w="0" w:type="pct"/>
            <w:tcBorders>
              <w:right w:val="single" w:sz="4" w:space="0" w:color="auto"/>
            </w:tcBorders>
            <w:vAlign w:val="center"/>
          </w:tcPr>
          <w:p w14:paraId="41F430B4"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2</w:t>
            </w:r>
          </w:p>
        </w:tc>
        <w:tc>
          <w:tcPr>
            <w:tcW w:w="0" w:type="pct"/>
            <w:tcBorders>
              <w:left w:val="single" w:sz="4" w:space="0" w:color="auto"/>
            </w:tcBorders>
            <w:vAlign w:val="center"/>
          </w:tcPr>
          <w:p w14:paraId="4FFD506B"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A2</w:t>
            </w:r>
          </w:p>
        </w:tc>
        <w:tc>
          <w:tcPr>
            <w:tcW w:w="0" w:type="pct"/>
            <w:vAlign w:val="center"/>
          </w:tcPr>
          <w:p w14:paraId="4402E958"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B2</w:t>
            </w:r>
          </w:p>
        </w:tc>
        <w:tc>
          <w:tcPr>
            <w:tcW w:w="0" w:type="pct"/>
            <w:vAlign w:val="center"/>
          </w:tcPr>
          <w:p w14:paraId="3EBEB1F5"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C2</w:t>
            </w:r>
          </w:p>
        </w:tc>
        <w:tc>
          <w:tcPr>
            <w:tcW w:w="0" w:type="pct"/>
            <w:shd w:val="clear" w:color="auto" w:fill="BFBFBF" w:themeFill="background1" w:themeFillShade="BF"/>
            <w:vAlign w:val="center"/>
          </w:tcPr>
          <w:p w14:paraId="34BDC771" w14:textId="77777777" w:rsidR="00CF3361" w:rsidRPr="00B25A7C" w:rsidRDefault="00CF3361">
            <w:pPr>
              <w:keepNext/>
              <w:keepLines/>
              <w:spacing w:after="100" w:afterAutospacing="1"/>
              <w:jc w:val="center"/>
              <w:rPr>
                <w:rFonts w:ascii="Calibri" w:hAnsi="Calibri" w:cs="Calibri"/>
                <w:szCs w:val="24"/>
                <w:lang w:bidi="en-US"/>
              </w:rPr>
            </w:pPr>
          </w:p>
        </w:tc>
      </w:tr>
      <w:tr w:rsidR="00CF3361" w:rsidRPr="00B25A7C" w14:paraId="2AEBBEDB" w14:textId="77777777">
        <w:trPr>
          <w:trHeight w:val="450"/>
        </w:trPr>
        <w:tc>
          <w:tcPr>
            <w:tcW w:w="1033" w:type="pct"/>
            <w:tcBorders>
              <w:right w:val="single" w:sz="4" w:space="0" w:color="auto"/>
            </w:tcBorders>
            <w:vAlign w:val="center"/>
          </w:tcPr>
          <w:p w14:paraId="5B9A8628"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3</w:t>
            </w:r>
          </w:p>
        </w:tc>
        <w:tc>
          <w:tcPr>
            <w:tcW w:w="992" w:type="pct"/>
            <w:tcBorders>
              <w:left w:val="single" w:sz="4" w:space="0" w:color="auto"/>
            </w:tcBorders>
            <w:vAlign w:val="center"/>
          </w:tcPr>
          <w:p w14:paraId="5219A457"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A3</w:t>
            </w:r>
          </w:p>
        </w:tc>
        <w:tc>
          <w:tcPr>
            <w:tcW w:w="992" w:type="pct"/>
            <w:vAlign w:val="center"/>
          </w:tcPr>
          <w:p w14:paraId="3CC28874"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B3</w:t>
            </w:r>
          </w:p>
        </w:tc>
        <w:tc>
          <w:tcPr>
            <w:tcW w:w="992" w:type="pct"/>
            <w:vAlign w:val="center"/>
          </w:tcPr>
          <w:p w14:paraId="0DF9A4BB"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C3</w:t>
            </w:r>
          </w:p>
        </w:tc>
        <w:tc>
          <w:tcPr>
            <w:tcW w:w="992" w:type="pct"/>
            <w:vAlign w:val="center"/>
          </w:tcPr>
          <w:p w14:paraId="3D316490"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D3</w:t>
            </w:r>
          </w:p>
        </w:tc>
      </w:tr>
      <w:tr w:rsidR="00CF3361" w:rsidRPr="00B25A7C" w14:paraId="354AA742" w14:textId="77777777">
        <w:trPr>
          <w:trHeight w:val="450"/>
        </w:trPr>
        <w:tc>
          <w:tcPr>
            <w:tcW w:w="1033" w:type="pct"/>
            <w:tcBorders>
              <w:right w:val="single" w:sz="4" w:space="0" w:color="auto"/>
            </w:tcBorders>
            <w:vAlign w:val="center"/>
          </w:tcPr>
          <w:p w14:paraId="3105A988"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4</w:t>
            </w:r>
          </w:p>
        </w:tc>
        <w:tc>
          <w:tcPr>
            <w:tcW w:w="992" w:type="pct"/>
            <w:tcBorders>
              <w:left w:val="single" w:sz="4" w:space="0" w:color="auto"/>
            </w:tcBorders>
            <w:vAlign w:val="center"/>
          </w:tcPr>
          <w:p w14:paraId="4145954E"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A4</w:t>
            </w:r>
          </w:p>
        </w:tc>
        <w:tc>
          <w:tcPr>
            <w:tcW w:w="992" w:type="pct"/>
            <w:vAlign w:val="center"/>
          </w:tcPr>
          <w:p w14:paraId="257DB571"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B4</w:t>
            </w:r>
          </w:p>
        </w:tc>
        <w:tc>
          <w:tcPr>
            <w:tcW w:w="992" w:type="pct"/>
            <w:vAlign w:val="center"/>
          </w:tcPr>
          <w:p w14:paraId="62A67D4D"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C4</w:t>
            </w:r>
          </w:p>
        </w:tc>
        <w:tc>
          <w:tcPr>
            <w:tcW w:w="992" w:type="pct"/>
            <w:vAlign w:val="center"/>
          </w:tcPr>
          <w:p w14:paraId="2821D73A"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D4</w:t>
            </w:r>
          </w:p>
        </w:tc>
      </w:tr>
      <w:tr w:rsidR="00CF3361" w:rsidRPr="00B25A7C" w14:paraId="0C6D0EC8" w14:textId="77777777" w:rsidTr="00F369ED">
        <w:trPr>
          <w:trHeight w:val="450"/>
        </w:trPr>
        <w:tc>
          <w:tcPr>
            <w:tcW w:w="0" w:type="pct"/>
            <w:tcBorders>
              <w:right w:val="single" w:sz="4" w:space="0" w:color="auto"/>
            </w:tcBorders>
            <w:vAlign w:val="center"/>
          </w:tcPr>
          <w:p w14:paraId="0BFF6AFE"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5</w:t>
            </w:r>
          </w:p>
        </w:tc>
        <w:tc>
          <w:tcPr>
            <w:tcW w:w="0" w:type="pct"/>
            <w:tcBorders>
              <w:left w:val="single" w:sz="4" w:space="0" w:color="auto"/>
            </w:tcBorders>
            <w:shd w:val="clear" w:color="auto" w:fill="BFBFBF" w:themeFill="background1" w:themeFillShade="BF"/>
            <w:vAlign w:val="center"/>
          </w:tcPr>
          <w:p w14:paraId="60B847D8" w14:textId="77777777" w:rsidR="00CF3361" w:rsidRPr="00B25A7C" w:rsidRDefault="00CF3361">
            <w:pPr>
              <w:keepNext/>
              <w:keepLines/>
              <w:spacing w:after="100" w:afterAutospacing="1"/>
              <w:jc w:val="center"/>
              <w:rPr>
                <w:rFonts w:ascii="Calibri" w:hAnsi="Calibri" w:cs="Calibri"/>
                <w:szCs w:val="24"/>
                <w:lang w:bidi="en-US"/>
              </w:rPr>
            </w:pPr>
          </w:p>
        </w:tc>
        <w:tc>
          <w:tcPr>
            <w:tcW w:w="0" w:type="pct"/>
            <w:shd w:val="clear" w:color="auto" w:fill="BFBFBF" w:themeFill="background1" w:themeFillShade="BF"/>
            <w:vAlign w:val="center"/>
          </w:tcPr>
          <w:p w14:paraId="18A924CE" w14:textId="77777777" w:rsidR="00CF3361" w:rsidRPr="00B25A7C" w:rsidRDefault="00CF3361">
            <w:pPr>
              <w:keepNext/>
              <w:keepLines/>
              <w:spacing w:after="100" w:afterAutospacing="1"/>
              <w:jc w:val="center"/>
              <w:rPr>
                <w:rFonts w:ascii="Calibri" w:hAnsi="Calibri" w:cs="Calibri"/>
                <w:szCs w:val="24"/>
                <w:lang w:bidi="en-US"/>
              </w:rPr>
            </w:pPr>
          </w:p>
        </w:tc>
        <w:tc>
          <w:tcPr>
            <w:tcW w:w="0" w:type="pct"/>
            <w:vAlign w:val="center"/>
          </w:tcPr>
          <w:p w14:paraId="2BF5A590"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C5</w:t>
            </w:r>
          </w:p>
        </w:tc>
        <w:tc>
          <w:tcPr>
            <w:tcW w:w="0" w:type="pct"/>
            <w:vAlign w:val="center"/>
          </w:tcPr>
          <w:p w14:paraId="09DD5E08"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D5</w:t>
            </w:r>
          </w:p>
        </w:tc>
      </w:tr>
      <w:tr w:rsidR="00CF3361" w:rsidRPr="00B25A7C" w14:paraId="660DC2A1" w14:textId="77777777" w:rsidTr="00F369ED">
        <w:trPr>
          <w:trHeight w:val="450"/>
        </w:trPr>
        <w:tc>
          <w:tcPr>
            <w:tcW w:w="0" w:type="pct"/>
            <w:tcBorders>
              <w:right w:val="single" w:sz="4" w:space="0" w:color="auto"/>
            </w:tcBorders>
            <w:vAlign w:val="center"/>
          </w:tcPr>
          <w:p w14:paraId="4EDCD922"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6</w:t>
            </w:r>
          </w:p>
        </w:tc>
        <w:tc>
          <w:tcPr>
            <w:tcW w:w="0" w:type="pct"/>
            <w:tcBorders>
              <w:left w:val="single" w:sz="4" w:space="0" w:color="auto"/>
            </w:tcBorders>
            <w:shd w:val="clear" w:color="auto" w:fill="BFBFBF" w:themeFill="background1" w:themeFillShade="BF"/>
            <w:vAlign w:val="center"/>
          </w:tcPr>
          <w:p w14:paraId="0982DC53" w14:textId="77777777" w:rsidR="00CF3361" w:rsidRPr="00B25A7C" w:rsidRDefault="00CF3361">
            <w:pPr>
              <w:keepNext/>
              <w:keepLines/>
              <w:spacing w:after="100" w:afterAutospacing="1"/>
              <w:jc w:val="center"/>
              <w:rPr>
                <w:rFonts w:ascii="Calibri" w:hAnsi="Calibri" w:cs="Calibri"/>
                <w:szCs w:val="24"/>
                <w:lang w:bidi="en-US"/>
              </w:rPr>
            </w:pPr>
          </w:p>
        </w:tc>
        <w:tc>
          <w:tcPr>
            <w:tcW w:w="0" w:type="pct"/>
            <w:shd w:val="clear" w:color="auto" w:fill="BFBFBF" w:themeFill="background1" w:themeFillShade="BF"/>
            <w:vAlign w:val="center"/>
          </w:tcPr>
          <w:p w14:paraId="7C4B1000" w14:textId="77777777" w:rsidR="00CF3361" w:rsidRPr="00B25A7C" w:rsidRDefault="00CF3361">
            <w:pPr>
              <w:keepNext/>
              <w:keepLines/>
              <w:spacing w:after="100" w:afterAutospacing="1"/>
              <w:jc w:val="center"/>
              <w:rPr>
                <w:rFonts w:ascii="Calibri" w:hAnsi="Calibri" w:cs="Calibri"/>
                <w:szCs w:val="24"/>
                <w:lang w:bidi="en-US"/>
              </w:rPr>
            </w:pPr>
          </w:p>
        </w:tc>
        <w:tc>
          <w:tcPr>
            <w:tcW w:w="0" w:type="pct"/>
            <w:shd w:val="clear" w:color="auto" w:fill="BFBFBF" w:themeFill="background1" w:themeFillShade="BF"/>
            <w:vAlign w:val="center"/>
          </w:tcPr>
          <w:p w14:paraId="66B1C483" w14:textId="77777777" w:rsidR="00CF3361" w:rsidRPr="00B25A7C" w:rsidRDefault="00CF3361">
            <w:pPr>
              <w:keepNext/>
              <w:keepLines/>
              <w:spacing w:after="100" w:afterAutospacing="1"/>
              <w:jc w:val="center"/>
              <w:rPr>
                <w:rFonts w:ascii="Calibri" w:hAnsi="Calibri" w:cs="Calibri"/>
                <w:szCs w:val="24"/>
                <w:lang w:bidi="en-US"/>
              </w:rPr>
            </w:pPr>
          </w:p>
        </w:tc>
        <w:tc>
          <w:tcPr>
            <w:tcW w:w="0" w:type="pct"/>
            <w:vAlign w:val="center"/>
          </w:tcPr>
          <w:p w14:paraId="4CCCC0D0"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D6</w:t>
            </w:r>
          </w:p>
        </w:tc>
      </w:tr>
      <w:tr w:rsidR="00CF3361" w:rsidRPr="00B25A7C" w14:paraId="1A58A37C" w14:textId="77777777">
        <w:trPr>
          <w:trHeight w:val="450"/>
        </w:trPr>
        <w:tc>
          <w:tcPr>
            <w:tcW w:w="1033" w:type="pct"/>
            <w:tcBorders>
              <w:right w:val="single" w:sz="4" w:space="0" w:color="auto"/>
            </w:tcBorders>
            <w:vAlign w:val="center"/>
          </w:tcPr>
          <w:p w14:paraId="38F076E0" w14:textId="77777777" w:rsidR="00CF3361" w:rsidRPr="00EE63ED" w:rsidRDefault="00CF3361">
            <w:pPr>
              <w:keepNext/>
              <w:keepLines/>
              <w:spacing w:after="100" w:afterAutospacing="1"/>
              <w:jc w:val="center"/>
              <w:rPr>
                <w:rFonts w:ascii="Calibri" w:hAnsi="Calibri" w:cs="Calibri"/>
                <w:b/>
                <w:bCs/>
                <w:szCs w:val="24"/>
                <w:lang w:bidi="en-US"/>
              </w:rPr>
            </w:pPr>
            <w:r w:rsidRPr="00EE63ED">
              <w:rPr>
                <w:rFonts w:ascii="Calibri" w:hAnsi="Calibri" w:cs="Calibri"/>
                <w:b/>
                <w:bCs/>
                <w:szCs w:val="24"/>
                <w:lang w:bidi="en-US"/>
              </w:rPr>
              <w:t>X</w:t>
            </w:r>
          </w:p>
        </w:tc>
        <w:tc>
          <w:tcPr>
            <w:tcW w:w="992" w:type="pct"/>
            <w:tcBorders>
              <w:left w:val="single" w:sz="4" w:space="0" w:color="auto"/>
            </w:tcBorders>
            <w:vAlign w:val="center"/>
          </w:tcPr>
          <w:p w14:paraId="7C0D47C9"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AX</w:t>
            </w:r>
          </w:p>
        </w:tc>
        <w:tc>
          <w:tcPr>
            <w:tcW w:w="992" w:type="pct"/>
            <w:vAlign w:val="center"/>
          </w:tcPr>
          <w:p w14:paraId="2487F71D"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BX</w:t>
            </w:r>
          </w:p>
        </w:tc>
        <w:tc>
          <w:tcPr>
            <w:tcW w:w="992" w:type="pct"/>
            <w:vAlign w:val="center"/>
          </w:tcPr>
          <w:p w14:paraId="0F1FC837"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CX</w:t>
            </w:r>
          </w:p>
        </w:tc>
        <w:tc>
          <w:tcPr>
            <w:tcW w:w="992" w:type="pct"/>
            <w:vAlign w:val="center"/>
          </w:tcPr>
          <w:p w14:paraId="51508DB1" w14:textId="77777777" w:rsidR="00CF3361" w:rsidRPr="00B25A7C" w:rsidRDefault="00CF3361">
            <w:pPr>
              <w:keepNext/>
              <w:keepLines/>
              <w:spacing w:after="100" w:afterAutospacing="1"/>
              <w:jc w:val="center"/>
              <w:rPr>
                <w:rFonts w:ascii="Calibri" w:hAnsi="Calibri" w:cs="Calibri"/>
                <w:szCs w:val="24"/>
                <w:lang w:bidi="en-US"/>
              </w:rPr>
            </w:pPr>
            <w:r w:rsidRPr="00B25A7C">
              <w:rPr>
                <w:rFonts w:ascii="Calibri" w:hAnsi="Calibri" w:cs="Calibri"/>
                <w:szCs w:val="24"/>
                <w:lang w:bidi="en-US"/>
              </w:rPr>
              <w:t>DX</w:t>
            </w:r>
          </w:p>
        </w:tc>
      </w:tr>
    </w:tbl>
    <w:p w14:paraId="558479E7" w14:textId="77777777" w:rsidR="00CF3361" w:rsidRDefault="00CF3361" w:rsidP="00CF3361">
      <w:pPr>
        <w:rPr>
          <w:rFonts w:ascii="Arial" w:hAnsi="Arial" w:cs="Arial"/>
          <w:szCs w:val="24"/>
        </w:rPr>
      </w:pPr>
    </w:p>
    <w:p w14:paraId="5645730D" w14:textId="77777777" w:rsidR="00CF3361" w:rsidRPr="00A8327D" w:rsidRDefault="00CF3361" w:rsidP="00CF3361">
      <w:r w:rsidRPr="00A8327D">
        <w:t>As shown in the table above, certain reliability and accuracy band combinations are incompatible – for example, D1 or D2.</w:t>
      </w:r>
    </w:p>
    <w:p w14:paraId="415B9549" w14:textId="77777777" w:rsidR="00CF3361" w:rsidRPr="002E766A" w:rsidRDefault="00CF3361" w:rsidP="0071730E"/>
    <w:p w14:paraId="717AEA02" w14:textId="77777777" w:rsidR="00CF3361" w:rsidRDefault="00CF3361" w:rsidP="00CF3361">
      <w:pPr>
        <w:pStyle w:val="heading20"/>
        <w:numPr>
          <w:ilvl w:val="0"/>
          <w:numId w:val="0"/>
        </w:numPr>
        <w:ind w:left="432" w:hanging="432"/>
        <w:outlineLvl w:val="1"/>
      </w:pPr>
      <w:bookmarkStart w:id="7" w:name="_Toc184736028"/>
      <w:r>
        <w:t>Scenarios</w:t>
      </w:r>
      <w:bookmarkEnd w:id="7"/>
    </w:p>
    <w:p w14:paraId="06B7B23C" w14:textId="77777777" w:rsidR="0071730E" w:rsidRDefault="0071730E" w:rsidP="00CF3361">
      <w:pPr>
        <w:rPr>
          <w:rStyle w:val="normaltextrun"/>
          <w:rFonts w:ascii="Calibri" w:hAnsi="Calibri" w:cs="Calibri"/>
          <w:color w:val="000000"/>
          <w:shd w:val="clear" w:color="auto" w:fill="FFFFFF"/>
        </w:rPr>
      </w:pPr>
    </w:p>
    <w:p w14:paraId="13703C6D" w14:textId="2A407AE7" w:rsidR="00CF3361" w:rsidRDefault="00CF3361" w:rsidP="00CF3361">
      <w:pPr>
        <w:rPr>
          <w:rFonts w:ascii="Calibri" w:eastAsia="Times New Roman" w:hAnsi="Calibri" w:cs="Calibri"/>
          <w:b/>
          <w:bCs/>
          <w:caps/>
          <w:color w:val="064276"/>
          <w:szCs w:val="24"/>
          <w:lang w:eastAsia="en-GB"/>
        </w:rPr>
      </w:pPr>
      <w:r>
        <w:rPr>
          <w:rStyle w:val="normaltextrun"/>
          <w:rFonts w:ascii="Calibri" w:hAnsi="Calibri" w:cs="Calibri"/>
          <w:color w:val="000000"/>
          <w:shd w:val="clear" w:color="auto" w:fill="FFFFFF"/>
        </w:rPr>
        <w:t>In line with the e</w:t>
      </w:r>
      <w:r w:rsidRPr="008D6869">
        <w:rPr>
          <w:rStyle w:val="normaltextrun"/>
          <w:color w:val="000000"/>
          <w:shd w:val="clear" w:color="auto" w:fill="FFFFFF"/>
        </w:rPr>
        <w:t>xpectations of Scottish Ministers</w:t>
      </w:r>
      <w:r>
        <w:rPr>
          <w:rStyle w:val="normaltextrun"/>
          <w:color w:val="000000"/>
          <w:shd w:val="clear" w:color="auto" w:fill="FFFFFF"/>
        </w:rPr>
        <w:t>, as set out in the Commissioning letter, Scottish Water is</w:t>
      </w:r>
      <w:r w:rsidRPr="00647C47">
        <w:rPr>
          <w:rStyle w:val="normaltextrun"/>
          <w:color w:val="000000"/>
          <w:shd w:val="clear" w:color="auto" w:fill="FFFFFF"/>
        </w:rPr>
        <w:t xml:space="preserve"> requested to provide alternative charge paths for services in SRC27.</w:t>
      </w:r>
      <w:r>
        <w:rPr>
          <w:rFonts w:ascii="Calibri" w:eastAsia="Times New Roman" w:hAnsi="Calibri" w:cs="Calibri"/>
          <w:b/>
          <w:bCs/>
          <w:caps/>
          <w:color w:val="064276"/>
          <w:szCs w:val="24"/>
          <w:lang w:eastAsia="en-GB"/>
        </w:rPr>
        <w:t xml:space="preserve"> </w:t>
      </w:r>
    </w:p>
    <w:p w14:paraId="53CAD213" w14:textId="77777777" w:rsidR="00CF3361" w:rsidRPr="008D6869" w:rsidRDefault="00CF3361" w:rsidP="00CF3361">
      <w:pPr>
        <w:rPr>
          <w:rStyle w:val="normaltextrun"/>
          <w:color w:val="000000"/>
          <w:shd w:val="clear" w:color="auto" w:fill="FFFFFF"/>
        </w:rPr>
      </w:pPr>
    </w:p>
    <w:p w14:paraId="7C915429" w14:textId="2DB437BF" w:rsidR="00CF3361" w:rsidRPr="008D6869" w:rsidRDefault="00CF3361" w:rsidP="00CF3361">
      <w:pPr>
        <w:spacing w:line="240" w:lineRule="auto"/>
        <w:jc w:val="left"/>
        <w:textAlignment w:val="baseline"/>
        <w:rPr>
          <w:rStyle w:val="normaltextrun"/>
          <w:color w:val="000000"/>
          <w:shd w:val="clear" w:color="auto" w:fill="FFFFFF"/>
        </w:rPr>
      </w:pPr>
      <w:r w:rsidRPr="004B7EEB">
        <w:rPr>
          <w:rStyle w:val="normaltextrun"/>
          <w:color w:val="000000"/>
          <w:shd w:val="clear" w:color="auto" w:fill="FFFFFF"/>
        </w:rPr>
        <w:t>Scottish Water should set out</w:t>
      </w:r>
      <w:r w:rsidRPr="008D6869">
        <w:rPr>
          <w:rStyle w:val="normaltextrun"/>
          <w:color w:val="000000"/>
          <w:shd w:val="clear" w:color="auto" w:fill="FFFFFF"/>
        </w:rPr>
        <w:t xml:space="preserve"> </w:t>
      </w:r>
      <w:r>
        <w:rPr>
          <w:rStyle w:val="normaltextrun"/>
          <w:color w:val="000000"/>
          <w:shd w:val="clear" w:color="auto" w:fill="FFFFFF"/>
        </w:rPr>
        <w:t xml:space="preserve">a range of possible charge paths that demonstrate the extent of progress towards the </w:t>
      </w:r>
      <w:r w:rsidR="00E16F40">
        <w:rPr>
          <w:rStyle w:val="normaltextrun"/>
          <w:color w:val="000000"/>
          <w:shd w:val="clear" w:color="auto" w:fill="FFFFFF"/>
        </w:rPr>
        <w:t>O</w:t>
      </w:r>
      <w:r>
        <w:rPr>
          <w:rStyle w:val="normaltextrun"/>
          <w:color w:val="000000"/>
          <w:shd w:val="clear" w:color="auto" w:fill="FFFFFF"/>
        </w:rPr>
        <w:t xml:space="preserve">bjectives of Scottish Ministers and the levels of risk of service failure associated with different levels of </w:t>
      </w:r>
      <w:r w:rsidR="00E16F40">
        <w:rPr>
          <w:rStyle w:val="normaltextrun"/>
          <w:color w:val="000000"/>
          <w:shd w:val="clear" w:color="auto" w:fill="FFFFFF"/>
        </w:rPr>
        <w:t xml:space="preserve">investment </w:t>
      </w:r>
      <w:r>
        <w:rPr>
          <w:rStyle w:val="normaltextrun"/>
          <w:color w:val="000000"/>
          <w:shd w:val="clear" w:color="auto" w:fill="FFFFFF"/>
        </w:rPr>
        <w:t>in the short, medium,</w:t>
      </w:r>
      <w:r w:rsidRPr="008D6869">
        <w:rPr>
          <w:rStyle w:val="normaltextrun"/>
          <w:color w:val="000000"/>
          <w:shd w:val="clear" w:color="auto" w:fill="FFFFFF"/>
        </w:rPr>
        <w:t xml:space="preserve"> and </w:t>
      </w:r>
      <w:r w:rsidR="00E16F40" w:rsidRPr="008D6869">
        <w:rPr>
          <w:rStyle w:val="normaltextrun"/>
          <w:color w:val="000000"/>
          <w:shd w:val="clear" w:color="auto" w:fill="FFFFFF"/>
        </w:rPr>
        <w:t>long</w:t>
      </w:r>
      <w:r w:rsidR="00E16F40">
        <w:rPr>
          <w:rStyle w:val="normaltextrun"/>
          <w:color w:val="000000"/>
          <w:shd w:val="clear" w:color="auto" w:fill="FFFFFF"/>
        </w:rPr>
        <w:t>-</w:t>
      </w:r>
      <w:r w:rsidRPr="008D6869">
        <w:rPr>
          <w:rStyle w:val="normaltextrun"/>
          <w:color w:val="000000"/>
          <w:shd w:val="clear" w:color="auto" w:fill="FFFFFF"/>
        </w:rPr>
        <w:t>term.</w:t>
      </w:r>
      <w:r>
        <w:rPr>
          <w:rStyle w:val="normaltextrun"/>
          <w:color w:val="000000"/>
          <w:shd w:val="clear" w:color="auto" w:fill="FFFFFF"/>
        </w:rPr>
        <w:t xml:space="preserve"> </w:t>
      </w:r>
    </w:p>
    <w:p w14:paraId="0F654174" w14:textId="77777777" w:rsidR="00CF3361" w:rsidRDefault="00CF3361" w:rsidP="00CF3361">
      <w:pPr>
        <w:rPr>
          <w:rStyle w:val="normaltextrun"/>
          <w:rFonts w:ascii="Calibri" w:hAnsi="Calibri" w:cs="Calibri"/>
          <w:color w:val="000000"/>
          <w:shd w:val="clear" w:color="auto" w:fill="FFFFFF"/>
        </w:rPr>
      </w:pPr>
    </w:p>
    <w:p w14:paraId="3A8CB76A" w14:textId="4A75B4CB" w:rsidR="00CF3361" w:rsidRDefault="00CF3361" w:rsidP="00CF3361">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These charge paths are referred to as ‘Reference Scenario</w:t>
      </w:r>
      <w:r w:rsidR="00D906E9">
        <w:rPr>
          <w:rStyle w:val="normaltextrun"/>
          <w:rFonts w:ascii="Calibri" w:hAnsi="Calibri" w:cs="Calibri"/>
          <w:color w:val="000000"/>
          <w:shd w:val="clear" w:color="auto" w:fill="FFFFFF"/>
        </w:rPr>
        <w:t xml:space="preserve"> A</w:t>
      </w:r>
      <w:r>
        <w:rPr>
          <w:rStyle w:val="normaltextrun"/>
          <w:rFonts w:ascii="Calibri" w:hAnsi="Calibri" w:cs="Calibri"/>
          <w:color w:val="000000"/>
          <w:shd w:val="clear" w:color="auto" w:fill="FFFFFF"/>
        </w:rPr>
        <w:t xml:space="preserve">’ and Scenario B and Scenario C. </w:t>
      </w:r>
    </w:p>
    <w:p w14:paraId="1DDC762A" w14:textId="77777777" w:rsidR="00F25333" w:rsidRDefault="00F25333" w:rsidP="00CF3361">
      <w:pPr>
        <w:rPr>
          <w:rStyle w:val="normaltextrun"/>
          <w:rFonts w:ascii="Calibri" w:hAnsi="Calibri" w:cs="Calibri"/>
          <w:color w:val="000000"/>
          <w:shd w:val="clear" w:color="auto" w:fill="FFFFFF"/>
        </w:rPr>
      </w:pPr>
    </w:p>
    <w:p w14:paraId="19A7E9EF" w14:textId="25CF4E71" w:rsidR="00CF3361" w:rsidRDefault="00CF3361" w:rsidP="00CF3361">
      <w:r>
        <w:t>The full set of data tables should be fully completed for the ‘Reference Scenario</w:t>
      </w:r>
      <w:r w:rsidR="002A185F">
        <w:t xml:space="preserve"> A</w:t>
      </w:r>
      <w:r>
        <w:t>’. The assumption</w:t>
      </w:r>
      <w:r w:rsidR="009C53BA">
        <w:t>s</w:t>
      </w:r>
      <w:r>
        <w:t>, constraints and boundaries of this reference scenarios should be described within the business plan.</w:t>
      </w:r>
    </w:p>
    <w:p w14:paraId="59C635A9" w14:textId="77777777" w:rsidR="00CF3361" w:rsidRDefault="00CF3361" w:rsidP="00CF3361"/>
    <w:p w14:paraId="24058B4F" w14:textId="54FF50B2" w:rsidR="00CF3361" w:rsidRDefault="00CF3361" w:rsidP="00CF3361">
      <w:r>
        <w:t>There are two alternative scenarios, where investment will deviate from the Reference</w:t>
      </w:r>
      <w:r w:rsidR="005D148B">
        <w:t xml:space="preserve"> scenario</w:t>
      </w:r>
      <w:r>
        <w:t xml:space="preserve">. </w:t>
      </w:r>
    </w:p>
    <w:p w14:paraId="106B6F8A" w14:textId="77777777" w:rsidR="00E45CD2" w:rsidRDefault="00E45CD2" w:rsidP="00E45CD2">
      <w:pPr>
        <w:rPr>
          <w:rStyle w:val="normaltextrun"/>
          <w:rFonts w:ascii="Calibri" w:hAnsi="Calibri" w:cs="Calibri"/>
          <w:color w:val="000000"/>
          <w:shd w:val="clear" w:color="auto" w:fill="FFFFFF"/>
        </w:rPr>
      </w:pPr>
    </w:p>
    <w:p w14:paraId="7F4CC870" w14:textId="104360E3" w:rsidR="00E45CD2" w:rsidRDefault="00E45CD2" w:rsidP="00E45CD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final business plan guidance and data tables include additional columns in tables 1, 2 and 3 </w:t>
      </w:r>
      <w:r w:rsidR="00D97678">
        <w:rPr>
          <w:rStyle w:val="normaltextrun"/>
          <w:rFonts w:ascii="Calibri" w:hAnsi="Calibri" w:cs="Calibri"/>
          <w:color w:val="000000"/>
          <w:shd w:val="clear" w:color="auto" w:fill="FFFFFF"/>
        </w:rPr>
        <w:t>to capture</w:t>
      </w:r>
      <w:r>
        <w:rPr>
          <w:rStyle w:val="normaltextrun"/>
          <w:rFonts w:ascii="Calibri" w:hAnsi="Calibri" w:cs="Calibri"/>
          <w:color w:val="000000"/>
          <w:shd w:val="clear" w:color="auto" w:fill="FFFFFF"/>
        </w:rPr>
        <w:t xml:space="preserve"> Scenario B and </w:t>
      </w:r>
      <w:r w:rsidR="00D97678">
        <w:rPr>
          <w:rStyle w:val="normaltextrun"/>
          <w:rFonts w:ascii="Calibri" w:hAnsi="Calibri" w:cs="Calibri"/>
          <w:color w:val="000000"/>
          <w:shd w:val="clear" w:color="auto" w:fill="FFFFFF"/>
        </w:rPr>
        <w:t xml:space="preserve">Scenario </w:t>
      </w:r>
      <w:r>
        <w:rPr>
          <w:rStyle w:val="normaltextrun"/>
          <w:rFonts w:ascii="Calibri" w:hAnsi="Calibri" w:cs="Calibri"/>
          <w:color w:val="000000"/>
          <w:shd w:val="clear" w:color="auto" w:fill="FFFFFF"/>
        </w:rPr>
        <w:t>C.</w:t>
      </w:r>
    </w:p>
    <w:p w14:paraId="0E8DD200" w14:textId="77777777" w:rsidR="009131BA" w:rsidRDefault="009131BA" w:rsidP="00E45CD2">
      <w:pPr>
        <w:rPr>
          <w:rStyle w:val="normaltextrun"/>
          <w:rFonts w:ascii="Calibri" w:hAnsi="Calibri" w:cs="Calibri"/>
          <w:color w:val="000000"/>
          <w:shd w:val="clear" w:color="auto" w:fill="FFFFFF"/>
        </w:rPr>
      </w:pPr>
    </w:p>
    <w:p w14:paraId="03BE134B" w14:textId="754FE486" w:rsidR="00CF3361" w:rsidRDefault="00CF3361" w:rsidP="00CF3361">
      <w:r>
        <w:t xml:space="preserve">Scottish Water should use the drop-down menu in </w:t>
      </w:r>
      <w:r w:rsidR="00992DA9">
        <w:t>t</w:t>
      </w:r>
      <w:r>
        <w:t xml:space="preserve">able 5, column </w:t>
      </w:r>
      <w:r w:rsidR="002C31C8">
        <w:t>4</w:t>
      </w:r>
      <w:r>
        <w:t xml:space="preserve">, to indicate the scenario to which each project is assigned. The total expenditure for each project in each scenario should be entered in </w:t>
      </w:r>
      <w:r w:rsidR="00992DA9">
        <w:t>t</w:t>
      </w:r>
      <w:r>
        <w:t xml:space="preserve">able 5. </w:t>
      </w:r>
    </w:p>
    <w:p w14:paraId="2DF6E390" w14:textId="77777777" w:rsidR="00CF3361" w:rsidRDefault="00CF3361" w:rsidP="00CF3361"/>
    <w:p w14:paraId="7384D171" w14:textId="568AF83D" w:rsidR="00CF3361" w:rsidRDefault="00CF3361" w:rsidP="00CF3361">
      <w:r>
        <w:t>Table 8</w:t>
      </w:r>
      <w:r w:rsidR="007B0D8A">
        <w:t xml:space="preserve"> </w:t>
      </w:r>
      <w:r>
        <w:t xml:space="preserve">will automatically populate the total operating expenditure for each scenario. Scottish Water should manually input any adjustments to operating expenditure under Scenarios B and C in table 7. </w:t>
      </w:r>
    </w:p>
    <w:p w14:paraId="4963DCDA" w14:textId="77777777" w:rsidR="00CF3361" w:rsidRDefault="00CF3361" w:rsidP="00CF3361">
      <w:pPr>
        <w:pStyle w:val="heading20"/>
        <w:numPr>
          <w:ilvl w:val="0"/>
          <w:numId w:val="0"/>
        </w:numPr>
        <w:ind w:left="792"/>
      </w:pPr>
    </w:p>
    <w:p w14:paraId="171C7A54" w14:textId="77777777" w:rsidR="00CF3361" w:rsidRDefault="00CF3361" w:rsidP="00CF3361">
      <w:pPr>
        <w:pStyle w:val="heading20"/>
        <w:numPr>
          <w:ilvl w:val="0"/>
          <w:numId w:val="0"/>
        </w:numPr>
        <w:ind w:left="432" w:hanging="432"/>
        <w:outlineLvl w:val="1"/>
      </w:pPr>
      <w:bookmarkStart w:id="8" w:name="_Toc184736029"/>
      <w:r>
        <w:t>Price base</w:t>
      </w:r>
      <w:bookmarkEnd w:id="8"/>
    </w:p>
    <w:p w14:paraId="4B022F8E" w14:textId="77777777" w:rsidR="0071730E" w:rsidRDefault="0071730E" w:rsidP="00CF3361"/>
    <w:p w14:paraId="51ADBC00" w14:textId="60CD99DC" w:rsidR="00EB64A7" w:rsidRDefault="008024D7" w:rsidP="00CF3361">
      <w:r>
        <w:t>W</w:t>
      </w:r>
      <w:r w:rsidRPr="008024D7">
        <w:t xml:space="preserve">e will </w:t>
      </w:r>
      <w:r w:rsidR="00C434E1">
        <w:t>use a 2024-25</w:t>
      </w:r>
      <w:r w:rsidRPr="008024D7">
        <w:t xml:space="preserve"> price base (based on financial year average) for the 2027-33 regulatory period. However, due to the timing of the draft business plan, the draft business plan should </w:t>
      </w:r>
      <w:r w:rsidR="004E4F21" w:rsidRPr="008024D7">
        <w:t>be presented</w:t>
      </w:r>
      <w:r w:rsidR="00C434E1">
        <w:t xml:space="preserve"> </w:t>
      </w:r>
      <w:r w:rsidRPr="008024D7">
        <w:t>in 2023-24 prices, before being updated to 2024-25 prices for the final business plan.</w:t>
      </w:r>
    </w:p>
    <w:p w14:paraId="676F3C61" w14:textId="77777777" w:rsidR="00CF3361" w:rsidRDefault="00CF3361" w:rsidP="00CF3361"/>
    <w:p w14:paraId="316C51EC" w14:textId="77777777" w:rsidR="00CF3361" w:rsidRDefault="00CF3361" w:rsidP="00CF3361">
      <w:pPr>
        <w:rPr>
          <w:rFonts w:ascii="Calibri" w:hAnsi="Calibri" w:cs="Calibri"/>
        </w:rPr>
      </w:pPr>
      <w:r>
        <w:br w:type="page"/>
      </w:r>
    </w:p>
    <w:p w14:paraId="238F87CE" w14:textId="77777777" w:rsidR="00CF3361" w:rsidRPr="0030124D" w:rsidRDefault="00CF3361" w:rsidP="00CF3361">
      <w:pPr>
        <w:pStyle w:val="heading10"/>
        <w:numPr>
          <w:ilvl w:val="0"/>
          <w:numId w:val="5"/>
        </w:numPr>
        <w:jc w:val="both"/>
        <w:outlineLvl w:val="0"/>
        <w:rPr>
          <w:lang w:eastAsia="zh-TW"/>
        </w:rPr>
        <w:sectPr w:rsidR="00CF3361" w:rsidRPr="0030124D" w:rsidSect="00CF3361">
          <w:type w:val="continuous"/>
          <w:pgSz w:w="11906" w:h="16838" w:code="9"/>
          <w:pgMar w:top="1134" w:right="1134" w:bottom="1134" w:left="1134" w:header="567" w:footer="567" w:gutter="0"/>
          <w:cols w:space="708"/>
          <w:docGrid w:linePitch="360"/>
        </w:sectPr>
      </w:pPr>
    </w:p>
    <w:bookmarkStart w:id="9" w:name="_Toc184736030"/>
    <w:p w14:paraId="5BAE5EE5" w14:textId="17A5DDF8" w:rsidR="00144CD3" w:rsidRPr="00144CD3" w:rsidRDefault="00CF3361" w:rsidP="00260560">
      <w:pPr>
        <w:pStyle w:val="heading10"/>
        <w:numPr>
          <w:ilvl w:val="0"/>
          <w:numId w:val="6"/>
        </w:numPr>
        <w:outlineLvl w:val="0"/>
      </w:pPr>
      <w:r w:rsidRPr="004A0DDA">
        <w:rPr>
          <w:noProof/>
        </w:rPr>
        <w:lastRenderedPageBreak/>
        <mc:AlternateContent>
          <mc:Choice Requires="wps">
            <w:drawing>
              <wp:anchor distT="0" distB="0" distL="114300" distR="114300" simplePos="0" relativeHeight="251658240" behindDoc="0" locked="0" layoutInCell="1" allowOverlap="1" wp14:anchorId="5BB8E905" wp14:editId="5FD04F4A">
                <wp:simplePos x="0" y="0"/>
                <wp:positionH relativeFrom="column">
                  <wp:posOffset>-309880</wp:posOffset>
                </wp:positionH>
                <wp:positionV relativeFrom="paragraph">
                  <wp:posOffset>-1108995</wp:posOffset>
                </wp:positionV>
                <wp:extent cx="6684580" cy="0"/>
                <wp:effectExtent l="0" t="0" r="0" b="0"/>
                <wp:wrapNone/>
                <wp:docPr id="681164854" name="Straight Connector 681164854"/>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EFC48C4" id="Straight Connector 681164854" o:spid="_x0000_s1026" style="position:absolute;flip:x;z-index:251658241;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r w:rsidR="00144CD3" w:rsidRPr="00144CD3">
        <w:t>Outcomes</w:t>
      </w:r>
      <w:bookmarkEnd w:id="9"/>
    </w:p>
    <w:p w14:paraId="55142F40" w14:textId="77777777" w:rsidR="00144CD3" w:rsidRPr="00144CD3" w:rsidRDefault="00144CD3" w:rsidP="00620AE0">
      <w:pPr>
        <w:pStyle w:val="heading20"/>
        <w:ind w:left="788" w:hanging="431"/>
        <w:outlineLvl w:val="1"/>
      </w:pPr>
      <w:bookmarkStart w:id="10" w:name="_Toc184736031"/>
      <w:r w:rsidRPr="00144CD3">
        <w:t>Purpose</w:t>
      </w:r>
      <w:bookmarkEnd w:id="10"/>
    </w:p>
    <w:p w14:paraId="077A9048" w14:textId="77777777" w:rsidR="00AF3A9A" w:rsidRDefault="00AF3A9A" w:rsidP="00F24E66"/>
    <w:p w14:paraId="1D556869" w14:textId="61C91223" w:rsidR="00EF72C4" w:rsidRDefault="00DE626B" w:rsidP="00F24E66">
      <w:r>
        <w:t xml:space="preserve">This table presents Scottish Water's outcomes and associated level of service for customers, the environment, and other stakeholders. For each outcome, the forecast level of service is required </w:t>
      </w:r>
      <w:r w:rsidR="00833410">
        <w:t>annually</w:t>
      </w:r>
      <w:r>
        <w:t xml:space="preserve"> for the SRC27 period and then in </w:t>
      </w:r>
      <w:r w:rsidR="00B5772D">
        <w:t>the final</w:t>
      </w:r>
      <w:r w:rsidR="00425DDB">
        <w:t xml:space="preserve"> year</w:t>
      </w:r>
      <w:r>
        <w:t xml:space="preserve"> for </w:t>
      </w:r>
      <w:r w:rsidR="008B375A">
        <w:t xml:space="preserve">each of the </w:t>
      </w:r>
      <w:r>
        <w:t>three subsequent periods: SRC33, SRC39</w:t>
      </w:r>
      <w:r w:rsidR="00144CD3" w:rsidRPr="00144CD3">
        <w:t xml:space="preserve"> and </w:t>
      </w:r>
      <w:r w:rsidR="00D21FAF">
        <w:t>SRC</w:t>
      </w:r>
      <w:r w:rsidR="00144CD3" w:rsidRPr="00144CD3">
        <w:t xml:space="preserve">45. </w:t>
      </w:r>
      <w:r w:rsidR="00862484">
        <w:t xml:space="preserve">For alternative </w:t>
      </w:r>
      <w:r w:rsidR="00685B7A">
        <w:t>S</w:t>
      </w:r>
      <w:r w:rsidR="00862484">
        <w:t xml:space="preserve">cenarios B and C, a forecast level of service </w:t>
      </w:r>
      <w:r w:rsidR="00345078">
        <w:t xml:space="preserve">in Year 6 of SRC27 is required. </w:t>
      </w:r>
    </w:p>
    <w:p w14:paraId="2A4F90CB" w14:textId="77777777" w:rsidR="00EF72C4" w:rsidRDefault="00EF72C4" w:rsidP="00EF72C4"/>
    <w:p w14:paraId="49727CA2" w14:textId="15FFCA7F" w:rsidR="00EF72C4" w:rsidRDefault="00EF72C4" w:rsidP="00EF72C4">
      <w:r w:rsidRPr="00F077FD">
        <w:t xml:space="preserve">We expect Scottish Water to translate its contribution towards the high-level outcomes from the sector vision into tangible measures and milestones over the long term. </w:t>
      </w:r>
      <w:r w:rsidRPr="007A2B71">
        <w:t>Based on these measures, Scottish Water</w:t>
      </w:r>
      <w:r>
        <w:t xml:space="preserve"> should </w:t>
      </w:r>
      <w:r w:rsidRPr="007A2B71">
        <w:t xml:space="preserve">show how it plans to meet </w:t>
      </w:r>
      <w:r w:rsidR="00426F81">
        <w:t xml:space="preserve">the </w:t>
      </w:r>
      <w:r w:rsidRPr="007A2B71">
        <w:t xml:space="preserve">Ministers’ Statement of Objectives for the 2027-33 regulatory period as an important step in </w:t>
      </w:r>
      <w:r w:rsidR="0028369A">
        <w:t>achieving</w:t>
      </w:r>
      <w:r w:rsidRPr="007A2B71">
        <w:t xml:space="preserve"> the long-term sector vision. Scottish Water should then set the investment plan (investment outputs) consistent with making that progress and the </w:t>
      </w:r>
      <w:r w:rsidR="003D1FBE">
        <w:t>required</w:t>
      </w:r>
      <w:r w:rsidRPr="007A2B71">
        <w:t xml:space="preserve"> resources (inputs) over 2027-33.</w:t>
      </w:r>
    </w:p>
    <w:p w14:paraId="4824383B" w14:textId="77777777" w:rsidR="00EF72C4" w:rsidRDefault="00EF72C4" w:rsidP="00EF72C4"/>
    <w:p w14:paraId="0A75A884" w14:textId="6BEAE0EC" w:rsidR="006B752E" w:rsidRDefault="0016063A" w:rsidP="0016063A">
      <w:pPr>
        <w:rPr>
          <w:rFonts w:eastAsiaTheme="minorHAnsi"/>
          <w:lang w:eastAsia="zh-TW"/>
        </w:rPr>
      </w:pPr>
      <w:r w:rsidRPr="0016063A">
        <w:rPr>
          <w:rFonts w:eastAsiaTheme="minorHAnsi"/>
          <w:lang w:eastAsia="zh-TW"/>
        </w:rPr>
        <w:t xml:space="preserve">This </w:t>
      </w:r>
      <w:r>
        <w:rPr>
          <w:rFonts w:eastAsiaTheme="minorHAnsi"/>
          <w:lang w:eastAsia="zh-TW"/>
        </w:rPr>
        <w:t>data table</w:t>
      </w:r>
      <w:r w:rsidRPr="0016063A">
        <w:rPr>
          <w:rFonts w:eastAsiaTheme="minorHAnsi"/>
          <w:lang w:eastAsia="zh-TW"/>
        </w:rPr>
        <w:t xml:space="preserve"> serve</w:t>
      </w:r>
      <w:r>
        <w:rPr>
          <w:rFonts w:eastAsiaTheme="minorHAnsi"/>
          <w:lang w:eastAsia="zh-TW"/>
        </w:rPr>
        <w:t>s</w:t>
      </w:r>
      <w:r w:rsidRPr="0016063A">
        <w:rPr>
          <w:rFonts w:eastAsiaTheme="minorHAnsi"/>
          <w:lang w:eastAsia="zh-TW"/>
        </w:rPr>
        <w:t xml:space="preserve"> as </w:t>
      </w:r>
      <w:r w:rsidR="006B752E">
        <w:rPr>
          <w:rFonts w:eastAsiaTheme="minorHAnsi"/>
          <w:lang w:eastAsia="zh-TW"/>
        </w:rPr>
        <w:t>an</w:t>
      </w:r>
      <w:r w:rsidRPr="0016063A">
        <w:rPr>
          <w:rFonts w:eastAsiaTheme="minorHAnsi"/>
          <w:lang w:eastAsia="zh-TW"/>
        </w:rPr>
        <w:t xml:space="preserve"> initial view</w:t>
      </w:r>
      <w:r>
        <w:rPr>
          <w:rFonts w:eastAsiaTheme="minorHAnsi"/>
          <w:lang w:eastAsia="zh-TW"/>
        </w:rPr>
        <w:t xml:space="preserve"> of outcomes and performance measu</w:t>
      </w:r>
      <w:r w:rsidR="005D4622">
        <w:rPr>
          <w:rFonts w:eastAsiaTheme="minorHAnsi"/>
          <w:lang w:eastAsia="zh-TW"/>
        </w:rPr>
        <w:t>res</w:t>
      </w:r>
      <w:r w:rsidR="006B752E">
        <w:rPr>
          <w:rFonts w:eastAsiaTheme="minorHAnsi"/>
          <w:lang w:eastAsia="zh-TW"/>
        </w:rPr>
        <w:t>. As Scottish Water develops its Business Plan</w:t>
      </w:r>
      <w:r w:rsidR="00951193">
        <w:rPr>
          <w:rFonts w:eastAsiaTheme="minorHAnsi"/>
          <w:lang w:eastAsia="zh-TW"/>
        </w:rPr>
        <w:t xml:space="preserve">, </w:t>
      </w:r>
      <w:r w:rsidR="00561EC1">
        <w:rPr>
          <w:rFonts w:eastAsiaTheme="minorHAnsi"/>
          <w:lang w:eastAsia="zh-TW"/>
        </w:rPr>
        <w:t>it may propose alternative</w:t>
      </w:r>
      <w:r w:rsidR="00CF5239">
        <w:rPr>
          <w:rFonts w:eastAsiaTheme="minorHAnsi"/>
          <w:lang w:eastAsia="zh-TW"/>
        </w:rPr>
        <w:t xml:space="preserve"> or additional</w:t>
      </w:r>
      <w:r w:rsidR="00561EC1">
        <w:rPr>
          <w:rFonts w:eastAsiaTheme="minorHAnsi"/>
          <w:lang w:eastAsia="zh-TW"/>
        </w:rPr>
        <w:t xml:space="preserve"> measures</w:t>
      </w:r>
      <w:r w:rsidR="00CE537E">
        <w:rPr>
          <w:rFonts w:eastAsiaTheme="minorHAnsi"/>
          <w:lang w:eastAsia="zh-TW"/>
        </w:rPr>
        <w:t xml:space="preserve">, recognising that </w:t>
      </w:r>
      <w:r w:rsidR="00634C44">
        <w:rPr>
          <w:rFonts w:eastAsiaTheme="minorHAnsi"/>
          <w:lang w:eastAsia="zh-TW"/>
        </w:rPr>
        <w:t xml:space="preserve">it may want to test measures through customer research or that other measures may be more appropriate to capture given </w:t>
      </w:r>
      <w:r w:rsidR="00875F1F">
        <w:rPr>
          <w:rFonts w:eastAsiaTheme="minorHAnsi"/>
          <w:lang w:eastAsia="zh-TW"/>
        </w:rPr>
        <w:t xml:space="preserve">the composition of the investment programme. </w:t>
      </w:r>
      <w:r w:rsidR="00081375">
        <w:rPr>
          <w:rFonts w:eastAsiaTheme="minorHAnsi"/>
          <w:lang w:eastAsia="zh-TW"/>
        </w:rPr>
        <w:t xml:space="preserve">However, we would not expect Scottish Water to change the definitions of the current outcome measures in </w:t>
      </w:r>
      <w:r w:rsidR="007D2A7F">
        <w:rPr>
          <w:rFonts w:eastAsiaTheme="minorHAnsi"/>
          <w:lang w:eastAsia="zh-TW"/>
        </w:rPr>
        <w:t>t</w:t>
      </w:r>
      <w:r w:rsidR="00081375">
        <w:rPr>
          <w:rFonts w:eastAsiaTheme="minorHAnsi"/>
          <w:lang w:eastAsia="zh-TW"/>
        </w:rPr>
        <w:t xml:space="preserve">able 1. </w:t>
      </w:r>
      <w:r w:rsidR="001A35E5">
        <w:rPr>
          <w:rFonts w:eastAsiaTheme="minorHAnsi"/>
          <w:lang w:eastAsia="zh-TW"/>
        </w:rPr>
        <w:t xml:space="preserve">We would also expect Scottish Water to provide evidence to explain why alternative or additional measures are appropriate. </w:t>
      </w:r>
    </w:p>
    <w:p w14:paraId="525CC00F" w14:textId="77777777" w:rsidR="0016063A" w:rsidRDefault="0016063A" w:rsidP="00EF72C4"/>
    <w:p w14:paraId="46060898" w14:textId="7652484C" w:rsidR="00EA1378" w:rsidRDefault="00EA1378" w:rsidP="00EF72C4">
      <w:r>
        <w:t xml:space="preserve">We believe </w:t>
      </w:r>
      <w:r w:rsidR="00FD19B7">
        <w:t xml:space="preserve">the final list of outcomes from the Business Plan should be </w:t>
      </w:r>
      <w:r w:rsidR="00597954">
        <w:t>used to measure Scottish Water’s performance</w:t>
      </w:r>
      <w:r>
        <w:t xml:space="preserve"> during SRC27 through the Scottish Government Investment Group</w:t>
      </w:r>
      <w:r w:rsidR="00597954">
        <w:t xml:space="preserve"> (SGIG)</w:t>
      </w:r>
      <w:r>
        <w:t>.</w:t>
      </w:r>
    </w:p>
    <w:p w14:paraId="570ACB8F" w14:textId="77777777" w:rsidR="00EA1378" w:rsidRDefault="00EA1378" w:rsidP="00EF72C4"/>
    <w:p w14:paraId="39EAD2E0" w14:textId="0261A884" w:rsidR="00144CD3" w:rsidRDefault="00144CD3" w:rsidP="00F24E66">
      <w:r w:rsidRPr="00144CD3">
        <w:t xml:space="preserve">The </w:t>
      </w:r>
      <w:r w:rsidR="00762037">
        <w:t xml:space="preserve">initial list of </w:t>
      </w:r>
      <w:r w:rsidR="007718F4" w:rsidRPr="00144CD3">
        <w:t>outcome</w:t>
      </w:r>
      <w:r w:rsidR="007718F4">
        <w:t xml:space="preserve"> measures</w:t>
      </w:r>
      <w:r w:rsidRPr="00144CD3">
        <w:t xml:space="preserve"> </w:t>
      </w:r>
      <w:r w:rsidR="00D7371E">
        <w:t>is</w:t>
      </w:r>
      <w:r w:rsidRPr="00144CD3">
        <w:t xml:space="preserve"> mapped against the 2050 Vision for the Scottish Water Sector and the Scottish Government Water Sector </w:t>
      </w:r>
      <w:r w:rsidRPr="00945FDB">
        <w:t>Principle</w:t>
      </w:r>
      <w:r w:rsidR="00C61DB5">
        <w:t>s</w:t>
      </w:r>
      <w:r w:rsidR="00C61DB5">
        <w:rPr>
          <w:rStyle w:val="FootnoteReference"/>
        </w:rPr>
        <w:footnoteReference w:id="2"/>
      </w:r>
      <w:r w:rsidRPr="00945FDB">
        <w:t xml:space="preserve"> </w:t>
      </w:r>
      <w:r w:rsidR="006E0B36" w:rsidRPr="00945FDB">
        <w:t xml:space="preserve">in </w:t>
      </w:r>
      <w:r w:rsidR="00346087">
        <w:t>T</w:t>
      </w:r>
      <w:r w:rsidR="006E0B36" w:rsidRPr="00734A53">
        <w:t xml:space="preserve">able </w:t>
      </w:r>
      <w:r w:rsidR="00945FDB" w:rsidRPr="00734A53">
        <w:t>1</w:t>
      </w:r>
      <w:r w:rsidR="00346087">
        <w:t xml:space="preserve"> below</w:t>
      </w:r>
      <w:r w:rsidR="00BC7ED0">
        <w:t xml:space="preserve">, where </w:t>
      </w:r>
      <w:r w:rsidR="005E7C54">
        <w:t xml:space="preserve">the </w:t>
      </w:r>
      <w:r w:rsidR="00ED1A15" w:rsidRPr="00D601FF">
        <w:t>P</w:t>
      </w:r>
      <w:r w:rsidR="005E7C54" w:rsidRPr="00D601FF">
        <w:t>rincipl</w:t>
      </w:r>
      <w:r w:rsidR="00A00A72" w:rsidRPr="00D601FF">
        <w:t>e</w:t>
      </w:r>
      <w:r w:rsidR="005E7C54" w:rsidRPr="00D601FF">
        <w:t>s</w:t>
      </w:r>
      <w:r w:rsidR="005E7C54">
        <w:t xml:space="preserve"> are de</w:t>
      </w:r>
      <w:r w:rsidR="00ED1A15">
        <w:t>f</w:t>
      </w:r>
      <w:r w:rsidR="005E7C54">
        <w:t>i</w:t>
      </w:r>
      <w:r w:rsidR="00ED1A15">
        <w:t>n</w:t>
      </w:r>
      <w:r w:rsidR="005E7C54">
        <w:t>ed as</w:t>
      </w:r>
      <w:r w:rsidRPr="00144CD3">
        <w:t>:</w:t>
      </w:r>
    </w:p>
    <w:p w14:paraId="723E7C56" w14:textId="27CB8DD6" w:rsidR="00ED1A15" w:rsidRDefault="00A01480" w:rsidP="005E1BE3">
      <w:pPr>
        <w:pStyle w:val="ListParagraph"/>
        <w:numPr>
          <w:ilvl w:val="0"/>
          <w:numId w:val="9"/>
        </w:numPr>
      </w:pPr>
      <w:r w:rsidRPr="00A01480">
        <w:t>Water is a precious resource – it is essential for life. It supports our lives, agriculture and businesses (including distilleries and manufacturing etc.) and supports our environment. We will need to consider the water needed to water crops to maintain food supplies, or make different choices about the crops we grow, support tourism and to support new lower carbon industry, such as hydrogen production. At the same time, we must ensure we have enough water to provide drinking water supplies which are essential for public health and to protect Scotland’s environment.</w:t>
      </w:r>
    </w:p>
    <w:p w14:paraId="058563BC" w14:textId="6433FE1E" w:rsidR="00A01480" w:rsidRDefault="00A57B86" w:rsidP="005E1BE3">
      <w:pPr>
        <w:pStyle w:val="ListParagraph"/>
        <w:numPr>
          <w:ilvl w:val="0"/>
          <w:numId w:val="9"/>
        </w:numPr>
      </w:pPr>
      <w:r w:rsidRPr="00A57B86">
        <w:lastRenderedPageBreak/>
        <w:t>Safe drinking water is important to our health. We need to make sure that we are able to provide a reliable supply of water during dry periods and act to protect the water supplies quickly during these times. We also need to make sure that the water that reaches our taps remains safe to drink, which requires us to consider all the possible risks.</w:t>
      </w:r>
    </w:p>
    <w:p w14:paraId="4C413564" w14:textId="7D4FA188" w:rsidR="00A57B86" w:rsidRDefault="00EA3C1B" w:rsidP="005E1BE3">
      <w:pPr>
        <w:pStyle w:val="ListParagraph"/>
        <w:numPr>
          <w:ilvl w:val="0"/>
          <w:numId w:val="9"/>
        </w:numPr>
      </w:pPr>
      <w:r w:rsidRPr="00EA3C1B">
        <w:t>The changing climate means we are seeing more extreme weather events such as periods of very heavy and/or intense rainfall which can lead to spills from drainage systems to the environment and/or cause flooding to homes and businesses. We need to make greater changes in the way we manage the consequences of extreme weather events as their frequency increases.</w:t>
      </w:r>
    </w:p>
    <w:p w14:paraId="0DD79A1A" w14:textId="0490B6A1" w:rsidR="00EA3C1B" w:rsidRDefault="0044291B" w:rsidP="005E1BE3">
      <w:pPr>
        <w:pStyle w:val="ListParagraph"/>
        <w:numPr>
          <w:ilvl w:val="0"/>
          <w:numId w:val="9"/>
        </w:numPr>
      </w:pPr>
      <w:r w:rsidRPr="0044291B">
        <w:t>Many of Scotland’s wastewater treatment works are located along the coast and are vulnerable to sea level rises. This means that we need to change our approach to managing our wastewater network. Unless we respond to the changing climate by adapting our sewage services now, the costs to households, businesses and the environment arising from floods from sewers will be much higher. We also want to maximise the opportunity to use resources from wastewater and to make it easier to adopt new and future technologies.</w:t>
      </w:r>
    </w:p>
    <w:p w14:paraId="2D160E7A" w14:textId="77777777" w:rsidR="00A62D2B" w:rsidRDefault="00A62D2B" w:rsidP="00F24E66">
      <w:pPr>
        <w:pStyle w:val="Caption"/>
      </w:pPr>
    </w:p>
    <w:p w14:paraId="43113C69" w14:textId="5514CE71" w:rsidR="00F24E66" w:rsidRDefault="00F24E66" w:rsidP="00F24E66">
      <w:pPr>
        <w:pStyle w:val="Caption"/>
      </w:pPr>
      <w:r>
        <w:t xml:space="preserve">Table </w:t>
      </w:r>
      <w:r w:rsidR="00945FDB">
        <w:t>1</w:t>
      </w:r>
      <w:r w:rsidR="00EC3398">
        <w:t xml:space="preserve">: </w:t>
      </w:r>
      <w:r w:rsidR="00DA264C">
        <w:t xml:space="preserve">Scottish Water outcomes mapped against </w:t>
      </w:r>
      <w:r w:rsidR="00DA264C" w:rsidRPr="00DA264C">
        <w:t>the 2050 Vision for the Scottish Water Sector and the Scottish Government Water Sector Principle</w:t>
      </w:r>
      <w:r w:rsidR="00DA264C">
        <w:t>s</w:t>
      </w:r>
    </w:p>
    <w:tbl>
      <w:tblPr>
        <w:tblStyle w:val="Blueline"/>
        <w:tblW w:w="0" w:type="auto"/>
        <w:tblLook w:val="04A0" w:firstRow="1" w:lastRow="0" w:firstColumn="1" w:lastColumn="0" w:noHBand="0" w:noVBand="1"/>
      </w:tblPr>
      <w:tblGrid>
        <w:gridCol w:w="1197"/>
        <w:gridCol w:w="4899"/>
        <w:gridCol w:w="2887"/>
      </w:tblGrid>
      <w:tr w:rsidR="00F740E7" w14:paraId="25CAD9F6" w14:textId="77777777" w:rsidTr="00B379E2">
        <w:trPr>
          <w:cnfStyle w:val="100000000000" w:firstRow="1" w:lastRow="0" w:firstColumn="0" w:lastColumn="0" w:oddVBand="0" w:evenVBand="0" w:oddHBand="0" w:evenHBand="0" w:firstRowFirstColumn="0" w:firstRowLastColumn="0" w:lastRowFirstColumn="0" w:lastRowLastColumn="0"/>
          <w:trHeight w:val="23"/>
          <w:tblHeader/>
        </w:trPr>
        <w:tc>
          <w:tcPr>
            <w:tcW w:w="1197" w:type="dxa"/>
            <w:vAlign w:val="center"/>
          </w:tcPr>
          <w:p w14:paraId="31C0608E" w14:textId="7EE8A449" w:rsidR="00F740E7" w:rsidRDefault="00924B81" w:rsidP="00B379E2">
            <w:pPr>
              <w:spacing w:line="259" w:lineRule="auto"/>
              <w:jc w:val="left"/>
              <w:rPr>
                <w:rFonts w:ascii="Calibri" w:hAnsi="Calibri" w:cs="Calibri"/>
              </w:rPr>
            </w:pPr>
            <w:r>
              <w:rPr>
                <w:rFonts w:ascii="Calibri" w:hAnsi="Calibri" w:cs="Calibri"/>
              </w:rPr>
              <w:t>Principle</w:t>
            </w:r>
          </w:p>
        </w:tc>
        <w:tc>
          <w:tcPr>
            <w:tcW w:w="4899" w:type="dxa"/>
            <w:vAlign w:val="center"/>
          </w:tcPr>
          <w:p w14:paraId="3C45089E" w14:textId="4061235D" w:rsidR="00F740E7" w:rsidRDefault="003E41AD" w:rsidP="00B379E2">
            <w:pPr>
              <w:spacing w:line="259" w:lineRule="auto"/>
              <w:jc w:val="left"/>
              <w:rPr>
                <w:rFonts w:ascii="Calibri" w:hAnsi="Calibri" w:cs="Calibri"/>
              </w:rPr>
            </w:pPr>
            <w:r>
              <w:rPr>
                <w:rFonts w:ascii="Calibri" w:hAnsi="Calibri" w:cs="Calibri"/>
              </w:rPr>
              <w:t>Outcome</w:t>
            </w:r>
          </w:p>
        </w:tc>
        <w:tc>
          <w:tcPr>
            <w:tcW w:w="2887" w:type="dxa"/>
            <w:vAlign w:val="center"/>
          </w:tcPr>
          <w:p w14:paraId="3F6877DB" w14:textId="34A4C636" w:rsidR="00F740E7" w:rsidRDefault="003E41AD" w:rsidP="00B379E2">
            <w:pPr>
              <w:spacing w:line="259" w:lineRule="auto"/>
              <w:jc w:val="left"/>
              <w:rPr>
                <w:rFonts w:ascii="Calibri" w:hAnsi="Calibri" w:cs="Calibri"/>
              </w:rPr>
            </w:pPr>
            <w:r>
              <w:rPr>
                <w:rFonts w:ascii="Calibri" w:hAnsi="Calibri" w:cs="Calibri"/>
              </w:rPr>
              <w:t xml:space="preserve">Strategic category </w:t>
            </w:r>
          </w:p>
        </w:tc>
      </w:tr>
      <w:tr w:rsidR="00F740E7" w14:paraId="6124AA96" w14:textId="77777777" w:rsidTr="00B379E2">
        <w:trPr>
          <w:trHeight w:val="275"/>
        </w:trPr>
        <w:tc>
          <w:tcPr>
            <w:tcW w:w="1197" w:type="dxa"/>
          </w:tcPr>
          <w:p w14:paraId="72187E31" w14:textId="6B5AEF97" w:rsidR="00F740E7" w:rsidRDefault="00882331" w:rsidP="00B379E2">
            <w:pPr>
              <w:spacing w:line="259" w:lineRule="auto"/>
              <w:jc w:val="left"/>
              <w:rPr>
                <w:rFonts w:ascii="Calibri" w:hAnsi="Calibri" w:cs="Calibri"/>
              </w:rPr>
            </w:pPr>
            <w:r>
              <w:rPr>
                <w:rFonts w:ascii="Calibri" w:hAnsi="Calibri" w:cs="Calibri"/>
              </w:rPr>
              <w:t>1</w:t>
            </w:r>
          </w:p>
        </w:tc>
        <w:tc>
          <w:tcPr>
            <w:tcW w:w="4899" w:type="dxa"/>
          </w:tcPr>
          <w:p w14:paraId="30AE171C" w14:textId="7C4DFDF0" w:rsidR="00F740E7" w:rsidRDefault="00882331" w:rsidP="00B379E2">
            <w:pPr>
              <w:spacing w:line="259" w:lineRule="auto"/>
              <w:jc w:val="left"/>
              <w:rPr>
                <w:rFonts w:ascii="Calibri" w:hAnsi="Calibri" w:cs="Calibri"/>
              </w:rPr>
            </w:pPr>
            <w:r>
              <w:rPr>
                <w:rFonts w:ascii="Calibri" w:hAnsi="Calibri" w:cs="Calibri"/>
              </w:rPr>
              <w:t>CEM (dCEM)</w:t>
            </w:r>
          </w:p>
        </w:tc>
        <w:tc>
          <w:tcPr>
            <w:tcW w:w="2887" w:type="dxa"/>
          </w:tcPr>
          <w:p w14:paraId="21B96A03" w14:textId="13C54840" w:rsidR="00F740E7" w:rsidRDefault="002D35BB" w:rsidP="00B379E2">
            <w:pPr>
              <w:spacing w:line="259" w:lineRule="auto"/>
              <w:jc w:val="left"/>
              <w:rPr>
                <w:rFonts w:ascii="Calibri" w:hAnsi="Calibri" w:cs="Calibri"/>
              </w:rPr>
            </w:pPr>
            <w:r>
              <w:rPr>
                <w:rFonts w:ascii="Calibri" w:hAnsi="Calibri" w:cs="Calibri"/>
              </w:rPr>
              <w:t>Customer</w:t>
            </w:r>
          </w:p>
        </w:tc>
      </w:tr>
      <w:tr w:rsidR="00F740E7" w14:paraId="54AAFB0A" w14:textId="77777777" w:rsidTr="00B379E2">
        <w:trPr>
          <w:trHeight w:val="295"/>
        </w:trPr>
        <w:tc>
          <w:tcPr>
            <w:tcW w:w="1197" w:type="dxa"/>
          </w:tcPr>
          <w:p w14:paraId="56B130DB" w14:textId="517BF0C9" w:rsidR="00F740E7" w:rsidRDefault="002D35BB" w:rsidP="00B379E2">
            <w:pPr>
              <w:spacing w:line="259" w:lineRule="auto"/>
              <w:jc w:val="left"/>
              <w:rPr>
                <w:rFonts w:ascii="Calibri" w:hAnsi="Calibri" w:cs="Calibri"/>
              </w:rPr>
            </w:pPr>
            <w:r>
              <w:rPr>
                <w:rFonts w:ascii="Calibri" w:hAnsi="Calibri" w:cs="Calibri"/>
              </w:rPr>
              <w:t>1</w:t>
            </w:r>
          </w:p>
        </w:tc>
        <w:tc>
          <w:tcPr>
            <w:tcW w:w="4899" w:type="dxa"/>
          </w:tcPr>
          <w:p w14:paraId="66AC1EC4" w14:textId="0A8790E7" w:rsidR="00F740E7" w:rsidRDefault="002D35BB" w:rsidP="00B379E2">
            <w:pPr>
              <w:spacing w:line="259" w:lineRule="auto"/>
              <w:jc w:val="left"/>
              <w:rPr>
                <w:rFonts w:ascii="Calibri" w:hAnsi="Calibri" w:cs="Calibri"/>
              </w:rPr>
            </w:pPr>
            <w:r>
              <w:rPr>
                <w:rFonts w:ascii="Calibri" w:hAnsi="Calibri" w:cs="Calibri"/>
              </w:rPr>
              <w:t>CEM (nhCEM)</w:t>
            </w:r>
          </w:p>
        </w:tc>
        <w:tc>
          <w:tcPr>
            <w:tcW w:w="2887" w:type="dxa"/>
          </w:tcPr>
          <w:p w14:paraId="742543E7" w14:textId="603254C2" w:rsidR="00F740E7" w:rsidRDefault="002D35BB" w:rsidP="00B379E2">
            <w:pPr>
              <w:spacing w:line="259" w:lineRule="auto"/>
              <w:jc w:val="left"/>
              <w:rPr>
                <w:rFonts w:ascii="Calibri" w:hAnsi="Calibri" w:cs="Calibri"/>
              </w:rPr>
            </w:pPr>
            <w:r>
              <w:rPr>
                <w:rFonts w:ascii="Calibri" w:hAnsi="Calibri" w:cs="Calibri"/>
              </w:rPr>
              <w:t>Customer</w:t>
            </w:r>
          </w:p>
        </w:tc>
      </w:tr>
      <w:tr w:rsidR="00F67703" w14:paraId="53607470" w14:textId="77777777" w:rsidTr="00B379E2">
        <w:trPr>
          <w:trHeight w:val="295"/>
        </w:trPr>
        <w:tc>
          <w:tcPr>
            <w:tcW w:w="1197" w:type="dxa"/>
          </w:tcPr>
          <w:p w14:paraId="6A1E9D88" w14:textId="69A8AD91" w:rsidR="00F67703" w:rsidRDefault="00F67703" w:rsidP="00954233">
            <w:pPr>
              <w:spacing w:line="259" w:lineRule="auto"/>
              <w:jc w:val="left"/>
              <w:rPr>
                <w:rFonts w:ascii="Calibri" w:hAnsi="Calibri" w:cs="Calibri"/>
              </w:rPr>
            </w:pPr>
            <w:r w:rsidRPr="004E2326">
              <w:t>1</w:t>
            </w:r>
          </w:p>
        </w:tc>
        <w:tc>
          <w:tcPr>
            <w:tcW w:w="4899" w:type="dxa"/>
          </w:tcPr>
          <w:p w14:paraId="338E4D17" w14:textId="07177ADB" w:rsidR="00F67703" w:rsidRDefault="00F67703" w:rsidP="00954233">
            <w:pPr>
              <w:spacing w:line="259" w:lineRule="auto"/>
              <w:jc w:val="left"/>
              <w:rPr>
                <w:rFonts w:ascii="Calibri" w:hAnsi="Calibri" w:cs="Calibri"/>
              </w:rPr>
            </w:pPr>
            <w:r w:rsidRPr="004E2326">
              <w:t>CEM (R-Mex)</w:t>
            </w:r>
          </w:p>
        </w:tc>
        <w:tc>
          <w:tcPr>
            <w:tcW w:w="2887" w:type="dxa"/>
          </w:tcPr>
          <w:p w14:paraId="7530274C" w14:textId="2AD0DB9B" w:rsidR="00F67703" w:rsidRDefault="00F67703" w:rsidP="00954233">
            <w:pPr>
              <w:spacing w:line="259" w:lineRule="auto"/>
              <w:jc w:val="left"/>
              <w:rPr>
                <w:rFonts w:ascii="Calibri" w:hAnsi="Calibri" w:cs="Calibri"/>
              </w:rPr>
            </w:pPr>
            <w:r w:rsidRPr="004E2326">
              <w:t xml:space="preserve">Customer </w:t>
            </w:r>
          </w:p>
        </w:tc>
      </w:tr>
      <w:tr w:rsidR="00B353FB" w14:paraId="48C666C3" w14:textId="77777777" w:rsidTr="00B379E2">
        <w:trPr>
          <w:trHeight w:val="295"/>
        </w:trPr>
        <w:tc>
          <w:tcPr>
            <w:tcW w:w="1197" w:type="dxa"/>
          </w:tcPr>
          <w:p w14:paraId="1F8B8CFE" w14:textId="0E29DFBF" w:rsidR="00B353FB" w:rsidRDefault="001D22FC" w:rsidP="00954233">
            <w:pPr>
              <w:spacing w:line="259" w:lineRule="auto"/>
              <w:jc w:val="left"/>
              <w:rPr>
                <w:rFonts w:ascii="Calibri" w:hAnsi="Calibri" w:cs="Calibri"/>
              </w:rPr>
            </w:pPr>
            <w:r>
              <w:rPr>
                <w:rFonts w:ascii="Calibri" w:hAnsi="Calibri" w:cs="Calibri"/>
              </w:rPr>
              <w:t>1</w:t>
            </w:r>
          </w:p>
        </w:tc>
        <w:tc>
          <w:tcPr>
            <w:tcW w:w="4899" w:type="dxa"/>
          </w:tcPr>
          <w:p w14:paraId="47ACB853" w14:textId="64C43432" w:rsidR="00B353FB" w:rsidRDefault="001D22FC" w:rsidP="00954233">
            <w:pPr>
              <w:spacing w:line="259" w:lineRule="auto"/>
              <w:jc w:val="left"/>
              <w:rPr>
                <w:rFonts w:ascii="Calibri" w:hAnsi="Calibri" w:cs="Calibri"/>
              </w:rPr>
            </w:pPr>
            <w:r>
              <w:rPr>
                <w:rFonts w:ascii="Calibri" w:hAnsi="Calibri" w:cs="Calibri"/>
              </w:rPr>
              <w:t>CEM (hCEM)</w:t>
            </w:r>
          </w:p>
        </w:tc>
        <w:tc>
          <w:tcPr>
            <w:tcW w:w="2887" w:type="dxa"/>
          </w:tcPr>
          <w:p w14:paraId="48283001" w14:textId="258A3812" w:rsidR="00B353FB" w:rsidRDefault="001D22FC" w:rsidP="00954233">
            <w:pPr>
              <w:spacing w:line="259" w:lineRule="auto"/>
              <w:jc w:val="left"/>
              <w:rPr>
                <w:rFonts w:ascii="Calibri" w:hAnsi="Calibri" w:cs="Calibri"/>
              </w:rPr>
            </w:pPr>
            <w:r>
              <w:rPr>
                <w:rFonts w:ascii="Calibri" w:hAnsi="Calibri" w:cs="Calibri"/>
              </w:rPr>
              <w:t>Customer</w:t>
            </w:r>
          </w:p>
        </w:tc>
      </w:tr>
      <w:tr w:rsidR="008D2028" w14:paraId="32F722BA" w14:textId="77777777" w:rsidTr="00B379E2">
        <w:trPr>
          <w:trHeight w:val="321"/>
        </w:trPr>
        <w:tc>
          <w:tcPr>
            <w:tcW w:w="1197" w:type="dxa"/>
          </w:tcPr>
          <w:p w14:paraId="6069B304" w14:textId="27955B38" w:rsidR="008D2028" w:rsidRDefault="008D2028" w:rsidP="00954233">
            <w:pPr>
              <w:spacing w:line="259" w:lineRule="auto"/>
              <w:jc w:val="left"/>
              <w:rPr>
                <w:rFonts w:ascii="Calibri" w:hAnsi="Calibri" w:cs="Calibri"/>
              </w:rPr>
            </w:pPr>
            <w:r w:rsidRPr="00A54BB6">
              <w:t>1</w:t>
            </w:r>
          </w:p>
        </w:tc>
        <w:tc>
          <w:tcPr>
            <w:tcW w:w="4899" w:type="dxa"/>
          </w:tcPr>
          <w:p w14:paraId="5205903F" w14:textId="27D93A27" w:rsidR="008D2028" w:rsidRDefault="008D2028" w:rsidP="00BE276B">
            <w:pPr>
              <w:jc w:val="left"/>
            </w:pPr>
            <w:r w:rsidRPr="00A54BB6">
              <w:t>CEM (UKCSI)</w:t>
            </w:r>
          </w:p>
        </w:tc>
        <w:tc>
          <w:tcPr>
            <w:tcW w:w="2887" w:type="dxa"/>
          </w:tcPr>
          <w:p w14:paraId="3A7B9B07" w14:textId="5398B698" w:rsidR="008D2028" w:rsidRDefault="008D2028" w:rsidP="00954233">
            <w:pPr>
              <w:spacing w:line="259" w:lineRule="auto"/>
              <w:jc w:val="left"/>
              <w:rPr>
                <w:rFonts w:ascii="Calibri" w:hAnsi="Calibri" w:cs="Calibri"/>
              </w:rPr>
            </w:pPr>
            <w:r w:rsidRPr="00A54BB6">
              <w:t xml:space="preserve">Customer </w:t>
            </w:r>
          </w:p>
        </w:tc>
      </w:tr>
      <w:tr w:rsidR="008D2028" w14:paraId="4D6FD6D3" w14:textId="77777777" w:rsidTr="00B379E2">
        <w:trPr>
          <w:trHeight w:val="312"/>
        </w:trPr>
        <w:tc>
          <w:tcPr>
            <w:tcW w:w="1197" w:type="dxa"/>
          </w:tcPr>
          <w:p w14:paraId="4DFC027A" w14:textId="24A1C98D" w:rsidR="008D2028" w:rsidRDefault="008D2028" w:rsidP="00954233">
            <w:pPr>
              <w:spacing w:line="259" w:lineRule="auto"/>
              <w:jc w:val="left"/>
              <w:rPr>
                <w:rFonts w:ascii="Calibri" w:hAnsi="Calibri" w:cs="Calibri"/>
              </w:rPr>
            </w:pPr>
            <w:r w:rsidRPr="00A54BB6">
              <w:t>1</w:t>
            </w:r>
          </w:p>
        </w:tc>
        <w:tc>
          <w:tcPr>
            <w:tcW w:w="4899" w:type="dxa"/>
          </w:tcPr>
          <w:p w14:paraId="57F7D20B" w14:textId="6DBDE203" w:rsidR="008D2028" w:rsidRDefault="008D2028" w:rsidP="00BE276B">
            <w:pPr>
              <w:jc w:val="left"/>
            </w:pPr>
            <w:r w:rsidRPr="00A54BB6">
              <w:t>CEM (Communities)</w:t>
            </w:r>
          </w:p>
        </w:tc>
        <w:tc>
          <w:tcPr>
            <w:tcW w:w="2887" w:type="dxa"/>
          </w:tcPr>
          <w:p w14:paraId="5941D406" w14:textId="28948B59" w:rsidR="008D2028" w:rsidRDefault="008D2028" w:rsidP="00954233">
            <w:pPr>
              <w:spacing w:line="259" w:lineRule="auto"/>
              <w:jc w:val="left"/>
              <w:rPr>
                <w:rFonts w:ascii="Calibri" w:hAnsi="Calibri" w:cs="Calibri"/>
              </w:rPr>
            </w:pPr>
            <w:r w:rsidRPr="00A54BB6">
              <w:t xml:space="preserve">Customer </w:t>
            </w:r>
          </w:p>
        </w:tc>
      </w:tr>
      <w:tr w:rsidR="002F61D9" w14:paraId="765BB6BE" w14:textId="77777777" w:rsidTr="00B379E2">
        <w:trPr>
          <w:trHeight w:val="321"/>
        </w:trPr>
        <w:tc>
          <w:tcPr>
            <w:tcW w:w="1197" w:type="dxa"/>
          </w:tcPr>
          <w:p w14:paraId="4505495B" w14:textId="0657747F" w:rsidR="002F61D9" w:rsidRDefault="002F61D9" w:rsidP="00954233">
            <w:pPr>
              <w:spacing w:line="259" w:lineRule="auto"/>
              <w:jc w:val="left"/>
              <w:rPr>
                <w:rFonts w:ascii="Calibri" w:hAnsi="Calibri" w:cs="Calibri"/>
              </w:rPr>
            </w:pPr>
            <w:r>
              <w:rPr>
                <w:rFonts w:ascii="Calibri" w:hAnsi="Calibri" w:cs="Calibri"/>
              </w:rPr>
              <w:t>1</w:t>
            </w:r>
          </w:p>
        </w:tc>
        <w:tc>
          <w:tcPr>
            <w:tcW w:w="4899" w:type="dxa"/>
          </w:tcPr>
          <w:p w14:paraId="76DC0F75" w14:textId="14934F80" w:rsidR="002F61D9" w:rsidRPr="005478B8" w:rsidRDefault="002F61D9" w:rsidP="00BE276B">
            <w:pPr>
              <w:jc w:val="left"/>
            </w:pPr>
            <w:r>
              <w:t>Leakage</w:t>
            </w:r>
          </w:p>
        </w:tc>
        <w:tc>
          <w:tcPr>
            <w:tcW w:w="2887" w:type="dxa"/>
          </w:tcPr>
          <w:p w14:paraId="7349EED1" w14:textId="423441C9" w:rsidR="002F61D9" w:rsidRDefault="002F61D9" w:rsidP="00954233">
            <w:pPr>
              <w:spacing w:line="259" w:lineRule="auto"/>
              <w:jc w:val="left"/>
              <w:rPr>
                <w:rFonts w:ascii="Calibri" w:hAnsi="Calibri" w:cs="Calibri"/>
              </w:rPr>
            </w:pPr>
            <w:r>
              <w:rPr>
                <w:rFonts w:ascii="Calibri" w:hAnsi="Calibri" w:cs="Calibri"/>
              </w:rPr>
              <w:t>Water continuity</w:t>
            </w:r>
          </w:p>
        </w:tc>
      </w:tr>
      <w:tr w:rsidR="002F61D9" w14:paraId="4F7B5E56" w14:textId="77777777" w:rsidTr="00B379E2">
        <w:trPr>
          <w:trHeight w:val="312"/>
        </w:trPr>
        <w:tc>
          <w:tcPr>
            <w:tcW w:w="1197" w:type="dxa"/>
          </w:tcPr>
          <w:p w14:paraId="368D6DA2" w14:textId="4867F32D" w:rsidR="002F61D9" w:rsidRDefault="002F61D9" w:rsidP="00954233">
            <w:pPr>
              <w:spacing w:line="259" w:lineRule="auto"/>
              <w:jc w:val="left"/>
              <w:rPr>
                <w:rFonts w:ascii="Calibri" w:hAnsi="Calibri" w:cs="Calibri"/>
              </w:rPr>
            </w:pPr>
            <w:r>
              <w:rPr>
                <w:rFonts w:ascii="Calibri" w:hAnsi="Calibri" w:cs="Calibri"/>
              </w:rPr>
              <w:t>1</w:t>
            </w:r>
          </w:p>
        </w:tc>
        <w:tc>
          <w:tcPr>
            <w:tcW w:w="4899" w:type="dxa"/>
          </w:tcPr>
          <w:p w14:paraId="6AB3A8E8" w14:textId="3C813FC0" w:rsidR="002F61D9" w:rsidRPr="005478B8" w:rsidRDefault="002F61D9" w:rsidP="00BE276B">
            <w:pPr>
              <w:jc w:val="left"/>
            </w:pPr>
            <w:r w:rsidRPr="005478B8">
              <w:t>Leakage</w:t>
            </w:r>
          </w:p>
        </w:tc>
        <w:tc>
          <w:tcPr>
            <w:tcW w:w="2887" w:type="dxa"/>
          </w:tcPr>
          <w:p w14:paraId="0963A9F2" w14:textId="65948E49" w:rsidR="002F61D9" w:rsidRDefault="002F61D9" w:rsidP="00954233">
            <w:pPr>
              <w:spacing w:line="259" w:lineRule="auto"/>
              <w:jc w:val="left"/>
              <w:rPr>
                <w:rFonts w:ascii="Calibri" w:hAnsi="Calibri" w:cs="Calibri"/>
              </w:rPr>
            </w:pPr>
            <w:r>
              <w:rPr>
                <w:rFonts w:ascii="Calibri" w:hAnsi="Calibri" w:cs="Calibri"/>
              </w:rPr>
              <w:t>Water continuity</w:t>
            </w:r>
          </w:p>
        </w:tc>
      </w:tr>
      <w:tr w:rsidR="002F61D9" w14:paraId="5223C584" w14:textId="77777777" w:rsidTr="00B379E2">
        <w:trPr>
          <w:trHeight w:val="312"/>
        </w:trPr>
        <w:tc>
          <w:tcPr>
            <w:tcW w:w="1197" w:type="dxa"/>
          </w:tcPr>
          <w:p w14:paraId="50D75E1F" w14:textId="451B71D7" w:rsidR="002F61D9" w:rsidRDefault="002F61D9" w:rsidP="00954233">
            <w:pPr>
              <w:spacing w:line="259" w:lineRule="auto"/>
              <w:jc w:val="left"/>
              <w:rPr>
                <w:rFonts w:ascii="Calibri" w:hAnsi="Calibri" w:cs="Calibri"/>
              </w:rPr>
            </w:pPr>
            <w:r>
              <w:rPr>
                <w:rFonts w:ascii="Calibri" w:hAnsi="Calibri" w:cs="Calibri"/>
              </w:rPr>
              <w:t>1</w:t>
            </w:r>
          </w:p>
        </w:tc>
        <w:tc>
          <w:tcPr>
            <w:tcW w:w="4899" w:type="dxa"/>
          </w:tcPr>
          <w:p w14:paraId="7142BE59" w14:textId="48EB137B" w:rsidR="002F61D9" w:rsidRPr="005478B8" w:rsidRDefault="002F61D9" w:rsidP="00BE276B">
            <w:pPr>
              <w:jc w:val="left"/>
            </w:pPr>
            <w:r w:rsidRPr="005478B8">
              <w:t>Business demand</w:t>
            </w:r>
          </w:p>
        </w:tc>
        <w:tc>
          <w:tcPr>
            <w:tcW w:w="2887" w:type="dxa"/>
          </w:tcPr>
          <w:p w14:paraId="288D5C89" w14:textId="7D572F5F" w:rsidR="002F61D9" w:rsidRDefault="002F61D9" w:rsidP="00954233">
            <w:pPr>
              <w:spacing w:line="259" w:lineRule="auto"/>
              <w:jc w:val="left"/>
              <w:rPr>
                <w:rFonts w:ascii="Calibri" w:hAnsi="Calibri" w:cs="Calibri"/>
              </w:rPr>
            </w:pPr>
            <w:r>
              <w:rPr>
                <w:rFonts w:ascii="Calibri" w:hAnsi="Calibri" w:cs="Calibri"/>
              </w:rPr>
              <w:t>Water continuity</w:t>
            </w:r>
          </w:p>
        </w:tc>
      </w:tr>
      <w:tr w:rsidR="002F61D9" w14:paraId="45549D7A" w14:textId="77777777" w:rsidTr="00B379E2">
        <w:trPr>
          <w:trHeight w:val="321"/>
        </w:trPr>
        <w:tc>
          <w:tcPr>
            <w:tcW w:w="1197" w:type="dxa"/>
          </w:tcPr>
          <w:p w14:paraId="15A5AF40" w14:textId="22AEFD09" w:rsidR="002F61D9" w:rsidRDefault="002F61D9" w:rsidP="00954233">
            <w:pPr>
              <w:spacing w:line="259" w:lineRule="auto"/>
              <w:jc w:val="left"/>
              <w:rPr>
                <w:rFonts w:ascii="Calibri" w:hAnsi="Calibri" w:cs="Calibri"/>
              </w:rPr>
            </w:pPr>
            <w:r>
              <w:rPr>
                <w:rFonts w:ascii="Calibri" w:hAnsi="Calibri" w:cs="Calibri"/>
              </w:rPr>
              <w:t>1</w:t>
            </w:r>
          </w:p>
        </w:tc>
        <w:tc>
          <w:tcPr>
            <w:tcW w:w="4899" w:type="dxa"/>
          </w:tcPr>
          <w:p w14:paraId="1040DE07" w14:textId="6A3D9D7C" w:rsidR="002F61D9" w:rsidRPr="005478B8" w:rsidRDefault="002F61D9" w:rsidP="00BE276B">
            <w:pPr>
              <w:jc w:val="left"/>
            </w:pPr>
            <w:r w:rsidRPr="005478B8">
              <w:t>P</w:t>
            </w:r>
            <w:r>
              <w:t>er capita consumption</w:t>
            </w:r>
            <w:r w:rsidR="005527FC">
              <w:t xml:space="preserve"> (PCC)</w:t>
            </w:r>
          </w:p>
        </w:tc>
        <w:tc>
          <w:tcPr>
            <w:tcW w:w="2887" w:type="dxa"/>
          </w:tcPr>
          <w:p w14:paraId="239279BA" w14:textId="511F7A3E" w:rsidR="002F61D9" w:rsidRDefault="002F61D9" w:rsidP="00954233">
            <w:pPr>
              <w:spacing w:line="259" w:lineRule="auto"/>
              <w:jc w:val="left"/>
              <w:rPr>
                <w:rFonts w:ascii="Calibri" w:hAnsi="Calibri" w:cs="Calibri"/>
              </w:rPr>
            </w:pPr>
            <w:r>
              <w:rPr>
                <w:rFonts w:ascii="Calibri" w:hAnsi="Calibri" w:cs="Calibri"/>
              </w:rPr>
              <w:t>Water continuity</w:t>
            </w:r>
          </w:p>
        </w:tc>
      </w:tr>
      <w:tr w:rsidR="0024287E" w14:paraId="03AA7990" w14:textId="77777777" w:rsidTr="00B379E2">
        <w:trPr>
          <w:trHeight w:val="312"/>
        </w:trPr>
        <w:tc>
          <w:tcPr>
            <w:tcW w:w="1197" w:type="dxa"/>
          </w:tcPr>
          <w:p w14:paraId="62E042A0" w14:textId="45B3CD67" w:rsidR="0024287E" w:rsidRDefault="009864F2" w:rsidP="00954233">
            <w:pPr>
              <w:spacing w:line="259" w:lineRule="auto"/>
              <w:jc w:val="left"/>
              <w:rPr>
                <w:rFonts w:ascii="Calibri" w:hAnsi="Calibri" w:cs="Calibri"/>
              </w:rPr>
            </w:pPr>
            <w:r>
              <w:rPr>
                <w:rFonts w:ascii="Calibri" w:hAnsi="Calibri" w:cs="Calibri"/>
              </w:rPr>
              <w:t>1</w:t>
            </w:r>
          </w:p>
        </w:tc>
        <w:tc>
          <w:tcPr>
            <w:tcW w:w="4899" w:type="dxa"/>
          </w:tcPr>
          <w:p w14:paraId="5068D18F" w14:textId="54C128BC" w:rsidR="0024287E" w:rsidRPr="005478B8" w:rsidRDefault="0024287E" w:rsidP="00BE276B">
            <w:pPr>
              <w:jc w:val="left"/>
            </w:pPr>
            <w:r w:rsidRPr="009864F2">
              <w:t>Customers receiving low pressure</w:t>
            </w:r>
          </w:p>
        </w:tc>
        <w:tc>
          <w:tcPr>
            <w:tcW w:w="2887" w:type="dxa"/>
          </w:tcPr>
          <w:p w14:paraId="603C4831" w14:textId="25E69AEE" w:rsidR="0024287E" w:rsidRDefault="009864F2" w:rsidP="00954233">
            <w:pPr>
              <w:spacing w:line="259" w:lineRule="auto"/>
              <w:jc w:val="left"/>
              <w:rPr>
                <w:rFonts w:ascii="Calibri" w:hAnsi="Calibri" w:cs="Calibri"/>
              </w:rPr>
            </w:pPr>
            <w:r w:rsidRPr="009864F2">
              <w:rPr>
                <w:rFonts w:ascii="Calibri" w:hAnsi="Calibri" w:cs="Calibri"/>
              </w:rPr>
              <w:t>Water continuity</w:t>
            </w:r>
          </w:p>
        </w:tc>
      </w:tr>
      <w:tr w:rsidR="002F61D9" w14:paraId="1E12C602" w14:textId="77777777" w:rsidTr="00B379E2">
        <w:trPr>
          <w:trHeight w:val="312"/>
        </w:trPr>
        <w:tc>
          <w:tcPr>
            <w:tcW w:w="1197" w:type="dxa"/>
          </w:tcPr>
          <w:p w14:paraId="548762F1" w14:textId="3A64655B" w:rsidR="002F61D9" w:rsidRDefault="002F61D9" w:rsidP="00954233">
            <w:pPr>
              <w:spacing w:line="259" w:lineRule="auto"/>
              <w:jc w:val="left"/>
              <w:rPr>
                <w:rFonts w:ascii="Calibri" w:hAnsi="Calibri" w:cs="Calibri"/>
              </w:rPr>
            </w:pPr>
            <w:r>
              <w:rPr>
                <w:rFonts w:ascii="Calibri" w:hAnsi="Calibri" w:cs="Calibri"/>
              </w:rPr>
              <w:t>1</w:t>
            </w:r>
          </w:p>
        </w:tc>
        <w:tc>
          <w:tcPr>
            <w:tcW w:w="4899" w:type="dxa"/>
          </w:tcPr>
          <w:p w14:paraId="68EBA219" w14:textId="30D3F316" w:rsidR="002F61D9" w:rsidRPr="005478B8" w:rsidRDefault="002F61D9" w:rsidP="00BE276B">
            <w:pPr>
              <w:jc w:val="left"/>
            </w:pPr>
            <w:r w:rsidRPr="00EA6491">
              <w:t>Unplanned interruptions</w:t>
            </w:r>
          </w:p>
        </w:tc>
        <w:tc>
          <w:tcPr>
            <w:tcW w:w="2887" w:type="dxa"/>
          </w:tcPr>
          <w:p w14:paraId="32B67E29" w14:textId="199A87B2" w:rsidR="002F61D9" w:rsidRDefault="002F61D9" w:rsidP="00954233">
            <w:pPr>
              <w:spacing w:line="259" w:lineRule="auto"/>
              <w:jc w:val="left"/>
              <w:rPr>
                <w:rFonts w:ascii="Calibri" w:hAnsi="Calibri" w:cs="Calibri"/>
              </w:rPr>
            </w:pPr>
            <w:r>
              <w:rPr>
                <w:rFonts w:ascii="Calibri" w:hAnsi="Calibri" w:cs="Calibri"/>
              </w:rPr>
              <w:t>Water continuity</w:t>
            </w:r>
          </w:p>
        </w:tc>
      </w:tr>
      <w:tr w:rsidR="00E756EF" w14:paraId="0C33EC33" w14:textId="77777777" w:rsidTr="00B379E2">
        <w:trPr>
          <w:trHeight w:val="321"/>
        </w:trPr>
        <w:tc>
          <w:tcPr>
            <w:tcW w:w="1197" w:type="dxa"/>
          </w:tcPr>
          <w:p w14:paraId="4632E882" w14:textId="00ED5C6B" w:rsidR="00E756EF" w:rsidRDefault="00E756EF" w:rsidP="00954233">
            <w:pPr>
              <w:spacing w:line="259" w:lineRule="auto"/>
              <w:jc w:val="left"/>
              <w:rPr>
                <w:rFonts w:ascii="Calibri" w:hAnsi="Calibri" w:cs="Calibri"/>
              </w:rPr>
            </w:pPr>
            <w:r w:rsidRPr="0092045B">
              <w:t>1</w:t>
            </w:r>
          </w:p>
        </w:tc>
        <w:tc>
          <w:tcPr>
            <w:tcW w:w="4899" w:type="dxa"/>
          </w:tcPr>
          <w:p w14:paraId="2A0EA54F" w14:textId="2CFF1F95" w:rsidR="00E756EF" w:rsidRPr="00EA6491" w:rsidRDefault="00E756EF" w:rsidP="00BE276B">
            <w:pPr>
              <w:jc w:val="left"/>
            </w:pPr>
            <w:r w:rsidRPr="0092045B">
              <w:t xml:space="preserve">Planned and unplanned interruptions </w:t>
            </w:r>
          </w:p>
        </w:tc>
        <w:tc>
          <w:tcPr>
            <w:tcW w:w="2887" w:type="dxa"/>
          </w:tcPr>
          <w:p w14:paraId="0EE898A0" w14:textId="526B5F23" w:rsidR="00E756EF" w:rsidRDefault="00E756EF" w:rsidP="00954233">
            <w:pPr>
              <w:spacing w:line="259" w:lineRule="auto"/>
              <w:jc w:val="left"/>
              <w:rPr>
                <w:rFonts w:ascii="Calibri" w:hAnsi="Calibri" w:cs="Calibri"/>
              </w:rPr>
            </w:pPr>
            <w:r w:rsidRPr="0092045B">
              <w:t>Water continuity</w:t>
            </w:r>
          </w:p>
        </w:tc>
      </w:tr>
      <w:tr w:rsidR="00EE5A6C" w14:paraId="13596441" w14:textId="77777777" w:rsidTr="00B379E2">
        <w:trPr>
          <w:trHeight w:val="283"/>
        </w:trPr>
        <w:tc>
          <w:tcPr>
            <w:tcW w:w="1197" w:type="dxa"/>
          </w:tcPr>
          <w:p w14:paraId="1A9808C7" w14:textId="4BD86957" w:rsidR="00EE5A6C" w:rsidRDefault="00EE5A6C" w:rsidP="00954233">
            <w:pPr>
              <w:spacing w:line="259" w:lineRule="auto"/>
              <w:jc w:val="left"/>
              <w:rPr>
                <w:rFonts w:ascii="Calibri" w:hAnsi="Calibri" w:cs="Calibri"/>
              </w:rPr>
            </w:pPr>
            <w:r>
              <w:rPr>
                <w:rFonts w:ascii="Calibri" w:hAnsi="Calibri" w:cs="Calibri"/>
              </w:rPr>
              <w:lastRenderedPageBreak/>
              <w:t>1</w:t>
            </w:r>
          </w:p>
        </w:tc>
        <w:tc>
          <w:tcPr>
            <w:tcW w:w="4899" w:type="dxa"/>
          </w:tcPr>
          <w:p w14:paraId="55956A8C" w14:textId="484E15DB" w:rsidR="00EE5A6C" w:rsidRDefault="00EE5A6C" w:rsidP="00954233">
            <w:pPr>
              <w:spacing w:line="259" w:lineRule="auto"/>
              <w:jc w:val="left"/>
              <w:rPr>
                <w:rFonts w:ascii="Calibri" w:hAnsi="Calibri" w:cs="Calibri"/>
              </w:rPr>
            </w:pPr>
            <w:r w:rsidRPr="00EA6491">
              <w:t>Unplanned interruptions</w:t>
            </w:r>
          </w:p>
        </w:tc>
        <w:tc>
          <w:tcPr>
            <w:tcW w:w="2887" w:type="dxa"/>
          </w:tcPr>
          <w:p w14:paraId="602555CC" w14:textId="76A957EF" w:rsidR="00EE5A6C" w:rsidRDefault="00EE5A6C" w:rsidP="00954233">
            <w:pPr>
              <w:spacing w:line="259" w:lineRule="auto"/>
              <w:jc w:val="left"/>
              <w:rPr>
                <w:rFonts w:ascii="Calibri" w:hAnsi="Calibri" w:cs="Calibri"/>
              </w:rPr>
            </w:pPr>
            <w:r>
              <w:rPr>
                <w:rFonts w:ascii="Calibri" w:hAnsi="Calibri" w:cs="Calibri"/>
              </w:rPr>
              <w:t>Water continuity</w:t>
            </w:r>
          </w:p>
        </w:tc>
      </w:tr>
      <w:tr w:rsidR="00875C5C" w14:paraId="5F8A1F19" w14:textId="77777777" w:rsidTr="00B379E2">
        <w:trPr>
          <w:trHeight w:val="283"/>
        </w:trPr>
        <w:tc>
          <w:tcPr>
            <w:tcW w:w="1197" w:type="dxa"/>
          </w:tcPr>
          <w:p w14:paraId="2817E1C5" w14:textId="59E764FF" w:rsidR="00875C5C" w:rsidRDefault="00875C5C" w:rsidP="00954233">
            <w:pPr>
              <w:spacing w:line="259" w:lineRule="auto"/>
              <w:jc w:val="left"/>
              <w:rPr>
                <w:rFonts w:ascii="Calibri" w:hAnsi="Calibri" w:cs="Calibri"/>
              </w:rPr>
            </w:pPr>
            <w:r w:rsidRPr="00361047" w:rsidDel="00821663">
              <w:t>1</w:t>
            </w:r>
          </w:p>
        </w:tc>
        <w:tc>
          <w:tcPr>
            <w:tcW w:w="4899" w:type="dxa"/>
          </w:tcPr>
          <w:p w14:paraId="373D0A33" w14:textId="1D1A7291" w:rsidR="00875C5C" w:rsidRDefault="00875C5C" w:rsidP="00954233">
            <w:pPr>
              <w:spacing w:line="259" w:lineRule="auto"/>
              <w:jc w:val="left"/>
              <w:rPr>
                <w:rFonts w:ascii="Calibri" w:hAnsi="Calibri" w:cs="Calibri"/>
              </w:rPr>
            </w:pPr>
            <w:r w:rsidRPr="00361047">
              <w:t>Water availability (drought)</w:t>
            </w:r>
          </w:p>
        </w:tc>
        <w:tc>
          <w:tcPr>
            <w:tcW w:w="2887" w:type="dxa"/>
          </w:tcPr>
          <w:p w14:paraId="3BBD12E1" w14:textId="1AA9D5AE" w:rsidR="00875C5C" w:rsidRDefault="00875C5C" w:rsidP="00954233">
            <w:pPr>
              <w:spacing w:line="259" w:lineRule="auto"/>
              <w:jc w:val="left"/>
              <w:rPr>
                <w:rFonts w:ascii="Calibri" w:hAnsi="Calibri" w:cs="Calibri"/>
              </w:rPr>
            </w:pPr>
            <w:r w:rsidRPr="00361047" w:rsidDel="00821663">
              <w:t>Water continuity</w:t>
            </w:r>
          </w:p>
        </w:tc>
      </w:tr>
      <w:tr w:rsidR="00875C5C" w14:paraId="0BB0FDD1" w14:textId="77777777" w:rsidTr="00B379E2">
        <w:trPr>
          <w:trHeight w:val="283"/>
        </w:trPr>
        <w:tc>
          <w:tcPr>
            <w:tcW w:w="1197" w:type="dxa"/>
          </w:tcPr>
          <w:p w14:paraId="26E664A6" w14:textId="72AB011A" w:rsidR="00875C5C" w:rsidRDefault="00875C5C" w:rsidP="00954233">
            <w:pPr>
              <w:spacing w:line="259" w:lineRule="auto"/>
              <w:jc w:val="left"/>
              <w:rPr>
                <w:rFonts w:ascii="Calibri" w:hAnsi="Calibri" w:cs="Calibri"/>
              </w:rPr>
            </w:pPr>
            <w:r w:rsidRPr="00361047">
              <w:t>1</w:t>
            </w:r>
          </w:p>
        </w:tc>
        <w:tc>
          <w:tcPr>
            <w:tcW w:w="4899" w:type="dxa"/>
          </w:tcPr>
          <w:p w14:paraId="6FAFF4F7" w14:textId="25563BFB" w:rsidR="00875C5C" w:rsidRPr="007E7F04" w:rsidRDefault="00875C5C" w:rsidP="00954233">
            <w:pPr>
              <w:spacing w:line="259" w:lineRule="auto"/>
              <w:jc w:val="left"/>
            </w:pPr>
            <w:r w:rsidRPr="00361047">
              <w:t>Water availability (peak demand)</w:t>
            </w:r>
          </w:p>
        </w:tc>
        <w:tc>
          <w:tcPr>
            <w:tcW w:w="2887" w:type="dxa"/>
          </w:tcPr>
          <w:p w14:paraId="4C559E91" w14:textId="7847D7A2" w:rsidR="00875C5C" w:rsidRDefault="00875C5C" w:rsidP="00954233">
            <w:pPr>
              <w:spacing w:line="259" w:lineRule="auto"/>
              <w:jc w:val="left"/>
              <w:rPr>
                <w:rFonts w:ascii="Calibri" w:hAnsi="Calibri" w:cs="Calibri"/>
              </w:rPr>
            </w:pPr>
            <w:r w:rsidRPr="00361047">
              <w:t>Water continuity</w:t>
            </w:r>
          </w:p>
        </w:tc>
      </w:tr>
      <w:tr w:rsidR="00A83233" w14:paraId="112EAC0F" w14:textId="77777777" w:rsidTr="00B379E2">
        <w:trPr>
          <w:trHeight w:val="283"/>
        </w:trPr>
        <w:tc>
          <w:tcPr>
            <w:tcW w:w="1197" w:type="dxa"/>
          </w:tcPr>
          <w:p w14:paraId="50C5D0B9" w14:textId="0077461D" w:rsidR="00A83233" w:rsidRDefault="00A83233" w:rsidP="00954233">
            <w:pPr>
              <w:spacing w:line="259" w:lineRule="auto"/>
              <w:jc w:val="left"/>
              <w:rPr>
                <w:rFonts w:ascii="Calibri" w:hAnsi="Calibri" w:cs="Calibri"/>
              </w:rPr>
            </w:pPr>
            <w:r w:rsidRPr="00701B4C" w:rsidDel="007F5A5D">
              <w:t>2</w:t>
            </w:r>
          </w:p>
        </w:tc>
        <w:tc>
          <w:tcPr>
            <w:tcW w:w="4899" w:type="dxa"/>
          </w:tcPr>
          <w:p w14:paraId="4FE539D3" w14:textId="7AC9681A" w:rsidR="00A83233" w:rsidRDefault="00A83233" w:rsidP="00954233">
            <w:pPr>
              <w:spacing w:line="259" w:lineRule="auto"/>
              <w:jc w:val="left"/>
              <w:rPr>
                <w:rFonts w:ascii="Calibri" w:hAnsi="Calibri" w:cs="Calibri"/>
              </w:rPr>
            </w:pPr>
            <w:r w:rsidRPr="00701B4C">
              <w:t>Drinking water aesthetics (taste and odour)</w:t>
            </w:r>
          </w:p>
        </w:tc>
        <w:tc>
          <w:tcPr>
            <w:tcW w:w="2887" w:type="dxa"/>
          </w:tcPr>
          <w:p w14:paraId="27E82DB8" w14:textId="1BAB95AD" w:rsidR="00A83233" w:rsidRDefault="00A83233" w:rsidP="00954233">
            <w:pPr>
              <w:spacing w:line="259" w:lineRule="auto"/>
              <w:jc w:val="left"/>
              <w:rPr>
                <w:rFonts w:ascii="Calibri" w:hAnsi="Calibri" w:cs="Calibri"/>
              </w:rPr>
            </w:pPr>
            <w:r w:rsidRPr="00701B4C" w:rsidDel="007F5A5D">
              <w:t xml:space="preserve">Drinking water quality </w:t>
            </w:r>
          </w:p>
        </w:tc>
      </w:tr>
      <w:tr w:rsidR="00A83233" w14:paraId="700B4EC7" w14:textId="77777777" w:rsidTr="00B379E2">
        <w:trPr>
          <w:trHeight w:val="283"/>
        </w:trPr>
        <w:tc>
          <w:tcPr>
            <w:tcW w:w="1197" w:type="dxa"/>
          </w:tcPr>
          <w:p w14:paraId="0EBE223E" w14:textId="44AF0FCC" w:rsidR="00A83233" w:rsidRDefault="00A83233" w:rsidP="00954233">
            <w:pPr>
              <w:spacing w:line="259" w:lineRule="auto"/>
              <w:jc w:val="left"/>
              <w:rPr>
                <w:rFonts w:ascii="Calibri" w:hAnsi="Calibri" w:cs="Calibri"/>
              </w:rPr>
            </w:pPr>
            <w:r w:rsidRPr="00701B4C">
              <w:t>2</w:t>
            </w:r>
          </w:p>
        </w:tc>
        <w:tc>
          <w:tcPr>
            <w:tcW w:w="4899" w:type="dxa"/>
          </w:tcPr>
          <w:p w14:paraId="2F3453F4" w14:textId="0AFDE971" w:rsidR="00A83233" w:rsidRPr="007E7F04" w:rsidRDefault="00A83233" w:rsidP="00954233">
            <w:pPr>
              <w:spacing w:line="259" w:lineRule="auto"/>
              <w:jc w:val="left"/>
            </w:pPr>
            <w:r w:rsidRPr="00701B4C">
              <w:t>Drinking water aesthetics (aesthetics)</w:t>
            </w:r>
          </w:p>
        </w:tc>
        <w:tc>
          <w:tcPr>
            <w:tcW w:w="2887" w:type="dxa"/>
          </w:tcPr>
          <w:p w14:paraId="058590A9" w14:textId="49F14FD8" w:rsidR="00A83233" w:rsidRDefault="00A83233" w:rsidP="00954233">
            <w:pPr>
              <w:spacing w:line="259" w:lineRule="auto"/>
              <w:jc w:val="left"/>
              <w:rPr>
                <w:rFonts w:ascii="Calibri" w:hAnsi="Calibri" w:cs="Calibri"/>
              </w:rPr>
            </w:pPr>
            <w:r w:rsidRPr="00701B4C">
              <w:t xml:space="preserve">Drinking water quality </w:t>
            </w:r>
          </w:p>
        </w:tc>
      </w:tr>
      <w:tr w:rsidR="00A83233" w14:paraId="6D9ECB8E" w14:textId="77777777" w:rsidTr="00B379E2">
        <w:trPr>
          <w:trHeight w:val="283"/>
        </w:trPr>
        <w:tc>
          <w:tcPr>
            <w:tcW w:w="1197" w:type="dxa"/>
          </w:tcPr>
          <w:p w14:paraId="7CDA08A6" w14:textId="4990E95C" w:rsidR="00A83233" w:rsidRDefault="00A83233" w:rsidP="00954233">
            <w:pPr>
              <w:spacing w:line="259" w:lineRule="auto"/>
              <w:jc w:val="left"/>
              <w:rPr>
                <w:rFonts w:ascii="Calibri" w:hAnsi="Calibri" w:cs="Calibri"/>
              </w:rPr>
            </w:pPr>
            <w:r w:rsidRPr="00701B4C">
              <w:t>2</w:t>
            </w:r>
          </w:p>
        </w:tc>
        <w:tc>
          <w:tcPr>
            <w:tcW w:w="4899" w:type="dxa"/>
          </w:tcPr>
          <w:p w14:paraId="538AB8EC" w14:textId="57554ABC" w:rsidR="00A83233" w:rsidRPr="007E7F04" w:rsidRDefault="00A83233" w:rsidP="00954233">
            <w:pPr>
              <w:spacing w:line="259" w:lineRule="auto"/>
              <w:jc w:val="left"/>
            </w:pPr>
            <w:r w:rsidRPr="00701B4C">
              <w:t>Drinking water quality (lead pipes)</w:t>
            </w:r>
          </w:p>
        </w:tc>
        <w:tc>
          <w:tcPr>
            <w:tcW w:w="2887" w:type="dxa"/>
          </w:tcPr>
          <w:p w14:paraId="0BE50FE0" w14:textId="7E20DFBE" w:rsidR="00A83233" w:rsidRDefault="00A83233" w:rsidP="00954233">
            <w:pPr>
              <w:spacing w:line="259" w:lineRule="auto"/>
              <w:jc w:val="left"/>
              <w:rPr>
                <w:rFonts w:ascii="Calibri" w:hAnsi="Calibri" w:cs="Calibri"/>
              </w:rPr>
            </w:pPr>
            <w:r w:rsidRPr="00701B4C">
              <w:t xml:space="preserve">Drinking water quality </w:t>
            </w:r>
          </w:p>
        </w:tc>
      </w:tr>
      <w:tr w:rsidR="00A83233" w14:paraId="10A7A97C" w14:textId="77777777" w:rsidTr="00B379E2">
        <w:trPr>
          <w:trHeight w:val="283"/>
        </w:trPr>
        <w:tc>
          <w:tcPr>
            <w:tcW w:w="1197" w:type="dxa"/>
          </w:tcPr>
          <w:p w14:paraId="7FF3F5DA" w14:textId="4E3466DF" w:rsidR="00A83233" w:rsidRDefault="00A83233" w:rsidP="00954233">
            <w:pPr>
              <w:spacing w:line="259" w:lineRule="auto"/>
              <w:jc w:val="left"/>
              <w:rPr>
                <w:rFonts w:ascii="Calibri" w:hAnsi="Calibri" w:cs="Calibri"/>
              </w:rPr>
            </w:pPr>
            <w:r w:rsidRPr="00701B4C">
              <w:t>2</w:t>
            </w:r>
          </w:p>
        </w:tc>
        <w:tc>
          <w:tcPr>
            <w:tcW w:w="4899" w:type="dxa"/>
          </w:tcPr>
          <w:p w14:paraId="4D2BA25B" w14:textId="4B5B53C0" w:rsidR="00A83233" w:rsidRPr="007E7F04" w:rsidRDefault="00A83233" w:rsidP="00954233">
            <w:pPr>
              <w:spacing w:line="259" w:lineRule="auto"/>
              <w:jc w:val="left"/>
            </w:pPr>
            <w:r w:rsidRPr="00701B4C">
              <w:t>Drinking water quality (lead)</w:t>
            </w:r>
          </w:p>
        </w:tc>
        <w:tc>
          <w:tcPr>
            <w:tcW w:w="2887" w:type="dxa"/>
          </w:tcPr>
          <w:p w14:paraId="1E006822" w14:textId="09A8C552" w:rsidR="00A83233" w:rsidRDefault="00A83233" w:rsidP="00954233">
            <w:pPr>
              <w:spacing w:line="259" w:lineRule="auto"/>
              <w:jc w:val="left"/>
              <w:rPr>
                <w:rFonts w:ascii="Calibri" w:hAnsi="Calibri" w:cs="Calibri"/>
              </w:rPr>
            </w:pPr>
            <w:r w:rsidRPr="00701B4C">
              <w:t xml:space="preserve">Drinking water quality </w:t>
            </w:r>
          </w:p>
        </w:tc>
      </w:tr>
      <w:tr w:rsidR="00F2680B" w14:paraId="32A79095" w14:textId="77777777" w:rsidTr="00B379E2">
        <w:trPr>
          <w:trHeight w:val="283"/>
        </w:trPr>
        <w:tc>
          <w:tcPr>
            <w:tcW w:w="1197" w:type="dxa"/>
          </w:tcPr>
          <w:p w14:paraId="3539F457" w14:textId="0E8A3225" w:rsidR="00F2680B" w:rsidRDefault="00F2680B" w:rsidP="00954233">
            <w:pPr>
              <w:spacing w:line="259" w:lineRule="auto"/>
              <w:jc w:val="left"/>
              <w:rPr>
                <w:rFonts w:ascii="Calibri" w:hAnsi="Calibri" w:cs="Calibri"/>
              </w:rPr>
            </w:pPr>
            <w:r>
              <w:rPr>
                <w:rFonts w:ascii="Calibri" w:hAnsi="Calibri" w:cs="Calibri"/>
              </w:rPr>
              <w:t>2</w:t>
            </w:r>
          </w:p>
        </w:tc>
        <w:tc>
          <w:tcPr>
            <w:tcW w:w="4899" w:type="dxa"/>
          </w:tcPr>
          <w:p w14:paraId="0B5F7D08" w14:textId="5456491D" w:rsidR="00F2680B" w:rsidRDefault="00F2680B" w:rsidP="00954233">
            <w:pPr>
              <w:spacing w:line="259" w:lineRule="auto"/>
              <w:jc w:val="left"/>
              <w:rPr>
                <w:rFonts w:ascii="Calibri" w:hAnsi="Calibri" w:cs="Calibri"/>
              </w:rPr>
            </w:pPr>
            <w:r w:rsidRPr="007E7F04">
              <w:t>Drinking water quality</w:t>
            </w:r>
          </w:p>
        </w:tc>
        <w:tc>
          <w:tcPr>
            <w:tcW w:w="2887" w:type="dxa"/>
          </w:tcPr>
          <w:p w14:paraId="694C640F" w14:textId="6918E6E1" w:rsidR="00F2680B" w:rsidRDefault="00F2680B" w:rsidP="00954233">
            <w:pPr>
              <w:spacing w:line="259" w:lineRule="auto"/>
              <w:jc w:val="left"/>
              <w:rPr>
                <w:rFonts w:ascii="Calibri" w:hAnsi="Calibri" w:cs="Calibri"/>
              </w:rPr>
            </w:pPr>
            <w:r>
              <w:rPr>
                <w:rFonts w:ascii="Calibri" w:hAnsi="Calibri" w:cs="Calibri"/>
              </w:rPr>
              <w:t>Drinking water quality</w:t>
            </w:r>
          </w:p>
        </w:tc>
      </w:tr>
      <w:tr w:rsidR="00941FE7" w14:paraId="00C53BFC" w14:textId="77777777" w:rsidTr="00B379E2">
        <w:trPr>
          <w:trHeight w:val="283"/>
        </w:trPr>
        <w:tc>
          <w:tcPr>
            <w:tcW w:w="1197" w:type="dxa"/>
          </w:tcPr>
          <w:p w14:paraId="57E2898A" w14:textId="654D7F62" w:rsidR="00941FE7" w:rsidRDefault="00941FE7" w:rsidP="00954233">
            <w:pPr>
              <w:spacing w:line="259" w:lineRule="auto"/>
              <w:jc w:val="left"/>
              <w:rPr>
                <w:rFonts w:ascii="Calibri" w:hAnsi="Calibri" w:cs="Calibri"/>
              </w:rPr>
            </w:pPr>
            <w:r w:rsidRPr="008442B4">
              <w:t>2</w:t>
            </w:r>
          </w:p>
        </w:tc>
        <w:tc>
          <w:tcPr>
            <w:tcW w:w="4899" w:type="dxa"/>
          </w:tcPr>
          <w:p w14:paraId="28C35F2F" w14:textId="691CBC66" w:rsidR="00941FE7" w:rsidRPr="007E7F04" w:rsidRDefault="00941FE7" w:rsidP="00954233">
            <w:pPr>
              <w:spacing w:line="259" w:lineRule="auto"/>
              <w:jc w:val="left"/>
            </w:pPr>
            <w:r w:rsidRPr="008442B4">
              <w:t>Drinking water quality (risk)</w:t>
            </w:r>
          </w:p>
        </w:tc>
        <w:tc>
          <w:tcPr>
            <w:tcW w:w="2887" w:type="dxa"/>
          </w:tcPr>
          <w:p w14:paraId="6A274D16" w14:textId="0E74812E" w:rsidR="00941FE7" w:rsidRDefault="00941FE7" w:rsidP="00954233">
            <w:pPr>
              <w:spacing w:line="259" w:lineRule="auto"/>
              <w:jc w:val="left"/>
              <w:rPr>
                <w:rFonts w:ascii="Calibri" w:hAnsi="Calibri" w:cs="Calibri"/>
              </w:rPr>
            </w:pPr>
            <w:r w:rsidRPr="008442B4">
              <w:t xml:space="preserve">Drinking water quality </w:t>
            </w:r>
          </w:p>
        </w:tc>
      </w:tr>
      <w:tr w:rsidR="00941FE7" w14:paraId="61EAAC47" w14:textId="77777777" w:rsidTr="00B379E2">
        <w:trPr>
          <w:trHeight w:val="283"/>
        </w:trPr>
        <w:tc>
          <w:tcPr>
            <w:tcW w:w="1197" w:type="dxa"/>
          </w:tcPr>
          <w:p w14:paraId="299AD0BF" w14:textId="268C794F" w:rsidR="00941FE7" w:rsidRDefault="00941FE7" w:rsidP="00954233">
            <w:pPr>
              <w:spacing w:line="259" w:lineRule="auto"/>
              <w:jc w:val="left"/>
              <w:rPr>
                <w:rFonts w:ascii="Calibri" w:hAnsi="Calibri" w:cs="Calibri"/>
              </w:rPr>
            </w:pPr>
            <w:r w:rsidRPr="008442B4">
              <w:t>2</w:t>
            </w:r>
          </w:p>
        </w:tc>
        <w:tc>
          <w:tcPr>
            <w:tcW w:w="4899" w:type="dxa"/>
          </w:tcPr>
          <w:p w14:paraId="3346EA95" w14:textId="76169CFE" w:rsidR="00941FE7" w:rsidRPr="007E7F04" w:rsidRDefault="00941FE7" w:rsidP="00954233">
            <w:pPr>
              <w:spacing w:line="259" w:lineRule="auto"/>
              <w:jc w:val="left"/>
            </w:pPr>
            <w:r w:rsidRPr="008442B4">
              <w:t>Drinking water quality (incidents)</w:t>
            </w:r>
          </w:p>
        </w:tc>
        <w:tc>
          <w:tcPr>
            <w:tcW w:w="2887" w:type="dxa"/>
          </w:tcPr>
          <w:p w14:paraId="42A22823" w14:textId="5C91BF8C" w:rsidR="00941FE7" w:rsidRDefault="00941FE7" w:rsidP="00954233">
            <w:pPr>
              <w:spacing w:line="259" w:lineRule="auto"/>
              <w:jc w:val="left"/>
              <w:rPr>
                <w:rFonts w:ascii="Calibri" w:hAnsi="Calibri" w:cs="Calibri"/>
              </w:rPr>
            </w:pPr>
            <w:r w:rsidRPr="008442B4">
              <w:t xml:space="preserve">Drinking water quality </w:t>
            </w:r>
          </w:p>
        </w:tc>
      </w:tr>
      <w:tr w:rsidR="00DF4F42" w14:paraId="5531BABD" w14:textId="77777777" w:rsidTr="00B379E2">
        <w:trPr>
          <w:trHeight w:val="283"/>
        </w:trPr>
        <w:tc>
          <w:tcPr>
            <w:tcW w:w="1197" w:type="dxa"/>
          </w:tcPr>
          <w:p w14:paraId="7D0F9371" w14:textId="362E3943" w:rsidR="00DF4F42" w:rsidRDefault="00DF4F42" w:rsidP="00954233">
            <w:pPr>
              <w:spacing w:line="259" w:lineRule="auto"/>
              <w:jc w:val="left"/>
              <w:rPr>
                <w:rFonts w:ascii="Calibri" w:hAnsi="Calibri" w:cs="Calibri"/>
              </w:rPr>
            </w:pPr>
            <w:r w:rsidRPr="00FA6558">
              <w:t xml:space="preserve">3, </w:t>
            </w:r>
            <w:r w:rsidRPr="00FA6558" w:rsidDel="00915166">
              <w:t>4</w:t>
            </w:r>
          </w:p>
        </w:tc>
        <w:tc>
          <w:tcPr>
            <w:tcW w:w="4899" w:type="dxa"/>
          </w:tcPr>
          <w:p w14:paraId="59985D38" w14:textId="2657A1A6" w:rsidR="00DF4F42" w:rsidRDefault="00DF4F42" w:rsidP="00954233">
            <w:pPr>
              <w:spacing w:line="259" w:lineRule="auto"/>
              <w:jc w:val="left"/>
              <w:rPr>
                <w:rFonts w:ascii="Calibri" w:hAnsi="Calibri" w:cs="Calibri"/>
              </w:rPr>
            </w:pPr>
            <w:r w:rsidRPr="00FA6558">
              <w:t xml:space="preserve">Internal sewer </w:t>
            </w:r>
            <w:r w:rsidRPr="00C76847" w:rsidDel="00915166">
              <w:t>flooding</w:t>
            </w:r>
          </w:p>
        </w:tc>
        <w:tc>
          <w:tcPr>
            <w:tcW w:w="2887" w:type="dxa"/>
          </w:tcPr>
          <w:p w14:paraId="453D2142" w14:textId="18619BA2" w:rsidR="00DF4F42" w:rsidRDefault="00DF4F42" w:rsidP="00954233">
            <w:pPr>
              <w:spacing w:line="259" w:lineRule="auto"/>
              <w:jc w:val="left"/>
              <w:rPr>
                <w:rFonts w:ascii="Calibri" w:hAnsi="Calibri" w:cs="Calibri"/>
              </w:rPr>
            </w:pPr>
            <w:r w:rsidRPr="00C76847">
              <w:t>Customer</w:t>
            </w:r>
          </w:p>
        </w:tc>
      </w:tr>
      <w:tr w:rsidR="00DF4F42" w14:paraId="04171309" w14:textId="77777777" w:rsidTr="00B379E2">
        <w:trPr>
          <w:trHeight w:val="283"/>
        </w:trPr>
        <w:tc>
          <w:tcPr>
            <w:tcW w:w="1197" w:type="dxa"/>
          </w:tcPr>
          <w:p w14:paraId="6FD5D5B9" w14:textId="0AE11CC6" w:rsidR="00DF4F42" w:rsidRDefault="00DF4F42" w:rsidP="00954233">
            <w:pPr>
              <w:spacing w:line="259" w:lineRule="auto"/>
              <w:jc w:val="left"/>
              <w:rPr>
                <w:rFonts w:ascii="Calibri" w:hAnsi="Calibri" w:cs="Calibri"/>
              </w:rPr>
            </w:pPr>
            <w:r w:rsidRPr="00FA6558">
              <w:t xml:space="preserve">3, </w:t>
            </w:r>
            <w:r w:rsidRPr="00FA6558" w:rsidDel="00915166">
              <w:t>4</w:t>
            </w:r>
          </w:p>
        </w:tc>
        <w:tc>
          <w:tcPr>
            <w:tcW w:w="4899" w:type="dxa"/>
          </w:tcPr>
          <w:p w14:paraId="79751E14" w14:textId="791985A2" w:rsidR="00DF4F42" w:rsidRDefault="00DF4F42" w:rsidP="00954233">
            <w:pPr>
              <w:spacing w:line="259" w:lineRule="auto"/>
              <w:jc w:val="left"/>
              <w:rPr>
                <w:rFonts w:ascii="Calibri" w:hAnsi="Calibri" w:cs="Calibri"/>
              </w:rPr>
            </w:pPr>
            <w:r w:rsidRPr="00FA6558">
              <w:t xml:space="preserve">Internal sewer </w:t>
            </w:r>
            <w:r w:rsidRPr="00C76847" w:rsidDel="00915166">
              <w:t>flooding</w:t>
            </w:r>
          </w:p>
        </w:tc>
        <w:tc>
          <w:tcPr>
            <w:tcW w:w="2887" w:type="dxa"/>
          </w:tcPr>
          <w:p w14:paraId="1D0FD97B" w14:textId="0A228DBE" w:rsidR="00DF4F42" w:rsidRDefault="00DF4F42" w:rsidP="00954233">
            <w:pPr>
              <w:spacing w:line="259" w:lineRule="auto"/>
              <w:jc w:val="left"/>
              <w:rPr>
                <w:rFonts w:ascii="Calibri" w:hAnsi="Calibri" w:cs="Calibri"/>
              </w:rPr>
            </w:pPr>
            <w:r w:rsidRPr="00C76847">
              <w:t>Customer</w:t>
            </w:r>
          </w:p>
        </w:tc>
      </w:tr>
      <w:tr w:rsidR="00DF4F42" w14:paraId="27DE8B70" w14:textId="77777777" w:rsidTr="00B379E2">
        <w:trPr>
          <w:trHeight w:val="283"/>
        </w:trPr>
        <w:tc>
          <w:tcPr>
            <w:tcW w:w="1197" w:type="dxa"/>
          </w:tcPr>
          <w:p w14:paraId="04420176" w14:textId="63289069" w:rsidR="00DF4F42" w:rsidRDefault="00DF4F42" w:rsidP="00954233">
            <w:pPr>
              <w:spacing w:line="259" w:lineRule="auto"/>
              <w:jc w:val="left"/>
              <w:rPr>
                <w:rFonts w:ascii="Calibri" w:hAnsi="Calibri" w:cs="Calibri"/>
              </w:rPr>
            </w:pPr>
            <w:r w:rsidRPr="00FA6558">
              <w:t xml:space="preserve">3, </w:t>
            </w:r>
            <w:r w:rsidRPr="00FA6558" w:rsidDel="00915166">
              <w:t>4</w:t>
            </w:r>
          </w:p>
        </w:tc>
        <w:tc>
          <w:tcPr>
            <w:tcW w:w="4899" w:type="dxa"/>
          </w:tcPr>
          <w:p w14:paraId="733EC064" w14:textId="2638F007" w:rsidR="00DF4F42" w:rsidRDefault="00DF4F42" w:rsidP="00954233">
            <w:pPr>
              <w:spacing w:line="259" w:lineRule="auto"/>
              <w:jc w:val="left"/>
              <w:rPr>
                <w:rFonts w:ascii="Calibri" w:hAnsi="Calibri" w:cs="Calibri"/>
              </w:rPr>
            </w:pPr>
            <w:r w:rsidRPr="00FA6558">
              <w:t xml:space="preserve">External sewer </w:t>
            </w:r>
            <w:r w:rsidRPr="00C76847" w:rsidDel="00915166">
              <w:t>flooding</w:t>
            </w:r>
          </w:p>
        </w:tc>
        <w:tc>
          <w:tcPr>
            <w:tcW w:w="2887" w:type="dxa"/>
          </w:tcPr>
          <w:p w14:paraId="4967A2D4" w14:textId="59919A4C" w:rsidR="00DF4F42" w:rsidRDefault="00DF4F42" w:rsidP="00954233">
            <w:pPr>
              <w:spacing w:line="259" w:lineRule="auto"/>
              <w:jc w:val="left"/>
              <w:rPr>
                <w:rFonts w:ascii="Calibri" w:hAnsi="Calibri" w:cs="Calibri"/>
              </w:rPr>
            </w:pPr>
            <w:r w:rsidRPr="00C76847">
              <w:t xml:space="preserve">Customer </w:t>
            </w:r>
          </w:p>
        </w:tc>
      </w:tr>
      <w:tr w:rsidR="00DF4F42" w14:paraId="5AA97696" w14:textId="77777777" w:rsidTr="00B379E2">
        <w:trPr>
          <w:trHeight w:val="283"/>
        </w:trPr>
        <w:tc>
          <w:tcPr>
            <w:tcW w:w="1197" w:type="dxa"/>
          </w:tcPr>
          <w:p w14:paraId="5AF24D13" w14:textId="715CF4E3" w:rsidR="00DF4F42" w:rsidRDefault="00DF4F42" w:rsidP="00954233">
            <w:pPr>
              <w:spacing w:line="259" w:lineRule="auto"/>
              <w:jc w:val="left"/>
              <w:rPr>
                <w:rFonts w:ascii="Calibri" w:hAnsi="Calibri" w:cs="Calibri"/>
              </w:rPr>
            </w:pPr>
            <w:r w:rsidRPr="00FA6558">
              <w:t xml:space="preserve">3, </w:t>
            </w:r>
            <w:r w:rsidRPr="00FA6558" w:rsidDel="00915166">
              <w:t>4</w:t>
            </w:r>
          </w:p>
        </w:tc>
        <w:tc>
          <w:tcPr>
            <w:tcW w:w="4899" w:type="dxa"/>
          </w:tcPr>
          <w:p w14:paraId="1C83CB97" w14:textId="162B9916" w:rsidR="00DF4F42" w:rsidRDefault="00DF4F42" w:rsidP="00954233">
            <w:pPr>
              <w:spacing w:line="259" w:lineRule="auto"/>
              <w:jc w:val="left"/>
              <w:rPr>
                <w:rFonts w:ascii="Calibri" w:hAnsi="Calibri" w:cs="Calibri"/>
              </w:rPr>
            </w:pPr>
            <w:r w:rsidRPr="00FA6558">
              <w:t xml:space="preserve">External sewer </w:t>
            </w:r>
            <w:r w:rsidRPr="00C76847" w:rsidDel="00915166">
              <w:t>flooding</w:t>
            </w:r>
          </w:p>
        </w:tc>
        <w:tc>
          <w:tcPr>
            <w:tcW w:w="2887" w:type="dxa"/>
          </w:tcPr>
          <w:p w14:paraId="072612BC" w14:textId="2EAEE3BA" w:rsidR="00DF4F42" w:rsidRDefault="00DF4F42" w:rsidP="00954233">
            <w:pPr>
              <w:spacing w:line="259" w:lineRule="auto"/>
              <w:jc w:val="left"/>
              <w:rPr>
                <w:rFonts w:ascii="Calibri" w:hAnsi="Calibri" w:cs="Calibri"/>
              </w:rPr>
            </w:pPr>
            <w:r w:rsidRPr="00C76847">
              <w:t xml:space="preserve">Customer </w:t>
            </w:r>
          </w:p>
        </w:tc>
      </w:tr>
      <w:tr w:rsidR="00750A4E" w14:paraId="367C26DF" w14:textId="77777777" w:rsidTr="00B379E2">
        <w:trPr>
          <w:trHeight w:val="283"/>
        </w:trPr>
        <w:tc>
          <w:tcPr>
            <w:tcW w:w="1197" w:type="dxa"/>
          </w:tcPr>
          <w:p w14:paraId="7BEE1E20" w14:textId="4BA65A00" w:rsidR="00750A4E" w:rsidRDefault="00750A4E" w:rsidP="00954233">
            <w:pPr>
              <w:spacing w:line="259" w:lineRule="auto"/>
              <w:jc w:val="left"/>
              <w:rPr>
                <w:rFonts w:ascii="Calibri" w:hAnsi="Calibri" w:cs="Calibri"/>
              </w:rPr>
            </w:pPr>
            <w:r>
              <w:rPr>
                <w:rFonts w:ascii="Calibri" w:hAnsi="Calibri" w:cs="Calibri"/>
              </w:rPr>
              <w:t>1</w:t>
            </w:r>
          </w:p>
        </w:tc>
        <w:tc>
          <w:tcPr>
            <w:tcW w:w="4899" w:type="dxa"/>
          </w:tcPr>
          <w:p w14:paraId="7906A65C" w14:textId="47D78BB0" w:rsidR="00750A4E" w:rsidRDefault="00750A4E" w:rsidP="00954233">
            <w:pPr>
              <w:spacing w:line="259" w:lineRule="auto"/>
              <w:jc w:val="left"/>
              <w:rPr>
                <w:rFonts w:ascii="Calibri" w:hAnsi="Calibri" w:cs="Calibri"/>
              </w:rPr>
            </w:pPr>
            <w:r w:rsidRPr="00DD39EA">
              <w:t>Discharge Permit Compliance</w:t>
            </w:r>
          </w:p>
        </w:tc>
        <w:tc>
          <w:tcPr>
            <w:tcW w:w="2887" w:type="dxa"/>
          </w:tcPr>
          <w:p w14:paraId="0F2917A1" w14:textId="3316C909" w:rsidR="00750A4E" w:rsidRDefault="00750A4E" w:rsidP="00954233">
            <w:pPr>
              <w:spacing w:line="259" w:lineRule="auto"/>
              <w:jc w:val="left"/>
              <w:rPr>
                <w:rFonts w:ascii="Calibri" w:hAnsi="Calibri" w:cs="Calibri"/>
              </w:rPr>
            </w:pPr>
            <w:r>
              <w:rPr>
                <w:rFonts w:ascii="Calibri" w:hAnsi="Calibri" w:cs="Calibri"/>
              </w:rPr>
              <w:t>Water environment</w:t>
            </w:r>
          </w:p>
        </w:tc>
      </w:tr>
      <w:tr w:rsidR="00BA671F" w14:paraId="49212B80" w14:textId="77777777" w:rsidTr="00B379E2">
        <w:trPr>
          <w:trHeight w:val="283"/>
        </w:trPr>
        <w:tc>
          <w:tcPr>
            <w:tcW w:w="1197" w:type="dxa"/>
          </w:tcPr>
          <w:p w14:paraId="53EC195E" w14:textId="44B40BB1" w:rsidR="00BA671F" w:rsidRDefault="00BA671F" w:rsidP="00954233">
            <w:pPr>
              <w:spacing w:line="259" w:lineRule="auto"/>
              <w:jc w:val="left"/>
              <w:rPr>
                <w:rFonts w:ascii="Calibri" w:hAnsi="Calibri" w:cs="Calibri"/>
              </w:rPr>
            </w:pPr>
            <w:r>
              <w:rPr>
                <w:rFonts w:ascii="Calibri" w:hAnsi="Calibri" w:cs="Calibri"/>
              </w:rPr>
              <w:t>1</w:t>
            </w:r>
          </w:p>
        </w:tc>
        <w:tc>
          <w:tcPr>
            <w:tcW w:w="4899" w:type="dxa"/>
          </w:tcPr>
          <w:p w14:paraId="23961B9E" w14:textId="4A314C42" w:rsidR="00BA671F" w:rsidRDefault="00BA671F" w:rsidP="00954233">
            <w:pPr>
              <w:spacing w:line="259" w:lineRule="auto"/>
              <w:jc w:val="left"/>
              <w:rPr>
                <w:rFonts w:ascii="Calibri" w:hAnsi="Calibri" w:cs="Calibri"/>
              </w:rPr>
            </w:pPr>
            <w:r w:rsidRPr="00DD39EA">
              <w:t>Serious pollution incidents (EPI Cat 1/2)</w:t>
            </w:r>
          </w:p>
        </w:tc>
        <w:tc>
          <w:tcPr>
            <w:tcW w:w="2887" w:type="dxa"/>
          </w:tcPr>
          <w:p w14:paraId="50AE4886" w14:textId="60475A57" w:rsidR="00BA671F" w:rsidRDefault="00BA671F" w:rsidP="00954233">
            <w:pPr>
              <w:spacing w:line="259" w:lineRule="auto"/>
              <w:jc w:val="left"/>
              <w:rPr>
                <w:rFonts w:ascii="Calibri" w:hAnsi="Calibri" w:cs="Calibri"/>
              </w:rPr>
            </w:pPr>
            <w:r>
              <w:rPr>
                <w:rFonts w:ascii="Calibri" w:hAnsi="Calibri" w:cs="Calibri"/>
              </w:rPr>
              <w:t>Water environment</w:t>
            </w:r>
          </w:p>
        </w:tc>
      </w:tr>
      <w:tr w:rsidR="00BA671F" w14:paraId="6F72C399" w14:textId="77777777" w:rsidTr="00B379E2">
        <w:trPr>
          <w:trHeight w:val="283"/>
        </w:trPr>
        <w:tc>
          <w:tcPr>
            <w:tcW w:w="1197" w:type="dxa"/>
          </w:tcPr>
          <w:p w14:paraId="188E99C8" w14:textId="5EEDCC19" w:rsidR="00BA671F" w:rsidRDefault="00BA671F" w:rsidP="00954233">
            <w:pPr>
              <w:spacing w:line="259" w:lineRule="auto"/>
              <w:jc w:val="left"/>
              <w:rPr>
                <w:rFonts w:ascii="Calibri" w:hAnsi="Calibri" w:cs="Calibri"/>
              </w:rPr>
            </w:pPr>
            <w:r>
              <w:rPr>
                <w:rFonts w:ascii="Calibri" w:hAnsi="Calibri" w:cs="Calibri"/>
              </w:rPr>
              <w:t>1</w:t>
            </w:r>
          </w:p>
        </w:tc>
        <w:tc>
          <w:tcPr>
            <w:tcW w:w="4899" w:type="dxa"/>
          </w:tcPr>
          <w:p w14:paraId="31AE3DB0" w14:textId="63BBB2F9" w:rsidR="00BA671F" w:rsidRDefault="00BA671F" w:rsidP="00954233">
            <w:pPr>
              <w:spacing w:line="259" w:lineRule="auto"/>
              <w:jc w:val="left"/>
              <w:rPr>
                <w:rFonts w:ascii="Calibri" w:hAnsi="Calibri" w:cs="Calibri"/>
              </w:rPr>
            </w:pPr>
            <w:r w:rsidRPr="00DD39EA">
              <w:t>Total pollution incidents (all categories)</w:t>
            </w:r>
          </w:p>
        </w:tc>
        <w:tc>
          <w:tcPr>
            <w:tcW w:w="2887" w:type="dxa"/>
          </w:tcPr>
          <w:p w14:paraId="04814CFA" w14:textId="32CDD6C5" w:rsidR="00BA671F" w:rsidRDefault="00BA671F" w:rsidP="00954233">
            <w:pPr>
              <w:spacing w:line="259" w:lineRule="auto"/>
              <w:jc w:val="left"/>
              <w:rPr>
                <w:rFonts w:ascii="Calibri" w:hAnsi="Calibri" w:cs="Calibri"/>
              </w:rPr>
            </w:pPr>
            <w:r>
              <w:rPr>
                <w:rFonts w:ascii="Calibri" w:hAnsi="Calibri" w:cs="Calibri"/>
              </w:rPr>
              <w:t>Water environment</w:t>
            </w:r>
          </w:p>
        </w:tc>
      </w:tr>
      <w:tr w:rsidR="00BA671F" w14:paraId="483F513E" w14:textId="77777777" w:rsidTr="00B379E2">
        <w:trPr>
          <w:trHeight w:val="283"/>
        </w:trPr>
        <w:tc>
          <w:tcPr>
            <w:tcW w:w="1197" w:type="dxa"/>
          </w:tcPr>
          <w:p w14:paraId="20C6A7F0" w14:textId="7D2DAB10" w:rsidR="00BA671F" w:rsidRDefault="00BA671F" w:rsidP="00954233">
            <w:pPr>
              <w:spacing w:line="259" w:lineRule="auto"/>
              <w:jc w:val="left"/>
              <w:rPr>
                <w:rFonts w:ascii="Calibri" w:hAnsi="Calibri" w:cs="Calibri"/>
              </w:rPr>
            </w:pPr>
            <w:r>
              <w:rPr>
                <w:rFonts w:ascii="Calibri" w:hAnsi="Calibri" w:cs="Calibri"/>
              </w:rPr>
              <w:t>1</w:t>
            </w:r>
          </w:p>
        </w:tc>
        <w:tc>
          <w:tcPr>
            <w:tcW w:w="4899" w:type="dxa"/>
          </w:tcPr>
          <w:p w14:paraId="002576A3" w14:textId="5C088131" w:rsidR="00BA671F" w:rsidRDefault="00BA671F" w:rsidP="00954233">
            <w:pPr>
              <w:spacing w:line="259" w:lineRule="auto"/>
              <w:jc w:val="left"/>
              <w:rPr>
                <w:rFonts w:ascii="Calibri" w:hAnsi="Calibri" w:cs="Calibri"/>
              </w:rPr>
            </w:pPr>
            <w:r w:rsidRPr="00DD39EA">
              <w:t>Sludge compliance</w:t>
            </w:r>
          </w:p>
        </w:tc>
        <w:tc>
          <w:tcPr>
            <w:tcW w:w="2887" w:type="dxa"/>
          </w:tcPr>
          <w:p w14:paraId="3844F387" w14:textId="4D5122B8" w:rsidR="00BA671F" w:rsidRDefault="00BA671F" w:rsidP="00954233">
            <w:pPr>
              <w:spacing w:line="259" w:lineRule="auto"/>
              <w:jc w:val="left"/>
              <w:rPr>
                <w:rFonts w:ascii="Calibri" w:hAnsi="Calibri" w:cs="Calibri"/>
              </w:rPr>
            </w:pPr>
            <w:r>
              <w:rPr>
                <w:rFonts w:ascii="Calibri" w:hAnsi="Calibri" w:cs="Calibri"/>
              </w:rPr>
              <w:t>Water environment</w:t>
            </w:r>
          </w:p>
        </w:tc>
      </w:tr>
      <w:tr w:rsidR="0091126A" w14:paraId="034AF0BE" w14:textId="77777777" w:rsidTr="00B379E2">
        <w:trPr>
          <w:trHeight w:val="283"/>
        </w:trPr>
        <w:tc>
          <w:tcPr>
            <w:tcW w:w="1197" w:type="dxa"/>
          </w:tcPr>
          <w:p w14:paraId="401C9F86" w14:textId="092B33D1" w:rsidR="0091126A" w:rsidRDefault="0091126A" w:rsidP="00954233">
            <w:pPr>
              <w:spacing w:line="259" w:lineRule="auto"/>
              <w:jc w:val="left"/>
              <w:rPr>
                <w:rFonts w:ascii="Calibri" w:hAnsi="Calibri" w:cs="Calibri"/>
              </w:rPr>
            </w:pPr>
            <w:r>
              <w:rPr>
                <w:rFonts w:ascii="Calibri" w:hAnsi="Calibri" w:cs="Calibri"/>
              </w:rPr>
              <w:t>3, 4</w:t>
            </w:r>
          </w:p>
        </w:tc>
        <w:tc>
          <w:tcPr>
            <w:tcW w:w="4899" w:type="dxa"/>
          </w:tcPr>
          <w:p w14:paraId="2520B604" w14:textId="596F8309" w:rsidR="0091126A" w:rsidRDefault="0091126A" w:rsidP="00954233">
            <w:pPr>
              <w:spacing w:line="259" w:lineRule="auto"/>
              <w:jc w:val="left"/>
              <w:rPr>
                <w:rFonts w:ascii="Calibri" w:hAnsi="Calibri" w:cs="Calibri"/>
              </w:rPr>
            </w:pPr>
            <w:r w:rsidRPr="00C76847">
              <w:t>Sewerage infrastructure discharges</w:t>
            </w:r>
          </w:p>
        </w:tc>
        <w:tc>
          <w:tcPr>
            <w:tcW w:w="2887" w:type="dxa"/>
          </w:tcPr>
          <w:p w14:paraId="72F3853A" w14:textId="2602CD42" w:rsidR="0091126A" w:rsidRDefault="0091126A" w:rsidP="00954233">
            <w:pPr>
              <w:spacing w:line="259" w:lineRule="auto"/>
              <w:jc w:val="left"/>
              <w:rPr>
                <w:rFonts w:ascii="Calibri" w:hAnsi="Calibri" w:cs="Calibri"/>
              </w:rPr>
            </w:pPr>
            <w:r w:rsidRPr="00C76847">
              <w:t>Water Environment</w:t>
            </w:r>
          </w:p>
        </w:tc>
      </w:tr>
      <w:tr w:rsidR="0054374C" w14:paraId="6D37F14B" w14:textId="77777777" w:rsidTr="00B379E2">
        <w:trPr>
          <w:trHeight w:val="283"/>
        </w:trPr>
        <w:tc>
          <w:tcPr>
            <w:tcW w:w="1197" w:type="dxa"/>
          </w:tcPr>
          <w:p w14:paraId="3C6A0024" w14:textId="156CE70B" w:rsidR="0054374C" w:rsidRDefault="0054374C" w:rsidP="00954233">
            <w:pPr>
              <w:spacing w:line="259" w:lineRule="auto"/>
              <w:jc w:val="left"/>
              <w:rPr>
                <w:rFonts w:ascii="Calibri" w:hAnsi="Calibri" w:cs="Calibri"/>
              </w:rPr>
            </w:pPr>
            <w:r w:rsidRPr="002263CB">
              <w:t>1</w:t>
            </w:r>
          </w:p>
        </w:tc>
        <w:tc>
          <w:tcPr>
            <w:tcW w:w="4899" w:type="dxa"/>
          </w:tcPr>
          <w:p w14:paraId="4994285D" w14:textId="0DE85722" w:rsidR="0054374C" w:rsidRPr="00C76847" w:rsidRDefault="0054374C" w:rsidP="00954233">
            <w:pPr>
              <w:spacing w:line="259" w:lineRule="auto"/>
              <w:jc w:val="left"/>
            </w:pPr>
            <w:r w:rsidRPr="002263CB">
              <w:t xml:space="preserve">River water quality </w:t>
            </w:r>
          </w:p>
        </w:tc>
        <w:tc>
          <w:tcPr>
            <w:tcW w:w="2887" w:type="dxa"/>
          </w:tcPr>
          <w:p w14:paraId="53DD55F8" w14:textId="2563676E" w:rsidR="0054374C" w:rsidRPr="00C76847" w:rsidRDefault="0054374C" w:rsidP="00954233">
            <w:pPr>
              <w:spacing w:line="259" w:lineRule="auto"/>
              <w:jc w:val="left"/>
            </w:pPr>
            <w:r w:rsidRPr="002263CB">
              <w:t>Water environment</w:t>
            </w:r>
          </w:p>
        </w:tc>
      </w:tr>
      <w:tr w:rsidR="0054374C" w14:paraId="79639897" w14:textId="77777777" w:rsidTr="00B379E2">
        <w:trPr>
          <w:trHeight w:val="283"/>
        </w:trPr>
        <w:tc>
          <w:tcPr>
            <w:tcW w:w="1197" w:type="dxa"/>
          </w:tcPr>
          <w:p w14:paraId="1630C129" w14:textId="7183A3A6" w:rsidR="0054374C" w:rsidRDefault="0054374C" w:rsidP="00954233">
            <w:pPr>
              <w:spacing w:line="259" w:lineRule="auto"/>
              <w:jc w:val="left"/>
              <w:rPr>
                <w:rFonts w:ascii="Calibri" w:hAnsi="Calibri" w:cs="Calibri"/>
              </w:rPr>
            </w:pPr>
            <w:r w:rsidRPr="002263CB">
              <w:t>3</w:t>
            </w:r>
          </w:p>
        </w:tc>
        <w:tc>
          <w:tcPr>
            <w:tcW w:w="4899" w:type="dxa"/>
          </w:tcPr>
          <w:p w14:paraId="676EFF8F" w14:textId="622A1C73" w:rsidR="0054374C" w:rsidRPr="00C76847" w:rsidRDefault="0054374C" w:rsidP="00954233">
            <w:pPr>
              <w:spacing w:line="259" w:lineRule="auto"/>
              <w:jc w:val="left"/>
            </w:pPr>
            <w:r w:rsidRPr="002263CB">
              <w:t>Net zero emissions</w:t>
            </w:r>
          </w:p>
        </w:tc>
        <w:tc>
          <w:tcPr>
            <w:tcW w:w="2887" w:type="dxa"/>
          </w:tcPr>
          <w:p w14:paraId="284EFD99" w14:textId="04925F71" w:rsidR="0054374C" w:rsidRPr="00C76847" w:rsidRDefault="0054374C" w:rsidP="00954233">
            <w:pPr>
              <w:spacing w:line="259" w:lineRule="auto"/>
              <w:jc w:val="left"/>
            </w:pPr>
            <w:r w:rsidRPr="002263CB">
              <w:t>Climate change mitigation</w:t>
            </w:r>
          </w:p>
        </w:tc>
      </w:tr>
      <w:tr w:rsidR="00387F49" w14:paraId="71F81FDE" w14:textId="77777777" w:rsidTr="00B379E2">
        <w:trPr>
          <w:trHeight w:val="283"/>
        </w:trPr>
        <w:tc>
          <w:tcPr>
            <w:tcW w:w="1197" w:type="dxa"/>
          </w:tcPr>
          <w:p w14:paraId="6D026770" w14:textId="2E83235D" w:rsidR="00387F49" w:rsidRDefault="00387F49" w:rsidP="00954233">
            <w:pPr>
              <w:spacing w:line="259" w:lineRule="auto"/>
              <w:jc w:val="left"/>
              <w:rPr>
                <w:rFonts w:ascii="Calibri" w:hAnsi="Calibri" w:cs="Calibri"/>
              </w:rPr>
            </w:pPr>
            <w:r>
              <w:rPr>
                <w:rFonts w:ascii="Calibri" w:hAnsi="Calibri" w:cs="Calibri"/>
              </w:rPr>
              <w:t>3</w:t>
            </w:r>
          </w:p>
        </w:tc>
        <w:tc>
          <w:tcPr>
            <w:tcW w:w="4899" w:type="dxa"/>
          </w:tcPr>
          <w:p w14:paraId="1047194C" w14:textId="77F0753B" w:rsidR="00387F49" w:rsidRDefault="00387F49" w:rsidP="00954233">
            <w:pPr>
              <w:spacing w:line="259" w:lineRule="auto"/>
              <w:jc w:val="left"/>
              <w:rPr>
                <w:rFonts w:ascii="Calibri" w:hAnsi="Calibri" w:cs="Calibri"/>
              </w:rPr>
            </w:pPr>
            <w:r w:rsidRPr="00C76847">
              <w:t>Operational emissions (water)</w:t>
            </w:r>
          </w:p>
        </w:tc>
        <w:tc>
          <w:tcPr>
            <w:tcW w:w="2887" w:type="dxa"/>
          </w:tcPr>
          <w:p w14:paraId="12A2287E" w14:textId="5ECE5F74" w:rsidR="00387F49" w:rsidRDefault="00387F49" w:rsidP="00954233">
            <w:pPr>
              <w:spacing w:line="259" w:lineRule="auto"/>
              <w:jc w:val="left"/>
              <w:rPr>
                <w:rFonts w:ascii="Calibri" w:hAnsi="Calibri" w:cs="Calibri"/>
              </w:rPr>
            </w:pPr>
            <w:r w:rsidRPr="00C76847">
              <w:t>Climate change mitigation</w:t>
            </w:r>
          </w:p>
        </w:tc>
      </w:tr>
      <w:tr w:rsidR="00387F49" w14:paraId="1DECCBC1" w14:textId="77777777" w:rsidTr="00B379E2">
        <w:trPr>
          <w:trHeight w:val="283"/>
        </w:trPr>
        <w:tc>
          <w:tcPr>
            <w:tcW w:w="1197" w:type="dxa"/>
          </w:tcPr>
          <w:p w14:paraId="56EB8D65" w14:textId="2E30CB45" w:rsidR="00387F49" w:rsidRDefault="00387F49" w:rsidP="00954233">
            <w:pPr>
              <w:spacing w:line="259" w:lineRule="auto"/>
              <w:jc w:val="left"/>
              <w:rPr>
                <w:rFonts w:ascii="Calibri" w:hAnsi="Calibri" w:cs="Calibri"/>
              </w:rPr>
            </w:pPr>
            <w:r>
              <w:rPr>
                <w:rFonts w:ascii="Calibri" w:hAnsi="Calibri" w:cs="Calibri"/>
              </w:rPr>
              <w:t>3</w:t>
            </w:r>
          </w:p>
        </w:tc>
        <w:tc>
          <w:tcPr>
            <w:tcW w:w="4899" w:type="dxa"/>
          </w:tcPr>
          <w:p w14:paraId="259C3E60" w14:textId="20F2DFA6" w:rsidR="00387F49" w:rsidRDefault="00387F49" w:rsidP="00954233">
            <w:pPr>
              <w:spacing w:line="259" w:lineRule="auto"/>
              <w:jc w:val="left"/>
              <w:rPr>
                <w:rFonts w:ascii="Calibri" w:hAnsi="Calibri" w:cs="Calibri"/>
              </w:rPr>
            </w:pPr>
            <w:r w:rsidRPr="00C76847">
              <w:t>Operational emissions (wastewater)</w:t>
            </w:r>
          </w:p>
        </w:tc>
        <w:tc>
          <w:tcPr>
            <w:tcW w:w="2887" w:type="dxa"/>
          </w:tcPr>
          <w:p w14:paraId="7611A4D1" w14:textId="207AA505" w:rsidR="00387F49" w:rsidRDefault="00387F49" w:rsidP="00954233">
            <w:pPr>
              <w:spacing w:line="259" w:lineRule="auto"/>
              <w:jc w:val="left"/>
              <w:rPr>
                <w:rFonts w:ascii="Calibri" w:hAnsi="Calibri" w:cs="Calibri"/>
              </w:rPr>
            </w:pPr>
            <w:r w:rsidRPr="00C76847">
              <w:t>Climate change mitigation</w:t>
            </w:r>
          </w:p>
        </w:tc>
      </w:tr>
      <w:tr w:rsidR="00387F49" w14:paraId="3217A508" w14:textId="77777777" w:rsidTr="00B379E2">
        <w:trPr>
          <w:trHeight w:val="283"/>
        </w:trPr>
        <w:tc>
          <w:tcPr>
            <w:tcW w:w="1197" w:type="dxa"/>
          </w:tcPr>
          <w:p w14:paraId="20517F43" w14:textId="1C196FC2" w:rsidR="00387F49" w:rsidRDefault="00387F49" w:rsidP="00954233">
            <w:pPr>
              <w:spacing w:line="259" w:lineRule="auto"/>
              <w:jc w:val="left"/>
              <w:rPr>
                <w:rFonts w:ascii="Calibri" w:hAnsi="Calibri" w:cs="Calibri"/>
              </w:rPr>
            </w:pPr>
            <w:r>
              <w:rPr>
                <w:rFonts w:ascii="Calibri" w:hAnsi="Calibri" w:cs="Calibri"/>
              </w:rPr>
              <w:t>3</w:t>
            </w:r>
          </w:p>
        </w:tc>
        <w:tc>
          <w:tcPr>
            <w:tcW w:w="4899" w:type="dxa"/>
          </w:tcPr>
          <w:p w14:paraId="718BE023" w14:textId="0B9C8C79" w:rsidR="00387F49" w:rsidRDefault="00387F49" w:rsidP="00954233">
            <w:pPr>
              <w:spacing w:line="259" w:lineRule="auto"/>
              <w:jc w:val="left"/>
              <w:rPr>
                <w:rFonts w:ascii="Calibri" w:hAnsi="Calibri" w:cs="Calibri"/>
              </w:rPr>
            </w:pPr>
            <w:r w:rsidRPr="00C76847">
              <w:t>Operational emissions (</w:t>
            </w:r>
            <w:r w:rsidR="000011B7">
              <w:t>reduction to baseline</w:t>
            </w:r>
            <w:r w:rsidRPr="00C76847">
              <w:t>)</w:t>
            </w:r>
          </w:p>
        </w:tc>
        <w:tc>
          <w:tcPr>
            <w:tcW w:w="2887" w:type="dxa"/>
          </w:tcPr>
          <w:p w14:paraId="1E22A4C4" w14:textId="57D9F408" w:rsidR="00387F49" w:rsidRDefault="00387F49" w:rsidP="00954233">
            <w:pPr>
              <w:spacing w:line="259" w:lineRule="auto"/>
              <w:jc w:val="left"/>
              <w:rPr>
                <w:rFonts w:ascii="Calibri" w:hAnsi="Calibri" w:cs="Calibri"/>
              </w:rPr>
            </w:pPr>
            <w:r w:rsidRPr="00C76847">
              <w:t>Climate change mitigation</w:t>
            </w:r>
          </w:p>
        </w:tc>
      </w:tr>
      <w:tr w:rsidR="00387F49" w14:paraId="74A0E2A2" w14:textId="77777777" w:rsidTr="00B379E2">
        <w:trPr>
          <w:trHeight w:val="283"/>
        </w:trPr>
        <w:tc>
          <w:tcPr>
            <w:tcW w:w="1197" w:type="dxa"/>
          </w:tcPr>
          <w:p w14:paraId="5022F5BA" w14:textId="5F73B816" w:rsidR="00387F49" w:rsidRDefault="00387F49" w:rsidP="00954233">
            <w:pPr>
              <w:spacing w:line="259" w:lineRule="auto"/>
              <w:jc w:val="left"/>
              <w:rPr>
                <w:rFonts w:ascii="Calibri" w:hAnsi="Calibri" w:cs="Calibri"/>
              </w:rPr>
            </w:pPr>
            <w:r>
              <w:rPr>
                <w:rFonts w:ascii="Calibri" w:hAnsi="Calibri" w:cs="Calibri"/>
              </w:rPr>
              <w:t>3</w:t>
            </w:r>
          </w:p>
        </w:tc>
        <w:tc>
          <w:tcPr>
            <w:tcW w:w="4899" w:type="dxa"/>
          </w:tcPr>
          <w:p w14:paraId="6839C7E5" w14:textId="4AAC44D5" w:rsidR="00387F49" w:rsidRDefault="00387F49" w:rsidP="00954233">
            <w:pPr>
              <w:spacing w:line="259" w:lineRule="auto"/>
              <w:jc w:val="left"/>
              <w:rPr>
                <w:rFonts w:ascii="Calibri" w:hAnsi="Calibri" w:cs="Calibri"/>
              </w:rPr>
            </w:pPr>
            <w:r w:rsidRPr="00C76847">
              <w:t>Operational emissions (</w:t>
            </w:r>
            <w:r w:rsidR="00D66F72">
              <w:t>net emissions</w:t>
            </w:r>
            <w:r w:rsidRPr="00C76847">
              <w:t>)</w:t>
            </w:r>
          </w:p>
        </w:tc>
        <w:tc>
          <w:tcPr>
            <w:tcW w:w="2887" w:type="dxa"/>
          </w:tcPr>
          <w:p w14:paraId="0BB6888B" w14:textId="019CDF21" w:rsidR="00387F49" w:rsidRDefault="00387F49" w:rsidP="00954233">
            <w:pPr>
              <w:spacing w:line="259" w:lineRule="auto"/>
              <w:jc w:val="left"/>
              <w:rPr>
                <w:rFonts w:ascii="Calibri" w:hAnsi="Calibri" w:cs="Calibri"/>
              </w:rPr>
            </w:pPr>
            <w:r w:rsidRPr="00C76847">
              <w:t>Climate change mitigation</w:t>
            </w:r>
          </w:p>
        </w:tc>
      </w:tr>
      <w:tr w:rsidR="00A44EE5" w14:paraId="19BE367B" w14:textId="77777777" w:rsidTr="00B379E2">
        <w:trPr>
          <w:trHeight w:val="283"/>
        </w:trPr>
        <w:tc>
          <w:tcPr>
            <w:tcW w:w="1197" w:type="dxa"/>
          </w:tcPr>
          <w:p w14:paraId="67F89E5F" w14:textId="7D280B0A" w:rsidR="00A44EE5" w:rsidRDefault="00A44EE5" w:rsidP="00954233">
            <w:pPr>
              <w:spacing w:line="259" w:lineRule="auto"/>
              <w:jc w:val="left"/>
              <w:rPr>
                <w:rFonts w:ascii="Calibri" w:hAnsi="Calibri" w:cs="Calibri"/>
              </w:rPr>
            </w:pPr>
            <w:r>
              <w:rPr>
                <w:rFonts w:ascii="Calibri" w:hAnsi="Calibri" w:cs="Calibri"/>
              </w:rPr>
              <w:t>3</w:t>
            </w:r>
          </w:p>
        </w:tc>
        <w:tc>
          <w:tcPr>
            <w:tcW w:w="4899" w:type="dxa"/>
          </w:tcPr>
          <w:p w14:paraId="47E07E73" w14:textId="219C94C5" w:rsidR="00A44EE5" w:rsidRDefault="00A44EE5" w:rsidP="00954233">
            <w:pPr>
              <w:spacing w:line="259" w:lineRule="auto"/>
              <w:jc w:val="left"/>
              <w:rPr>
                <w:rFonts w:ascii="Calibri" w:hAnsi="Calibri" w:cs="Calibri"/>
              </w:rPr>
            </w:pPr>
            <w:r>
              <w:t>Climate change mitigation (</w:t>
            </w:r>
            <w:r w:rsidR="006C79FD">
              <w:t xml:space="preserve">investment </w:t>
            </w:r>
            <w:r>
              <w:t>emissions)</w:t>
            </w:r>
          </w:p>
        </w:tc>
        <w:tc>
          <w:tcPr>
            <w:tcW w:w="2887" w:type="dxa"/>
          </w:tcPr>
          <w:p w14:paraId="0A5FD6C0" w14:textId="1CB2EDE8" w:rsidR="00A44EE5" w:rsidRDefault="00A44EE5" w:rsidP="00954233">
            <w:pPr>
              <w:spacing w:line="259" w:lineRule="auto"/>
              <w:jc w:val="left"/>
              <w:rPr>
                <w:rFonts w:ascii="Calibri" w:hAnsi="Calibri" w:cs="Calibri"/>
              </w:rPr>
            </w:pPr>
            <w:r w:rsidRPr="00C76847">
              <w:t>Climate change mitigation</w:t>
            </w:r>
          </w:p>
        </w:tc>
      </w:tr>
      <w:tr w:rsidR="00A44EE5" w14:paraId="5ECF515C" w14:textId="77777777" w:rsidTr="00B379E2">
        <w:trPr>
          <w:trHeight w:val="283"/>
        </w:trPr>
        <w:tc>
          <w:tcPr>
            <w:tcW w:w="1197" w:type="dxa"/>
          </w:tcPr>
          <w:p w14:paraId="313CBF09" w14:textId="175DA55D" w:rsidR="00A44EE5" w:rsidRDefault="00A44EE5" w:rsidP="00954233">
            <w:pPr>
              <w:spacing w:line="259" w:lineRule="auto"/>
              <w:jc w:val="left"/>
              <w:rPr>
                <w:rFonts w:ascii="Calibri" w:hAnsi="Calibri" w:cs="Calibri"/>
              </w:rPr>
            </w:pPr>
            <w:r>
              <w:rPr>
                <w:rFonts w:ascii="Calibri" w:hAnsi="Calibri" w:cs="Calibri"/>
              </w:rPr>
              <w:lastRenderedPageBreak/>
              <w:t>3</w:t>
            </w:r>
          </w:p>
        </w:tc>
        <w:tc>
          <w:tcPr>
            <w:tcW w:w="4899" w:type="dxa"/>
          </w:tcPr>
          <w:p w14:paraId="02799883" w14:textId="7E9DB095" w:rsidR="00A44EE5" w:rsidRDefault="00A44EE5" w:rsidP="00954233">
            <w:pPr>
              <w:spacing w:line="259" w:lineRule="auto"/>
              <w:jc w:val="left"/>
              <w:rPr>
                <w:rFonts w:ascii="Calibri" w:hAnsi="Calibri" w:cs="Calibri"/>
              </w:rPr>
            </w:pPr>
            <w:r>
              <w:t>Climate change mitigation (carbon capture)</w:t>
            </w:r>
          </w:p>
        </w:tc>
        <w:tc>
          <w:tcPr>
            <w:tcW w:w="2887" w:type="dxa"/>
          </w:tcPr>
          <w:p w14:paraId="0DDC7DB5" w14:textId="028C2F21" w:rsidR="00A44EE5" w:rsidRDefault="00A44EE5" w:rsidP="00954233">
            <w:pPr>
              <w:spacing w:line="259" w:lineRule="auto"/>
              <w:jc w:val="left"/>
              <w:rPr>
                <w:rFonts w:ascii="Calibri" w:hAnsi="Calibri" w:cs="Calibri"/>
              </w:rPr>
            </w:pPr>
            <w:r w:rsidRPr="00C76847">
              <w:t>Climate change mitigation</w:t>
            </w:r>
          </w:p>
        </w:tc>
      </w:tr>
      <w:tr w:rsidR="00A44EE5" w14:paraId="5751A42C" w14:textId="77777777" w:rsidTr="00B379E2">
        <w:trPr>
          <w:trHeight w:val="283"/>
        </w:trPr>
        <w:tc>
          <w:tcPr>
            <w:tcW w:w="1197" w:type="dxa"/>
          </w:tcPr>
          <w:p w14:paraId="527127A3" w14:textId="56F8C726" w:rsidR="00A44EE5" w:rsidRDefault="00A44EE5" w:rsidP="00954233">
            <w:pPr>
              <w:spacing w:line="259" w:lineRule="auto"/>
              <w:jc w:val="left"/>
              <w:rPr>
                <w:rFonts w:ascii="Calibri" w:hAnsi="Calibri" w:cs="Calibri"/>
              </w:rPr>
            </w:pPr>
            <w:r>
              <w:rPr>
                <w:rFonts w:ascii="Calibri" w:hAnsi="Calibri" w:cs="Calibri"/>
              </w:rPr>
              <w:t>3</w:t>
            </w:r>
          </w:p>
        </w:tc>
        <w:tc>
          <w:tcPr>
            <w:tcW w:w="4899" w:type="dxa"/>
          </w:tcPr>
          <w:p w14:paraId="5A0A83A9" w14:textId="5E5322C1" w:rsidR="00A44EE5" w:rsidRDefault="00A44EE5" w:rsidP="00954233">
            <w:pPr>
              <w:spacing w:line="259" w:lineRule="auto"/>
              <w:jc w:val="left"/>
              <w:rPr>
                <w:rFonts w:ascii="Calibri" w:hAnsi="Calibri" w:cs="Calibri"/>
              </w:rPr>
            </w:pPr>
            <w:r>
              <w:t>Climate change mitigation (</w:t>
            </w:r>
            <w:r w:rsidR="006F2AEF">
              <w:t>biodiversity</w:t>
            </w:r>
            <w:r>
              <w:t>)</w:t>
            </w:r>
          </w:p>
        </w:tc>
        <w:tc>
          <w:tcPr>
            <w:tcW w:w="2887" w:type="dxa"/>
          </w:tcPr>
          <w:p w14:paraId="6069D65D" w14:textId="20FF66E2" w:rsidR="00A44EE5" w:rsidRDefault="00A44EE5" w:rsidP="00954233">
            <w:pPr>
              <w:spacing w:line="259" w:lineRule="auto"/>
              <w:jc w:val="left"/>
              <w:rPr>
                <w:rFonts w:ascii="Calibri" w:hAnsi="Calibri" w:cs="Calibri"/>
              </w:rPr>
            </w:pPr>
            <w:r w:rsidRPr="00C76847">
              <w:t>Climate change mitigation</w:t>
            </w:r>
          </w:p>
        </w:tc>
      </w:tr>
      <w:tr w:rsidR="0015138E" w14:paraId="26B895A3" w14:textId="77777777" w:rsidTr="00B379E2">
        <w:trPr>
          <w:trHeight w:val="283"/>
        </w:trPr>
        <w:tc>
          <w:tcPr>
            <w:tcW w:w="1197" w:type="dxa"/>
          </w:tcPr>
          <w:p w14:paraId="1B45D0AA" w14:textId="4FDE60A9" w:rsidR="0015138E" w:rsidRDefault="0015138E" w:rsidP="00954233">
            <w:pPr>
              <w:spacing w:line="259" w:lineRule="auto"/>
              <w:jc w:val="left"/>
              <w:rPr>
                <w:rFonts w:ascii="Calibri" w:hAnsi="Calibri" w:cs="Calibri"/>
              </w:rPr>
            </w:pPr>
            <w:r>
              <w:rPr>
                <w:rFonts w:ascii="Calibri" w:hAnsi="Calibri" w:cs="Calibri"/>
              </w:rPr>
              <w:t>3</w:t>
            </w:r>
          </w:p>
        </w:tc>
        <w:tc>
          <w:tcPr>
            <w:tcW w:w="4899" w:type="dxa"/>
          </w:tcPr>
          <w:p w14:paraId="6062D416" w14:textId="212F0EBC" w:rsidR="0015138E" w:rsidRPr="00DD39EA" w:rsidRDefault="0015138E" w:rsidP="00954233">
            <w:pPr>
              <w:spacing w:line="259" w:lineRule="auto"/>
              <w:jc w:val="left"/>
            </w:pPr>
            <w:r>
              <w:t>Climate change mitigation (biodiversity)</w:t>
            </w:r>
          </w:p>
        </w:tc>
        <w:tc>
          <w:tcPr>
            <w:tcW w:w="2887" w:type="dxa"/>
          </w:tcPr>
          <w:p w14:paraId="4A6F3106" w14:textId="255505E2" w:rsidR="0015138E" w:rsidRDefault="0015138E" w:rsidP="00954233">
            <w:pPr>
              <w:spacing w:line="259" w:lineRule="auto"/>
              <w:jc w:val="left"/>
              <w:rPr>
                <w:rFonts w:ascii="Calibri" w:hAnsi="Calibri" w:cs="Calibri"/>
              </w:rPr>
            </w:pPr>
            <w:r w:rsidRPr="00C76847">
              <w:t>Climate change mitigation</w:t>
            </w:r>
          </w:p>
        </w:tc>
      </w:tr>
      <w:tr w:rsidR="0015138E" w14:paraId="500FA873" w14:textId="77777777" w:rsidTr="00B379E2">
        <w:trPr>
          <w:trHeight w:val="283"/>
        </w:trPr>
        <w:tc>
          <w:tcPr>
            <w:tcW w:w="1197" w:type="dxa"/>
          </w:tcPr>
          <w:p w14:paraId="5B234C26" w14:textId="0BAE9AAF" w:rsidR="0015138E" w:rsidRDefault="0015138E" w:rsidP="00954233">
            <w:pPr>
              <w:spacing w:line="259" w:lineRule="auto"/>
              <w:jc w:val="left"/>
              <w:rPr>
                <w:rFonts w:ascii="Calibri" w:hAnsi="Calibri" w:cs="Calibri"/>
              </w:rPr>
            </w:pPr>
            <w:r>
              <w:rPr>
                <w:rFonts w:ascii="Calibri" w:hAnsi="Calibri" w:cs="Calibri"/>
              </w:rPr>
              <w:t>1</w:t>
            </w:r>
          </w:p>
        </w:tc>
        <w:tc>
          <w:tcPr>
            <w:tcW w:w="4899" w:type="dxa"/>
          </w:tcPr>
          <w:p w14:paraId="742D2BD6" w14:textId="4470E678" w:rsidR="0015138E" w:rsidRDefault="0015138E" w:rsidP="00954233">
            <w:pPr>
              <w:spacing w:line="259" w:lineRule="auto"/>
              <w:jc w:val="left"/>
              <w:rPr>
                <w:rFonts w:ascii="Calibri" w:hAnsi="Calibri" w:cs="Calibri"/>
              </w:rPr>
            </w:pPr>
            <w:r w:rsidRPr="00DD39EA">
              <w:t>Resource recovery</w:t>
            </w:r>
          </w:p>
        </w:tc>
        <w:tc>
          <w:tcPr>
            <w:tcW w:w="2887" w:type="dxa"/>
          </w:tcPr>
          <w:p w14:paraId="03F7AF60" w14:textId="3A465A98" w:rsidR="0015138E" w:rsidRDefault="0015138E" w:rsidP="00954233">
            <w:pPr>
              <w:spacing w:line="259" w:lineRule="auto"/>
              <w:jc w:val="left"/>
              <w:rPr>
                <w:rFonts w:ascii="Calibri" w:hAnsi="Calibri" w:cs="Calibri"/>
              </w:rPr>
            </w:pPr>
            <w:r>
              <w:rPr>
                <w:rFonts w:ascii="Calibri" w:hAnsi="Calibri" w:cs="Calibri"/>
              </w:rPr>
              <w:t>Water environment</w:t>
            </w:r>
          </w:p>
        </w:tc>
      </w:tr>
      <w:tr w:rsidR="0021084E" w14:paraId="1A60450F" w14:textId="77777777" w:rsidTr="00B379E2">
        <w:trPr>
          <w:trHeight w:val="283"/>
        </w:trPr>
        <w:tc>
          <w:tcPr>
            <w:tcW w:w="1197" w:type="dxa"/>
          </w:tcPr>
          <w:p w14:paraId="31E0072F" w14:textId="36692A25" w:rsidR="0021084E" w:rsidRDefault="0021084E" w:rsidP="00954233">
            <w:pPr>
              <w:spacing w:line="259" w:lineRule="auto"/>
              <w:jc w:val="left"/>
              <w:rPr>
                <w:rFonts w:ascii="Calibri" w:hAnsi="Calibri" w:cs="Calibri"/>
              </w:rPr>
            </w:pPr>
            <w:r>
              <w:rPr>
                <w:rFonts w:ascii="Calibri" w:hAnsi="Calibri" w:cs="Calibri"/>
              </w:rPr>
              <w:t>3, 4</w:t>
            </w:r>
          </w:p>
        </w:tc>
        <w:tc>
          <w:tcPr>
            <w:tcW w:w="4899" w:type="dxa"/>
          </w:tcPr>
          <w:p w14:paraId="7A80656C" w14:textId="0097AF11" w:rsidR="0021084E" w:rsidRDefault="0021084E" w:rsidP="00954233">
            <w:pPr>
              <w:spacing w:line="259" w:lineRule="auto"/>
              <w:jc w:val="left"/>
              <w:rPr>
                <w:rFonts w:ascii="Calibri" w:hAnsi="Calibri" w:cs="Calibri"/>
              </w:rPr>
            </w:pPr>
            <w:r>
              <w:t>Asset health</w:t>
            </w:r>
          </w:p>
        </w:tc>
        <w:tc>
          <w:tcPr>
            <w:tcW w:w="2887" w:type="dxa"/>
          </w:tcPr>
          <w:p w14:paraId="2ABFC7C9" w14:textId="5623CC48" w:rsidR="0021084E" w:rsidRDefault="0021084E" w:rsidP="00954233">
            <w:pPr>
              <w:spacing w:line="259" w:lineRule="auto"/>
              <w:jc w:val="left"/>
              <w:rPr>
                <w:rFonts w:ascii="Calibri" w:hAnsi="Calibri" w:cs="Calibri"/>
              </w:rPr>
            </w:pPr>
            <w:r w:rsidDel="00845A29">
              <w:rPr>
                <w:rFonts w:ascii="Calibri" w:hAnsi="Calibri" w:cs="Calibri"/>
              </w:rPr>
              <w:t>Water environment</w:t>
            </w:r>
          </w:p>
        </w:tc>
      </w:tr>
    </w:tbl>
    <w:p w14:paraId="4F7AD6C6" w14:textId="77777777" w:rsidR="00AF3A9A" w:rsidRDefault="00AF3A9A" w:rsidP="00144CD3">
      <w:pPr>
        <w:spacing w:after="160" w:line="259" w:lineRule="auto"/>
        <w:jc w:val="left"/>
        <w:rPr>
          <w:rFonts w:ascii="Calibri" w:hAnsi="Calibri" w:cs="Calibri"/>
        </w:rPr>
      </w:pPr>
    </w:p>
    <w:p w14:paraId="377B082A" w14:textId="1A603420" w:rsidR="000B7017" w:rsidRDefault="000B7017" w:rsidP="00144CD3">
      <w:pPr>
        <w:spacing w:after="160" w:line="259" w:lineRule="auto"/>
        <w:jc w:val="left"/>
        <w:rPr>
          <w:rFonts w:ascii="Calibri" w:hAnsi="Calibri" w:cs="Calibri"/>
        </w:rPr>
      </w:pPr>
      <w:r>
        <w:rPr>
          <w:rFonts w:ascii="Calibri" w:hAnsi="Calibri" w:cs="Calibri"/>
        </w:rPr>
        <w:t>Scottish Water should also examine how its proposed outcome measures map onto the Scottish Government’s National Performance Framework (NPF).</w:t>
      </w:r>
      <w:r>
        <w:rPr>
          <w:rStyle w:val="FootnoteReference"/>
          <w:rFonts w:ascii="Calibri" w:hAnsi="Calibri" w:cs="Calibri"/>
        </w:rPr>
        <w:footnoteReference w:id="3"/>
      </w:r>
      <w:r>
        <w:rPr>
          <w:rFonts w:ascii="Calibri" w:hAnsi="Calibri" w:cs="Calibri"/>
        </w:rPr>
        <w:t xml:space="preserve"> Scottish Water should consider whether additional outcome measures are required to address any gaps between its proposed outcome measures and the indicators that form the Scottish Government’s NPF. </w:t>
      </w:r>
    </w:p>
    <w:p w14:paraId="44EEA7E3" w14:textId="77777777" w:rsidR="002C1327" w:rsidRDefault="002C1327" w:rsidP="00144CD3">
      <w:pPr>
        <w:spacing w:after="160" w:line="259" w:lineRule="auto"/>
        <w:jc w:val="left"/>
        <w:rPr>
          <w:rFonts w:ascii="Calibri" w:hAnsi="Calibri" w:cs="Calibri"/>
        </w:rPr>
      </w:pPr>
    </w:p>
    <w:p w14:paraId="05B54C8E" w14:textId="0D02EB6D" w:rsidR="00AF3A9A" w:rsidRDefault="00AF3A9A" w:rsidP="00620AE0">
      <w:pPr>
        <w:pStyle w:val="heading20"/>
        <w:ind w:left="788" w:hanging="431"/>
        <w:outlineLvl w:val="1"/>
      </w:pPr>
      <w:bookmarkStart w:id="11" w:name="_Toc184736032"/>
      <w:r>
        <w:t>Guidance</w:t>
      </w:r>
      <w:bookmarkEnd w:id="11"/>
    </w:p>
    <w:p w14:paraId="2988A369" w14:textId="77777777" w:rsidR="008573CA" w:rsidRDefault="008573CA" w:rsidP="00F24E66"/>
    <w:p w14:paraId="5B00AAE2" w14:textId="77777777" w:rsidR="002D0D8D" w:rsidRDefault="00B00A44" w:rsidP="002D0D8D">
      <w:pPr>
        <w:rPr>
          <w:lang w:eastAsia="zh-TW"/>
        </w:rPr>
      </w:pPr>
      <w:r w:rsidRPr="003D71E8">
        <w:t xml:space="preserve">As part of its business plan, </w:t>
      </w:r>
      <w:r w:rsidR="002D0D8D" w:rsidRPr="007B245D">
        <w:rPr>
          <w:lang w:eastAsia="zh-TW"/>
        </w:rPr>
        <w:t xml:space="preserve">Scottish Water should provide its forecast performance on each measure over the regulatory period. Scottish Water should then identify which of the forecasts represent targets against which it will be held accountable for delivering to customers over the regulatory period as part of the regulatory contract. Scottish Water can also propose additional outcome measures as part of its business plan submission, e.g. arising from its SRC27 customer research programme. </w:t>
      </w:r>
    </w:p>
    <w:p w14:paraId="66E1AC21" w14:textId="77777777" w:rsidR="002D0D8D" w:rsidRDefault="002D0D8D" w:rsidP="002D0D8D">
      <w:pPr>
        <w:rPr>
          <w:lang w:eastAsia="zh-TW"/>
        </w:rPr>
      </w:pPr>
    </w:p>
    <w:p w14:paraId="124DD5D5" w14:textId="51E8D16A" w:rsidR="00B368AE" w:rsidRDefault="00B00A44" w:rsidP="00B00A44">
      <w:r>
        <w:t xml:space="preserve">By setting out its annual targets before they come into effect, Scottish Water provides WICS and other stakeholders with an opportunity to comment on their reasonableness </w:t>
      </w:r>
      <w:r w:rsidRPr="00834780">
        <w:t>(e.g. in terms of how they are set or the overall destination over the six</w:t>
      </w:r>
      <w:r w:rsidR="00ED1381">
        <w:t xml:space="preserve"> years</w:t>
      </w:r>
      <w:r w:rsidRPr="00834780">
        <w:t xml:space="preserve"> and the </w:t>
      </w:r>
      <w:r w:rsidR="00493280">
        <w:t>long-term</w:t>
      </w:r>
      <w:r w:rsidRPr="00834780">
        <w:t>).</w:t>
      </w:r>
      <w:r>
        <w:t xml:space="preserve"> </w:t>
      </w:r>
      <w:r w:rsidR="0015464B">
        <w:t>The subsequent delivery plan</w:t>
      </w:r>
      <w:r w:rsidR="00074D1F">
        <w:t xml:space="preserve"> and </w:t>
      </w:r>
      <w:r w:rsidR="00FC2C01">
        <w:t>a</w:t>
      </w:r>
      <w:r w:rsidR="00074D1F">
        <w:t>nnual updates</w:t>
      </w:r>
      <w:r w:rsidR="0015464B">
        <w:t xml:space="preserve"> should reflect any revisions to these targets</w:t>
      </w:r>
      <w:r>
        <w:t>.</w:t>
      </w:r>
    </w:p>
    <w:p w14:paraId="379959FD" w14:textId="77777777" w:rsidR="00FB01A2" w:rsidRDefault="00FB01A2" w:rsidP="00B00A44">
      <w:pPr>
        <w:rPr>
          <w:lang w:eastAsia="zh-TW"/>
        </w:rPr>
      </w:pPr>
    </w:p>
    <w:p w14:paraId="20146EDF" w14:textId="60071FB0" w:rsidR="00FB01A2" w:rsidRPr="00C377C1" w:rsidRDefault="00706BDB" w:rsidP="00FB01A2">
      <w:pPr>
        <w:rPr>
          <w:rFonts w:cstheme="minorHAnsi"/>
          <w:lang w:eastAsia="zh-TW"/>
        </w:rPr>
      </w:pPr>
      <w:r>
        <w:rPr>
          <w:rFonts w:cstheme="minorHAnsi"/>
          <w:lang w:eastAsia="zh-TW"/>
        </w:rPr>
        <w:t>Following our consultation on the</w:t>
      </w:r>
      <w:r w:rsidR="00FB01A2">
        <w:rPr>
          <w:rFonts w:cstheme="minorHAnsi"/>
          <w:lang w:eastAsia="zh-TW"/>
        </w:rPr>
        <w:t xml:space="preserve"> draft business plan tables and guidance</w:t>
      </w:r>
      <w:r w:rsidR="00FB01A2" w:rsidRPr="00C377C1">
        <w:rPr>
          <w:rFonts w:cstheme="minorHAnsi"/>
          <w:lang w:eastAsia="zh-TW"/>
        </w:rPr>
        <w:t xml:space="preserve">, we have </w:t>
      </w:r>
      <w:r w:rsidR="00FB01A2">
        <w:rPr>
          <w:rFonts w:cstheme="minorHAnsi"/>
          <w:lang w:eastAsia="zh-TW"/>
        </w:rPr>
        <w:t xml:space="preserve">also </w:t>
      </w:r>
      <w:r w:rsidR="00FB01A2" w:rsidRPr="00C377C1">
        <w:rPr>
          <w:rFonts w:cstheme="minorHAnsi"/>
          <w:lang w:eastAsia="zh-TW"/>
        </w:rPr>
        <w:t xml:space="preserve">identified several outcome measures that </w:t>
      </w:r>
      <w:r w:rsidR="00FB01A2">
        <w:rPr>
          <w:rFonts w:cstheme="minorHAnsi"/>
          <w:lang w:eastAsia="zh-TW"/>
        </w:rPr>
        <w:t>require</w:t>
      </w:r>
      <w:r w:rsidR="00FB01A2" w:rsidRPr="00C377C1">
        <w:rPr>
          <w:rFonts w:cstheme="minorHAnsi"/>
          <w:lang w:eastAsia="zh-TW"/>
        </w:rPr>
        <w:t xml:space="preserve"> further development, covering:</w:t>
      </w:r>
    </w:p>
    <w:p w14:paraId="4AEE2173" w14:textId="77777777" w:rsidR="00FB01A2" w:rsidRPr="00C377C1" w:rsidRDefault="00FB01A2" w:rsidP="00FB01A2">
      <w:pPr>
        <w:pStyle w:val="Bullet1"/>
        <w:rPr>
          <w:lang w:eastAsia="zh-TW"/>
        </w:rPr>
      </w:pPr>
      <w:r w:rsidRPr="00C377C1">
        <w:rPr>
          <w:lang w:eastAsia="zh-TW"/>
        </w:rPr>
        <w:t>benefits to customers and communities, as a refinement or complement to the customer experience measures;</w:t>
      </w:r>
    </w:p>
    <w:p w14:paraId="2C861AB6" w14:textId="77777777" w:rsidR="00FB01A2" w:rsidRPr="00C377C1" w:rsidRDefault="00FB01A2" w:rsidP="00FB01A2">
      <w:pPr>
        <w:pStyle w:val="Bullet1"/>
        <w:rPr>
          <w:lang w:eastAsia="zh-TW"/>
        </w:rPr>
      </w:pPr>
      <w:r w:rsidRPr="00C377C1">
        <w:rPr>
          <w:lang w:eastAsia="zh-TW"/>
        </w:rPr>
        <w:t>the impact of Scottish Water’s partnerships with customers, communities and other stakeholders (e.g. demand side initiatives such as information campaigns);</w:t>
      </w:r>
    </w:p>
    <w:p w14:paraId="2FBB7B1B" w14:textId="77777777" w:rsidR="00FB01A2" w:rsidRPr="00C377C1" w:rsidRDefault="00FB01A2" w:rsidP="00FB01A2">
      <w:pPr>
        <w:pStyle w:val="Bullet1"/>
        <w:rPr>
          <w:lang w:eastAsia="zh-TW"/>
        </w:rPr>
      </w:pPr>
      <w:r w:rsidRPr="00C377C1">
        <w:rPr>
          <w:lang w:eastAsia="zh-TW"/>
        </w:rPr>
        <w:t>environmental performance; and</w:t>
      </w:r>
    </w:p>
    <w:p w14:paraId="466E7D1F" w14:textId="77777777" w:rsidR="00FB01A2" w:rsidRDefault="00FB01A2" w:rsidP="00FB01A2">
      <w:pPr>
        <w:pStyle w:val="Bullet1"/>
        <w:rPr>
          <w:lang w:eastAsia="zh-TW"/>
        </w:rPr>
      </w:pPr>
      <w:r w:rsidRPr="00C377C1">
        <w:rPr>
          <w:lang w:eastAsia="zh-TW"/>
        </w:rPr>
        <w:t xml:space="preserve">sewerage infrastructure discharges. </w:t>
      </w:r>
    </w:p>
    <w:p w14:paraId="28376162" w14:textId="77777777" w:rsidR="00F732E4" w:rsidRDefault="00F732E4" w:rsidP="00A07912">
      <w:pPr>
        <w:pStyle w:val="Bullet1"/>
        <w:numPr>
          <w:ilvl w:val="0"/>
          <w:numId w:val="0"/>
        </w:numPr>
        <w:rPr>
          <w:lang w:eastAsia="zh-TW"/>
        </w:rPr>
      </w:pPr>
    </w:p>
    <w:p w14:paraId="3916E88E" w14:textId="727AD022" w:rsidR="00645E57" w:rsidRDefault="00645E57" w:rsidP="00BD3841">
      <w:pPr>
        <w:pStyle w:val="Bullet1"/>
        <w:numPr>
          <w:ilvl w:val="0"/>
          <w:numId w:val="0"/>
        </w:numPr>
        <w:rPr>
          <w:lang w:eastAsia="zh-TW"/>
        </w:rPr>
      </w:pPr>
      <w:r>
        <w:rPr>
          <w:lang w:eastAsia="zh-TW"/>
        </w:rPr>
        <w:t>These are set out as placeholders in the table below</w:t>
      </w:r>
      <w:r w:rsidR="008E644C">
        <w:rPr>
          <w:lang w:eastAsia="zh-TW"/>
        </w:rPr>
        <w:t xml:space="preserve"> for Scottish Water to propose in its business plan submission. </w:t>
      </w:r>
    </w:p>
    <w:p w14:paraId="6B8D8BE1" w14:textId="77777777" w:rsidR="008E644C" w:rsidRDefault="008E644C" w:rsidP="00954233">
      <w:pPr>
        <w:pStyle w:val="Bullet1"/>
        <w:numPr>
          <w:ilvl w:val="0"/>
          <w:numId w:val="0"/>
        </w:numPr>
        <w:ind w:left="357" w:hanging="357"/>
        <w:rPr>
          <w:lang w:eastAsia="zh-TW"/>
        </w:rPr>
      </w:pPr>
    </w:p>
    <w:p w14:paraId="635739D6" w14:textId="77777777" w:rsidR="008E644C" w:rsidRDefault="008E644C" w:rsidP="008E644C">
      <w:pPr>
        <w:rPr>
          <w:lang w:eastAsia="zh-TW"/>
        </w:rPr>
      </w:pPr>
      <w:r>
        <w:rPr>
          <w:lang w:eastAsia="zh-TW"/>
        </w:rPr>
        <w:t xml:space="preserve">If Scottish Water is unable to develop appropriate measures and forecasts in these areas (e.g. sewerage infrastructure discharges), we may decide to add our own measures as part of our Draft and Final Determination. </w:t>
      </w:r>
    </w:p>
    <w:p w14:paraId="5FD53235" w14:textId="77777777" w:rsidR="00B00A44" w:rsidRDefault="00B00A44" w:rsidP="00B00A44"/>
    <w:p w14:paraId="7ABE2F47" w14:textId="483A4352" w:rsidR="00B021E5" w:rsidRDefault="00B021E5" w:rsidP="00F24E66">
      <w:r w:rsidRPr="0030124D">
        <w:rPr>
          <w:lang w:eastAsia="zh-TW"/>
        </w:rPr>
        <w:t>In</w:t>
      </w:r>
      <w:r w:rsidR="00CA4E1B">
        <w:rPr>
          <w:lang w:eastAsia="zh-TW"/>
        </w:rPr>
        <w:t xml:space="preserve"> </w:t>
      </w:r>
      <w:r w:rsidR="00832510">
        <w:rPr>
          <w:lang w:eastAsia="zh-TW"/>
        </w:rPr>
        <w:t xml:space="preserve">finalising </w:t>
      </w:r>
      <w:r w:rsidR="00CA4E1B">
        <w:rPr>
          <w:lang w:eastAsia="zh-TW"/>
        </w:rPr>
        <w:t>outcome</w:t>
      </w:r>
      <w:r w:rsidRPr="0030124D">
        <w:rPr>
          <w:lang w:eastAsia="zh-TW"/>
        </w:rPr>
        <w:t xml:space="preserve"> measures and setting targets</w:t>
      </w:r>
      <w:r>
        <w:rPr>
          <w:lang w:eastAsia="zh-TW"/>
        </w:rPr>
        <w:t>,</w:t>
      </w:r>
      <w:r w:rsidRPr="0030124D">
        <w:rPr>
          <w:lang w:eastAsia="zh-TW"/>
        </w:rPr>
        <w:t xml:space="preserve"> we consider that Scottish Water should </w:t>
      </w:r>
      <w:r w:rsidR="00E36EF2">
        <w:rPr>
          <w:lang w:eastAsia="zh-TW"/>
        </w:rPr>
        <w:t xml:space="preserve">also </w:t>
      </w:r>
      <w:r>
        <w:rPr>
          <w:lang w:eastAsia="zh-TW"/>
        </w:rPr>
        <w:t>commit to</w:t>
      </w:r>
      <w:r w:rsidRPr="735A4E9E">
        <w:rPr>
          <w:lang w:eastAsia="zh-TW"/>
        </w:rPr>
        <w:t xml:space="preserve"> </w:t>
      </w:r>
      <w:r w:rsidRPr="0030124D">
        <w:rPr>
          <w:lang w:eastAsia="zh-TW"/>
        </w:rPr>
        <w:t>the following principles:</w:t>
      </w:r>
    </w:p>
    <w:p w14:paraId="5B75B33E" w14:textId="77777777" w:rsidR="008D676C" w:rsidRPr="0030124D" w:rsidRDefault="008D676C" w:rsidP="008D676C">
      <w:pPr>
        <w:pStyle w:val="Bullet1"/>
        <w:rPr>
          <w:lang w:eastAsia="zh-TW"/>
        </w:rPr>
      </w:pPr>
      <w:r w:rsidRPr="00AC5AA2">
        <w:rPr>
          <w:lang w:eastAsia="zh-TW"/>
        </w:rPr>
        <w:t xml:space="preserve">The measures should align with </w:t>
      </w:r>
      <w:r>
        <w:rPr>
          <w:lang w:eastAsia="zh-TW"/>
        </w:rPr>
        <w:t>both</w:t>
      </w:r>
      <w:r w:rsidRPr="00AC5AA2">
        <w:rPr>
          <w:lang w:eastAsia="zh-TW"/>
        </w:rPr>
        <w:t xml:space="preserve"> the outcomes outlined in the Scottish Ministers' Objectives and </w:t>
      </w:r>
      <w:r>
        <w:rPr>
          <w:lang w:eastAsia="zh-TW"/>
        </w:rPr>
        <w:t>the outcomes Scottish Water is expected</w:t>
      </w:r>
      <w:r w:rsidRPr="00AC5AA2">
        <w:rPr>
          <w:lang w:eastAsia="zh-TW"/>
        </w:rPr>
        <w:t xml:space="preserve"> to </w:t>
      </w:r>
      <w:r>
        <w:rPr>
          <w:lang w:eastAsia="zh-TW"/>
        </w:rPr>
        <w:t>deliver</w:t>
      </w:r>
      <w:r w:rsidRPr="00AC5AA2">
        <w:rPr>
          <w:lang w:eastAsia="zh-TW"/>
        </w:rPr>
        <w:t xml:space="preserve"> as </w:t>
      </w:r>
      <w:r>
        <w:rPr>
          <w:lang w:eastAsia="zh-TW"/>
        </w:rPr>
        <w:t xml:space="preserve">part of </w:t>
      </w:r>
      <w:r w:rsidRPr="00AC5AA2">
        <w:rPr>
          <w:lang w:eastAsia="zh-TW"/>
        </w:rPr>
        <w:t>the water sector vision</w:t>
      </w:r>
      <w:r>
        <w:rPr>
          <w:lang w:eastAsia="zh-TW"/>
        </w:rPr>
        <w:t xml:space="preserve"> to help track progress towards achieving the water sector vision</w:t>
      </w:r>
      <w:r w:rsidRPr="00AC5AA2">
        <w:rPr>
          <w:lang w:eastAsia="zh-TW"/>
        </w:rPr>
        <w:t>.</w:t>
      </w:r>
      <w:r>
        <w:rPr>
          <w:lang w:eastAsia="zh-TW"/>
        </w:rPr>
        <w:t xml:space="preserve"> </w:t>
      </w:r>
    </w:p>
    <w:p w14:paraId="556E16C9" w14:textId="77777777" w:rsidR="00834557" w:rsidRDefault="00834557" w:rsidP="00834557">
      <w:pPr>
        <w:pStyle w:val="Bullet1"/>
        <w:rPr>
          <w:lang w:eastAsia="zh-TW"/>
        </w:rPr>
      </w:pPr>
      <w:r w:rsidRPr="0030124D">
        <w:rPr>
          <w:lang w:eastAsia="zh-TW"/>
        </w:rPr>
        <w:t>The annual targets should be stretching while maintaining the incentive for outperformance.</w:t>
      </w:r>
    </w:p>
    <w:p w14:paraId="7B6CEE17" w14:textId="77777777" w:rsidR="00834557" w:rsidRPr="0030124D" w:rsidRDefault="00834557" w:rsidP="00834557">
      <w:pPr>
        <w:pStyle w:val="Bullet1"/>
        <w:rPr>
          <w:lang w:eastAsia="zh-TW"/>
        </w:rPr>
      </w:pPr>
      <w:r>
        <w:rPr>
          <w:lang w:eastAsia="zh-TW"/>
        </w:rPr>
        <w:t>Scottish Water should engage with stakeholders to ensure that they have confidence in the measures and targets.</w:t>
      </w:r>
    </w:p>
    <w:p w14:paraId="1CF6D6BA" w14:textId="77777777" w:rsidR="00834557" w:rsidRPr="0030124D" w:rsidRDefault="00834557" w:rsidP="00834557">
      <w:pPr>
        <w:pStyle w:val="Bullet1"/>
        <w:rPr>
          <w:lang w:eastAsia="zh-TW"/>
        </w:rPr>
      </w:pPr>
      <w:r w:rsidRPr="0030124D">
        <w:rPr>
          <w:lang w:eastAsia="zh-TW"/>
        </w:rPr>
        <w:t>The measures should allow Scottish Water to demonstrate its progress against its current commitments (e.g. Scottish Water’s target to reduce</w:t>
      </w:r>
      <w:r w:rsidRPr="0030124D">
        <w:t xml:space="preserve"> operational emissions by at least 75% by 2030).</w:t>
      </w:r>
      <w:r w:rsidRPr="0030124D">
        <w:rPr>
          <w:rStyle w:val="FootnoteReference"/>
        </w:rPr>
        <w:footnoteReference w:id="4"/>
      </w:r>
    </w:p>
    <w:p w14:paraId="4498667A" w14:textId="77777777" w:rsidR="00834557" w:rsidRPr="0030124D" w:rsidRDefault="00834557" w:rsidP="00834557">
      <w:pPr>
        <w:pStyle w:val="Bullet1"/>
      </w:pPr>
      <w:r w:rsidRPr="0030124D">
        <w:t>Scottish Water has a measure (or measures) covering asset condition, to allow stakeholders to understand the impact of maintenance activities on the asset base.</w:t>
      </w:r>
    </w:p>
    <w:p w14:paraId="25A0260C" w14:textId="77777777" w:rsidR="00834557" w:rsidRPr="0030124D" w:rsidRDefault="00834557" w:rsidP="00834557">
      <w:pPr>
        <w:pStyle w:val="Bullet1"/>
        <w:rPr>
          <w:lang w:eastAsia="zh-TW"/>
        </w:rPr>
      </w:pPr>
      <w:r w:rsidRPr="0030124D">
        <w:rPr>
          <w:lang w:eastAsia="zh-TW"/>
        </w:rPr>
        <w:t>Comparisons with performance over time should be retained, where appropriate (e.g. in relation to drinking water quality measures).</w:t>
      </w:r>
    </w:p>
    <w:p w14:paraId="0BE05807" w14:textId="77777777" w:rsidR="00834557" w:rsidRPr="0030124D" w:rsidRDefault="00834557" w:rsidP="00834557">
      <w:pPr>
        <w:pStyle w:val="Bullet1"/>
        <w:rPr>
          <w:lang w:eastAsia="zh-TW"/>
        </w:rPr>
      </w:pPr>
      <w:r w:rsidRPr="0030124D">
        <w:rPr>
          <w:lang w:eastAsia="zh-TW"/>
        </w:rPr>
        <w:t xml:space="preserve">Scottish Water should propose annual targets or commitments on the performance measures in its business plan, taking account of the investment programme proposed in the plan (recognising that this may change) and historic performance. </w:t>
      </w:r>
    </w:p>
    <w:p w14:paraId="389DCAD4" w14:textId="77777777" w:rsidR="00834557" w:rsidRPr="0030124D" w:rsidRDefault="00834557" w:rsidP="00834557">
      <w:pPr>
        <w:pStyle w:val="Bullet1"/>
        <w:rPr>
          <w:lang w:eastAsia="zh-TW"/>
        </w:rPr>
      </w:pPr>
      <w:r w:rsidRPr="0030124D">
        <w:rPr>
          <w:lang w:eastAsia="zh-TW"/>
        </w:rPr>
        <w:t>WICS and Scottish Water should assess performance against the measures set out in the Final Determination with any management or employee incentives aligning with these measures, notwithstanding that Scottish Water may track other measures (e.g. health and safety).</w:t>
      </w:r>
    </w:p>
    <w:p w14:paraId="187AE908" w14:textId="77777777" w:rsidR="00834557" w:rsidRPr="0030124D" w:rsidRDefault="00834557" w:rsidP="00834557">
      <w:pPr>
        <w:pStyle w:val="Bullet1"/>
        <w:rPr>
          <w:lang w:eastAsia="zh-TW"/>
        </w:rPr>
      </w:pPr>
      <w:r>
        <w:rPr>
          <w:lang w:eastAsia="zh-TW"/>
        </w:rPr>
        <w:t>O</w:t>
      </w:r>
      <w:r w:rsidRPr="007A76DC">
        <w:rPr>
          <w:lang w:eastAsia="zh-TW"/>
        </w:rPr>
        <w:t xml:space="preserve">utcome measures </w:t>
      </w:r>
      <w:r>
        <w:rPr>
          <w:lang w:eastAsia="zh-TW"/>
        </w:rPr>
        <w:t xml:space="preserve">should </w:t>
      </w:r>
      <w:r w:rsidRPr="007A76DC">
        <w:rPr>
          <w:lang w:eastAsia="zh-TW"/>
        </w:rPr>
        <w:t xml:space="preserve">cover all benefits that customers receive, and these measures </w:t>
      </w:r>
      <w:r>
        <w:rPr>
          <w:lang w:eastAsia="zh-TW"/>
        </w:rPr>
        <w:t>should be</w:t>
      </w:r>
      <w:r w:rsidRPr="007A76DC">
        <w:rPr>
          <w:lang w:eastAsia="zh-TW"/>
        </w:rPr>
        <w:t xml:space="preserve"> mapped to the Scottish Government’s National Performance Framework (NPF). We consider that Scottish Water should identify whether there are gaps between outcome measures and the NPF and seek to fill these gaps.</w:t>
      </w:r>
    </w:p>
    <w:p w14:paraId="56BA1A06" w14:textId="77777777" w:rsidR="006B6B13" w:rsidRDefault="006B6B13" w:rsidP="00F24E66"/>
    <w:p w14:paraId="7A892268" w14:textId="7EFABDF5" w:rsidR="00482A5C" w:rsidRDefault="00E839EA" w:rsidP="00F24E66">
      <w:r>
        <w:t xml:space="preserve">It is important to note that </w:t>
      </w:r>
      <w:r w:rsidR="003B5F36">
        <w:t>measures</w:t>
      </w:r>
      <w:r w:rsidR="00833001">
        <w:t xml:space="preserve"> for monitoring investment delivery</w:t>
      </w:r>
      <w:r w:rsidR="003B5F36">
        <w:t xml:space="preserve"> </w:t>
      </w:r>
      <w:r w:rsidR="002B1355">
        <w:t xml:space="preserve">are not included in this table and </w:t>
      </w:r>
      <w:r w:rsidR="003B5F36">
        <w:t>will be developed through the SGI</w:t>
      </w:r>
      <w:r w:rsidR="002B1355">
        <w:t>G.</w:t>
      </w:r>
    </w:p>
    <w:p w14:paraId="00813CCD" w14:textId="77777777" w:rsidR="00482A5C" w:rsidRDefault="00482A5C" w:rsidP="00F24E66"/>
    <w:p w14:paraId="7F67312B" w14:textId="0CEC6B2B" w:rsidR="003E74A4" w:rsidRPr="003E74A4" w:rsidRDefault="003E74A4" w:rsidP="00F24E66">
      <w:r w:rsidRPr="003E74A4">
        <w:lastRenderedPageBreak/>
        <w:t>Data submitted should be subject to</w:t>
      </w:r>
      <w:r w:rsidR="007733FC">
        <w:t xml:space="preserve"> a</w:t>
      </w:r>
      <w:r w:rsidRPr="003E74A4">
        <w:t xml:space="preserve"> rigorous</w:t>
      </w:r>
      <w:r w:rsidR="0015464B">
        <w:t xml:space="preserve">, </w:t>
      </w:r>
      <w:r w:rsidRPr="003E74A4">
        <w:t>high-quality</w:t>
      </w:r>
      <w:r w:rsidR="00AB5EC0">
        <w:t xml:space="preserve"> assurance process</w:t>
      </w:r>
      <w:r w:rsidR="00D710CE">
        <w:t>.</w:t>
      </w:r>
      <w:r w:rsidRPr="003E74A4">
        <w:t xml:space="preserve"> </w:t>
      </w:r>
      <w:r w:rsidR="0015464B">
        <w:t>This is critical to providing confidence to the regulator, customers,</w:t>
      </w:r>
      <w:r w:rsidRPr="003E74A4">
        <w:t xml:space="preserve"> and other stakeholders that the information reported is accurate and reliable.</w:t>
      </w:r>
    </w:p>
    <w:p w14:paraId="34D64B90" w14:textId="77777777" w:rsidR="003E74A4" w:rsidRPr="003E74A4" w:rsidRDefault="003E74A4" w:rsidP="00F24E66"/>
    <w:p w14:paraId="1C1DA06B" w14:textId="18F26CCF" w:rsidR="003E74A4" w:rsidRPr="003E74A4" w:rsidRDefault="003E74A4" w:rsidP="00F24E66">
      <w:r w:rsidRPr="003E74A4">
        <w:t>Scottish Water should ensure that no input cell is left blank</w:t>
      </w:r>
      <w:r w:rsidR="008C3D5C">
        <w:t xml:space="preserve"> </w:t>
      </w:r>
      <w:r w:rsidR="00C36AED">
        <w:t>and can include zero if applicable</w:t>
      </w:r>
      <w:r w:rsidRPr="003E74A4">
        <w:t xml:space="preserve">. </w:t>
      </w:r>
      <w:r w:rsidR="002C2663">
        <w:t>The commentary should</w:t>
      </w:r>
      <w:r w:rsidRPr="003E74A4">
        <w:t xml:space="preserve"> explain the source of the information and the basis for any assumptions used to populate the tables. </w:t>
      </w:r>
    </w:p>
    <w:p w14:paraId="379FD8D3" w14:textId="77777777" w:rsidR="003E74A4" w:rsidRPr="003E74A4" w:rsidRDefault="003E74A4" w:rsidP="00F24E66"/>
    <w:p w14:paraId="3A44951B" w14:textId="3A97CE38" w:rsidR="0001541A" w:rsidRDefault="003E74A4" w:rsidP="00591F0D">
      <w:pPr>
        <w:rPr>
          <w:color w:val="5F7577" w:themeColor="accent2"/>
          <w:sz w:val="32"/>
          <w:szCs w:val="28"/>
        </w:rPr>
      </w:pPr>
      <w:r w:rsidRPr="003E74A4">
        <w:t xml:space="preserve">Each line item has a specified unit. </w:t>
      </w:r>
      <w:r w:rsidR="0001541A">
        <w:br w:type="page"/>
      </w:r>
    </w:p>
    <w:p w14:paraId="3D469D3A" w14:textId="77777777" w:rsidR="006312CE" w:rsidRDefault="006312CE" w:rsidP="00AF3A9A">
      <w:pPr>
        <w:pStyle w:val="heading20"/>
        <w:sectPr w:rsidR="006312CE" w:rsidSect="00290F54">
          <w:headerReference w:type="even" r:id="rId15"/>
          <w:headerReference w:type="default" r:id="rId16"/>
          <w:headerReference w:type="first" r:id="rId17"/>
          <w:type w:val="continuous"/>
          <w:pgSz w:w="11906" w:h="16838" w:code="9"/>
          <w:pgMar w:top="1134" w:right="1134" w:bottom="1134" w:left="1134" w:header="567" w:footer="567" w:gutter="0"/>
          <w:cols w:space="708"/>
          <w:docGrid w:linePitch="360"/>
        </w:sectPr>
      </w:pPr>
    </w:p>
    <w:p w14:paraId="21A491B0" w14:textId="3A57181B" w:rsidR="00AF3A9A" w:rsidRDefault="00AF3A9A" w:rsidP="00620AE0">
      <w:pPr>
        <w:pStyle w:val="heading20"/>
        <w:ind w:left="788" w:hanging="431"/>
        <w:outlineLvl w:val="1"/>
      </w:pPr>
      <w:bookmarkStart w:id="12" w:name="_Toc184736033"/>
      <w:r>
        <w:lastRenderedPageBreak/>
        <w:t>Definitions</w:t>
      </w:r>
      <w:bookmarkEnd w:id="12"/>
    </w:p>
    <w:p w14:paraId="260FB12F" w14:textId="77777777" w:rsidR="0001541A" w:rsidRDefault="0001541A" w:rsidP="0001541A"/>
    <w:p w14:paraId="7EF4DEF3" w14:textId="3C12D952" w:rsidR="000C15FA" w:rsidRDefault="000C15FA" w:rsidP="0001541A">
      <w:r w:rsidRPr="000C15FA">
        <w:t>S</w:t>
      </w:r>
      <w:r w:rsidR="00B07196">
        <w:t>cottish</w:t>
      </w:r>
      <w:r w:rsidR="0081321E">
        <w:t xml:space="preserve"> Water is expected to include details of the methodology and forecasting approach in its business plan submission. </w:t>
      </w:r>
      <w:r w:rsidR="00291368">
        <w:t>The</w:t>
      </w:r>
      <w:r w:rsidR="0081321E">
        <w:t xml:space="preserve"> blank lines </w:t>
      </w:r>
      <w:r w:rsidR="00691CA4">
        <w:t>below</w:t>
      </w:r>
      <w:r w:rsidR="00291368">
        <w:t xml:space="preserve"> identify </w:t>
      </w:r>
      <w:r w:rsidR="00F5373A">
        <w:t xml:space="preserve">current gaps in </w:t>
      </w:r>
      <w:r w:rsidR="00E046A9">
        <w:t>outcome</w:t>
      </w:r>
      <w:r w:rsidR="00F5373A">
        <w:t xml:space="preserve"> measures</w:t>
      </w:r>
      <w:r w:rsidR="00D154B2">
        <w:t xml:space="preserve">. </w:t>
      </w:r>
      <w:r w:rsidR="00E046A9">
        <w:t>For these gaps, w</w:t>
      </w:r>
      <w:r w:rsidR="00691CA4">
        <w:t>e ask that Scottish Water propose</w:t>
      </w:r>
      <w:r w:rsidR="00765B1C">
        <w:t>s</w:t>
      </w:r>
      <w:r w:rsidR="00C65486">
        <w:t xml:space="preserve"> </w:t>
      </w:r>
      <w:r w:rsidR="00691CA4">
        <w:t>measure(s)</w:t>
      </w:r>
      <w:r w:rsidR="00F70F71">
        <w:t xml:space="preserve"> </w:t>
      </w:r>
      <w:r w:rsidR="009F1F3B">
        <w:t xml:space="preserve">and </w:t>
      </w:r>
      <w:r w:rsidR="007F5BB9">
        <w:t xml:space="preserve">associated </w:t>
      </w:r>
      <w:r w:rsidR="00F70F71">
        <w:t>unit</w:t>
      </w:r>
      <w:r w:rsidR="00C65486">
        <w:t>(s)</w:t>
      </w:r>
      <w:r w:rsidR="00DA7B57">
        <w:t xml:space="preserve"> and </w:t>
      </w:r>
      <w:r w:rsidR="007F5BB9">
        <w:t>definition</w:t>
      </w:r>
      <w:r w:rsidR="00C65486">
        <w:t>(s)</w:t>
      </w:r>
      <w:r w:rsidR="00691CA4">
        <w:t xml:space="preserve">. </w:t>
      </w:r>
    </w:p>
    <w:p w14:paraId="59906178" w14:textId="77777777" w:rsidR="00FC2C01" w:rsidRDefault="00FC2C01" w:rsidP="0001541A"/>
    <w:p w14:paraId="06C67112" w14:textId="4A5FB561" w:rsidR="00FC2C01" w:rsidRDefault="00FC2C01" w:rsidP="0001541A">
      <w:r>
        <w:t>The outcome measures</w:t>
      </w:r>
      <w:r w:rsidRPr="00742ED0">
        <w:t xml:space="preserve"> marked with an asterisk </w:t>
      </w:r>
      <w:r>
        <w:t xml:space="preserve">are those that we consider there is scope to align with the measures in England and Wales. </w:t>
      </w:r>
    </w:p>
    <w:p w14:paraId="7DB2A75F" w14:textId="72AC2F70" w:rsidR="008E6476" w:rsidRPr="008E6476" w:rsidRDefault="008E6476" w:rsidP="009974A4">
      <w:pPr>
        <w:pStyle w:val="SMALLHEADINGALLCAPS"/>
      </w:pPr>
    </w:p>
    <w:tbl>
      <w:tblPr>
        <w:tblStyle w:val="Blueline"/>
        <w:tblW w:w="14601" w:type="dxa"/>
        <w:tblLayout w:type="fixed"/>
        <w:tblLook w:val="04A0" w:firstRow="1" w:lastRow="0" w:firstColumn="1" w:lastColumn="0" w:noHBand="0" w:noVBand="1"/>
      </w:tblPr>
      <w:tblGrid>
        <w:gridCol w:w="1276"/>
        <w:gridCol w:w="1843"/>
        <w:gridCol w:w="2693"/>
        <w:gridCol w:w="1559"/>
        <w:gridCol w:w="7230"/>
      </w:tblGrid>
      <w:tr w:rsidR="002A3ABC" w:rsidRPr="00845C40" w14:paraId="6B5CC8D7" w14:textId="74231F29" w:rsidTr="00954233">
        <w:trPr>
          <w:cnfStyle w:val="100000000000" w:firstRow="1" w:lastRow="0" w:firstColumn="0" w:lastColumn="0" w:oddVBand="0" w:evenVBand="0" w:oddHBand="0" w:evenHBand="0" w:firstRowFirstColumn="0" w:firstRowLastColumn="0" w:lastRowFirstColumn="0" w:lastRowLastColumn="0"/>
          <w:trHeight w:val="293"/>
          <w:tblHeader/>
        </w:trPr>
        <w:tc>
          <w:tcPr>
            <w:tcW w:w="0" w:type="dxa"/>
            <w:vAlign w:val="center"/>
          </w:tcPr>
          <w:p w14:paraId="4F326D90" w14:textId="77777777" w:rsidR="00A25B87" w:rsidRPr="00F96481" w:rsidRDefault="00A25B87" w:rsidP="00F96481">
            <w:pPr>
              <w:pStyle w:val="TableParagraph"/>
              <w:rPr>
                <w:rFonts w:ascii="Calibri" w:hAnsi="Calibri" w:cs="Calibri"/>
                <w:sz w:val="24"/>
                <w:szCs w:val="24"/>
              </w:rPr>
            </w:pPr>
            <w:r w:rsidRPr="00F96481">
              <w:rPr>
                <w:rFonts w:ascii="Calibri" w:hAnsi="Calibri" w:cs="Calibri"/>
                <w:sz w:val="24"/>
                <w:szCs w:val="24"/>
              </w:rPr>
              <w:t>Reference</w:t>
            </w:r>
          </w:p>
        </w:tc>
        <w:tc>
          <w:tcPr>
            <w:tcW w:w="1843" w:type="dxa"/>
            <w:vAlign w:val="center"/>
          </w:tcPr>
          <w:p w14:paraId="5CA20373" w14:textId="36C5EF34" w:rsidR="00A25B87" w:rsidRPr="00F96481" w:rsidRDefault="00E423FA" w:rsidP="00F96481">
            <w:pPr>
              <w:pStyle w:val="TableParagraph"/>
              <w:rPr>
                <w:rFonts w:ascii="Calibri" w:hAnsi="Calibri" w:cs="Calibri"/>
                <w:sz w:val="24"/>
                <w:szCs w:val="24"/>
              </w:rPr>
            </w:pPr>
            <w:r w:rsidRPr="00F96481">
              <w:rPr>
                <w:rFonts w:ascii="Calibri" w:hAnsi="Calibri" w:cs="Calibri"/>
                <w:sz w:val="24"/>
                <w:szCs w:val="24"/>
              </w:rPr>
              <w:t>Measure of Level of Service</w:t>
            </w:r>
          </w:p>
        </w:tc>
        <w:tc>
          <w:tcPr>
            <w:tcW w:w="0" w:type="dxa"/>
            <w:vAlign w:val="center"/>
          </w:tcPr>
          <w:p w14:paraId="28656961" w14:textId="10BDAC6F" w:rsidR="00A25B87" w:rsidRPr="00F96481" w:rsidRDefault="00A25B87" w:rsidP="00F96481">
            <w:pPr>
              <w:pStyle w:val="TableParagraph"/>
              <w:rPr>
                <w:rFonts w:ascii="Calibri" w:hAnsi="Calibri" w:cs="Calibri"/>
                <w:sz w:val="24"/>
                <w:szCs w:val="24"/>
              </w:rPr>
            </w:pPr>
            <w:r w:rsidRPr="00F96481">
              <w:rPr>
                <w:rFonts w:ascii="Calibri" w:hAnsi="Calibri" w:cs="Calibri"/>
                <w:sz w:val="24"/>
                <w:szCs w:val="24"/>
              </w:rPr>
              <w:t>Level of Service</w:t>
            </w:r>
          </w:p>
        </w:tc>
        <w:tc>
          <w:tcPr>
            <w:tcW w:w="1559" w:type="dxa"/>
            <w:vAlign w:val="center"/>
          </w:tcPr>
          <w:p w14:paraId="4E6B3BC0" w14:textId="560567A1" w:rsidR="00A25B87" w:rsidRPr="00F96481" w:rsidRDefault="00A25B87" w:rsidP="00F96481">
            <w:pPr>
              <w:pStyle w:val="TableParagraph"/>
              <w:rPr>
                <w:rFonts w:ascii="Calibri" w:hAnsi="Calibri" w:cs="Calibri"/>
                <w:sz w:val="24"/>
                <w:szCs w:val="24"/>
              </w:rPr>
            </w:pPr>
            <w:r w:rsidRPr="00F96481">
              <w:rPr>
                <w:rFonts w:ascii="Calibri" w:hAnsi="Calibri" w:cs="Calibri"/>
                <w:sz w:val="24"/>
                <w:szCs w:val="24"/>
              </w:rPr>
              <w:t>Unit</w:t>
            </w:r>
          </w:p>
        </w:tc>
        <w:tc>
          <w:tcPr>
            <w:tcW w:w="7230" w:type="dxa"/>
            <w:vAlign w:val="center"/>
          </w:tcPr>
          <w:p w14:paraId="02E020F3" w14:textId="77777777" w:rsidR="00A25B87" w:rsidRPr="00F96481" w:rsidRDefault="00A25B87" w:rsidP="00F96481">
            <w:pPr>
              <w:pStyle w:val="TableParagraph"/>
              <w:rPr>
                <w:rFonts w:ascii="Calibri" w:hAnsi="Calibri" w:cs="Calibri"/>
                <w:color w:val="auto"/>
                <w:sz w:val="24"/>
                <w:szCs w:val="24"/>
              </w:rPr>
            </w:pPr>
            <w:r w:rsidRPr="00F96481">
              <w:rPr>
                <w:rFonts w:ascii="Calibri" w:hAnsi="Calibri" w:cs="Calibri"/>
                <w:sz w:val="24"/>
                <w:szCs w:val="24"/>
              </w:rPr>
              <w:t>Definition</w:t>
            </w:r>
          </w:p>
        </w:tc>
      </w:tr>
      <w:tr w:rsidR="002A3ABC" w:rsidRPr="00845C40" w14:paraId="2AAE894A" w14:textId="7B68FE7A" w:rsidTr="00954233">
        <w:trPr>
          <w:trHeight w:val="293"/>
        </w:trPr>
        <w:tc>
          <w:tcPr>
            <w:tcW w:w="0" w:type="dxa"/>
          </w:tcPr>
          <w:p w14:paraId="6191D3A5" w14:textId="54BE378F" w:rsidR="005918D1" w:rsidRPr="00F96481" w:rsidRDefault="005918D1" w:rsidP="00F96481">
            <w:pPr>
              <w:pStyle w:val="TableParagraph"/>
              <w:rPr>
                <w:rFonts w:ascii="Calibri" w:hAnsi="Calibri" w:cs="Calibri"/>
                <w:sz w:val="24"/>
                <w:szCs w:val="24"/>
              </w:rPr>
            </w:pPr>
            <w:r w:rsidRPr="00954233">
              <w:rPr>
                <w:sz w:val="24"/>
                <w:szCs w:val="24"/>
              </w:rPr>
              <w:t>1.01</w:t>
            </w:r>
          </w:p>
        </w:tc>
        <w:tc>
          <w:tcPr>
            <w:tcW w:w="0" w:type="dxa"/>
          </w:tcPr>
          <w:p w14:paraId="3271554E" w14:textId="77777777"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CEM</w:t>
            </w:r>
          </w:p>
        </w:tc>
        <w:tc>
          <w:tcPr>
            <w:tcW w:w="2693" w:type="dxa"/>
          </w:tcPr>
          <w:p w14:paraId="75D27086" w14:textId="594982D5"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dCEM Developer Customer Experience Measure</w:t>
            </w:r>
          </w:p>
        </w:tc>
        <w:tc>
          <w:tcPr>
            <w:tcW w:w="1559" w:type="dxa"/>
          </w:tcPr>
          <w:p w14:paraId="40E26E8C" w14:textId="3C17BDA0"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Number</w:t>
            </w:r>
          </w:p>
        </w:tc>
        <w:tc>
          <w:tcPr>
            <w:tcW w:w="7230" w:type="dxa"/>
          </w:tcPr>
          <w:p w14:paraId="0DFAE7D9" w14:textId="77777777" w:rsidR="005918D1" w:rsidRPr="00F96481" w:rsidRDefault="005918D1" w:rsidP="00F96481">
            <w:pPr>
              <w:pStyle w:val="TableParagraph"/>
              <w:rPr>
                <w:rFonts w:ascii="Calibri" w:hAnsi="Calibri" w:cs="Calibri"/>
                <w:sz w:val="24"/>
                <w:szCs w:val="24"/>
              </w:rPr>
            </w:pPr>
            <w:r w:rsidRPr="00F96481">
              <w:rPr>
                <w:rFonts w:ascii="Calibri" w:hAnsi="Calibri" w:cs="Calibri"/>
                <w:sz w:val="24"/>
                <w:szCs w:val="24"/>
              </w:rPr>
              <w:t>The Developer Customer Experience Measure (dCEM) score. Scottish Water should provide its minimum expectation for performance in each year.</w:t>
            </w:r>
          </w:p>
          <w:p w14:paraId="49B7C933" w14:textId="101104B7" w:rsidR="005918D1" w:rsidRPr="00F96481" w:rsidRDefault="005918D1" w:rsidP="00F96481">
            <w:pPr>
              <w:pStyle w:val="TableParagraph"/>
              <w:rPr>
                <w:rFonts w:ascii="Calibri" w:hAnsi="Calibri" w:cs="Calibri"/>
                <w:sz w:val="24"/>
                <w:szCs w:val="24"/>
              </w:rPr>
            </w:pPr>
          </w:p>
        </w:tc>
      </w:tr>
      <w:tr w:rsidR="002A3ABC" w:rsidRPr="00845C40" w14:paraId="08D740A4" w14:textId="6DF544B4" w:rsidTr="00954233">
        <w:trPr>
          <w:trHeight w:val="284"/>
        </w:trPr>
        <w:tc>
          <w:tcPr>
            <w:tcW w:w="0" w:type="dxa"/>
          </w:tcPr>
          <w:p w14:paraId="04D5949C" w14:textId="77EE8AF6" w:rsidR="005918D1" w:rsidRPr="00F96481" w:rsidRDefault="005918D1" w:rsidP="00F96481">
            <w:pPr>
              <w:pStyle w:val="TableParagraph"/>
              <w:rPr>
                <w:rFonts w:ascii="Calibri" w:hAnsi="Calibri" w:cs="Calibri"/>
                <w:sz w:val="24"/>
                <w:szCs w:val="24"/>
              </w:rPr>
            </w:pPr>
            <w:r w:rsidRPr="00954233">
              <w:rPr>
                <w:sz w:val="24"/>
                <w:szCs w:val="24"/>
              </w:rPr>
              <w:t>1.02</w:t>
            </w:r>
          </w:p>
        </w:tc>
        <w:tc>
          <w:tcPr>
            <w:tcW w:w="0" w:type="dxa"/>
          </w:tcPr>
          <w:p w14:paraId="10B2C50B" w14:textId="77777777"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CEM</w:t>
            </w:r>
          </w:p>
        </w:tc>
        <w:tc>
          <w:tcPr>
            <w:tcW w:w="2693" w:type="dxa"/>
          </w:tcPr>
          <w:p w14:paraId="77880E18" w14:textId="2B5EB766"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nhCEM Non Household Customer Experience Measure</w:t>
            </w:r>
          </w:p>
        </w:tc>
        <w:tc>
          <w:tcPr>
            <w:tcW w:w="1559" w:type="dxa"/>
          </w:tcPr>
          <w:p w14:paraId="353DFC75" w14:textId="0503A2C5"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Number</w:t>
            </w:r>
          </w:p>
        </w:tc>
        <w:tc>
          <w:tcPr>
            <w:tcW w:w="7230" w:type="dxa"/>
          </w:tcPr>
          <w:p w14:paraId="2E31BD87" w14:textId="77777777" w:rsidR="005918D1" w:rsidRPr="00F96481" w:rsidRDefault="005918D1" w:rsidP="00F96481">
            <w:pPr>
              <w:pStyle w:val="TableParagraph"/>
              <w:rPr>
                <w:rFonts w:ascii="Calibri" w:hAnsi="Calibri" w:cs="Calibri"/>
                <w:sz w:val="24"/>
                <w:szCs w:val="24"/>
              </w:rPr>
            </w:pPr>
            <w:r w:rsidRPr="00F96481">
              <w:rPr>
                <w:rFonts w:ascii="Calibri" w:hAnsi="Calibri" w:cs="Calibri"/>
                <w:sz w:val="24"/>
                <w:szCs w:val="24"/>
              </w:rPr>
              <w:t xml:space="preserve">The Non-Household Customer Experience Measure (nhCEM) score. Scottish Water should provide its minimum expectation for performance in each year. </w:t>
            </w:r>
          </w:p>
          <w:p w14:paraId="5A0B35ED" w14:textId="77777777" w:rsidR="005918D1" w:rsidRPr="00F96481" w:rsidRDefault="005918D1" w:rsidP="00F96481">
            <w:pPr>
              <w:pStyle w:val="TableParagraph"/>
              <w:rPr>
                <w:rFonts w:ascii="Calibri" w:hAnsi="Calibri" w:cs="Calibri"/>
                <w:sz w:val="24"/>
                <w:szCs w:val="24"/>
              </w:rPr>
            </w:pPr>
          </w:p>
          <w:p w14:paraId="260AD698" w14:textId="566D6B1B" w:rsidR="005918D1" w:rsidRPr="00F96481" w:rsidRDefault="005918D1" w:rsidP="00F96481">
            <w:pPr>
              <w:pStyle w:val="TableParagraph"/>
              <w:rPr>
                <w:rFonts w:ascii="Calibri" w:hAnsi="Calibri" w:cs="Calibri"/>
                <w:sz w:val="24"/>
                <w:szCs w:val="24"/>
              </w:rPr>
            </w:pPr>
            <w:r w:rsidRPr="00F96481">
              <w:rPr>
                <w:rFonts w:ascii="Calibri" w:hAnsi="Calibri" w:cs="Calibri"/>
                <w:sz w:val="24"/>
                <w:szCs w:val="24"/>
              </w:rPr>
              <w:t>[Definition of CEM and potential alignment with the CEM measure in England and Wales to be discussed with Scottish Water.</w:t>
            </w:r>
            <w:r w:rsidR="00D107C2">
              <w:rPr>
                <w:rFonts w:ascii="Calibri" w:hAnsi="Calibri" w:cs="Calibri"/>
                <w:sz w:val="24"/>
                <w:szCs w:val="24"/>
              </w:rPr>
              <w:t xml:space="preserve"> </w:t>
            </w:r>
            <w:r w:rsidR="00B8689B">
              <w:rPr>
                <w:rFonts w:ascii="Calibri" w:hAnsi="Calibri" w:cs="Calibri"/>
                <w:sz w:val="24"/>
                <w:szCs w:val="24"/>
              </w:rPr>
              <w:t xml:space="preserve">Further alignment in </w:t>
            </w:r>
            <w:r w:rsidR="00B75532">
              <w:rPr>
                <w:rFonts w:ascii="Calibri" w:hAnsi="Calibri" w:cs="Calibri"/>
                <w:sz w:val="24"/>
                <w:szCs w:val="24"/>
              </w:rPr>
              <w:t xml:space="preserve">business end user survey </w:t>
            </w:r>
            <w:r w:rsidR="005A3AAD">
              <w:rPr>
                <w:rFonts w:ascii="Calibri" w:hAnsi="Calibri" w:cs="Calibri"/>
                <w:sz w:val="24"/>
                <w:szCs w:val="24"/>
              </w:rPr>
              <w:t xml:space="preserve">and addition of market performance </w:t>
            </w:r>
            <w:r w:rsidR="00DA6FC1">
              <w:rPr>
                <w:rFonts w:ascii="Calibri" w:hAnsi="Calibri" w:cs="Calibri"/>
                <w:sz w:val="24"/>
                <w:szCs w:val="24"/>
              </w:rPr>
              <w:t>metrics should be considered</w:t>
            </w:r>
            <w:r w:rsidR="00657004">
              <w:rPr>
                <w:rFonts w:ascii="Calibri" w:hAnsi="Calibri" w:cs="Calibri"/>
                <w:sz w:val="24"/>
                <w:szCs w:val="24"/>
              </w:rPr>
              <w:t>.</w:t>
            </w:r>
            <w:r w:rsidRPr="00F96481">
              <w:rPr>
                <w:rFonts w:ascii="Calibri" w:hAnsi="Calibri" w:cs="Calibri"/>
                <w:sz w:val="24"/>
                <w:szCs w:val="24"/>
              </w:rPr>
              <w:t>]</w:t>
            </w:r>
            <w:r w:rsidR="00810027">
              <w:rPr>
                <w:rFonts w:ascii="Calibri" w:hAnsi="Calibri" w:cs="Calibri"/>
                <w:sz w:val="24"/>
                <w:szCs w:val="24"/>
              </w:rPr>
              <w:t xml:space="preserve"> </w:t>
            </w:r>
          </w:p>
        </w:tc>
      </w:tr>
      <w:tr w:rsidR="002A3ABC" w:rsidRPr="00845C40" w14:paraId="2DA49128" w14:textId="77777777" w:rsidTr="00954233">
        <w:trPr>
          <w:trHeight w:val="293"/>
        </w:trPr>
        <w:tc>
          <w:tcPr>
            <w:tcW w:w="0" w:type="dxa"/>
          </w:tcPr>
          <w:p w14:paraId="411AE73E" w14:textId="780793AE" w:rsidR="005918D1" w:rsidRPr="00F96481" w:rsidRDefault="005918D1" w:rsidP="00F96481">
            <w:pPr>
              <w:pStyle w:val="TableParagraph"/>
              <w:rPr>
                <w:rFonts w:ascii="Calibri" w:hAnsi="Calibri" w:cs="Calibri"/>
                <w:sz w:val="24"/>
                <w:szCs w:val="24"/>
              </w:rPr>
            </w:pPr>
            <w:r w:rsidRPr="00954233">
              <w:rPr>
                <w:sz w:val="24"/>
                <w:szCs w:val="24"/>
              </w:rPr>
              <w:t>1.03</w:t>
            </w:r>
          </w:p>
        </w:tc>
        <w:tc>
          <w:tcPr>
            <w:tcW w:w="0" w:type="dxa"/>
          </w:tcPr>
          <w:p w14:paraId="4026027A" w14:textId="250C065D" w:rsidR="005918D1" w:rsidRPr="00F96481" w:rsidRDefault="005918D1" w:rsidP="00F96481">
            <w:pPr>
              <w:pStyle w:val="TableParagraph"/>
              <w:rPr>
                <w:rFonts w:ascii="Calibri" w:hAnsi="Calibri" w:cs="Calibri"/>
                <w:color w:val="000000"/>
                <w:sz w:val="24"/>
                <w:szCs w:val="24"/>
              </w:rPr>
            </w:pPr>
            <w:r w:rsidRPr="00954233">
              <w:rPr>
                <w:sz w:val="24"/>
                <w:szCs w:val="24"/>
              </w:rPr>
              <w:t>CEM</w:t>
            </w:r>
          </w:p>
        </w:tc>
        <w:tc>
          <w:tcPr>
            <w:tcW w:w="2693" w:type="dxa"/>
          </w:tcPr>
          <w:p w14:paraId="0D39CAB4" w14:textId="595CDC80" w:rsidR="005918D1" w:rsidRPr="00F96481" w:rsidRDefault="005918D1" w:rsidP="00F96481">
            <w:pPr>
              <w:pStyle w:val="TableParagraph"/>
              <w:rPr>
                <w:rFonts w:ascii="Calibri" w:hAnsi="Calibri" w:cs="Calibri"/>
                <w:color w:val="000000"/>
                <w:sz w:val="24"/>
                <w:szCs w:val="24"/>
              </w:rPr>
            </w:pPr>
            <w:r w:rsidRPr="00954233">
              <w:rPr>
                <w:sz w:val="24"/>
                <w:szCs w:val="24"/>
              </w:rPr>
              <w:t>R-MeX Retailer Experience Measure</w:t>
            </w:r>
          </w:p>
        </w:tc>
        <w:tc>
          <w:tcPr>
            <w:tcW w:w="1559" w:type="dxa"/>
          </w:tcPr>
          <w:p w14:paraId="7D2220B2" w14:textId="5A83F59D" w:rsidR="005918D1" w:rsidRPr="00F96481" w:rsidRDefault="005918D1" w:rsidP="00F96481">
            <w:pPr>
              <w:pStyle w:val="TableParagraph"/>
              <w:rPr>
                <w:rFonts w:ascii="Calibri" w:hAnsi="Calibri" w:cs="Calibri"/>
                <w:color w:val="000000"/>
                <w:sz w:val="24"/>
                <w:szCs w:val="24"/>
              </w:rPr>
            </w:pPr>
            <w:r w:rsidRPr="00954233">
              <w:rPr>
                <w:sz w:val="24"/>
                <w:szCs w:val="24"/>
              </w:rPr>
              <w:t>Number</w:t>
            </w:r>
          </w:p>
        </w:tc>
        <w:tc>
          <w:tcPr>
            <w:tcW w:w="7230" w:type="dxa"/>
          </w:tcPr>
          <w:p w14:paraId="1380BB4A" w14:textId="62C5CAC3" w:rsidR="00601AFB" w:rsidRDefault="00580231" w:rsidP="00F96481">
            <w:pPr>
              <w:pStyle w:val="TableParagraph"/>
              <w:rPr>
                <w:rFonts w:ascii="Calibri" w:hAnsi="Calibri" w:cs="Calibri"/>
                <w:sz w:val="24"/>
                <w:szCs w:val="24"/>
              </w:rPr>
            </w:pPr>
            <w:r>
              <w:rPr>
                <w:rFonts w:ascii="Calibri" w:hAnsi="Calibri" w:cs="Calibri"/>
                <w:sz w:val="24"/>
                <w:szCs w:val="24"/>
              </w:rPr>
              <w:t>Survey of retailer</w:t>
            </w:r>
            <w:r w:rsidR="00CF26D5">
              <w:rPr>
                <w:rFonts w:ascii="Calibri" w:hAnsi="Calibri" w:cs="Calibri"/>
                <w:sz w:val="24"/>
                <w:szCs w:val="24"/>
              </w:rPr>
              <w:t>s (licensed providers) regarding their experience of service levels from Scottish Water as wholesaler.</w:t>
            </w:r>
          </w:p>
          <w:p w14:paraId="21D9A233" w14:textId="77777777" w:rsidR="006173D6" w:rsidRDefault="006173D6" w:rsidP="00F96481">
            <w:pPr>
              <w:pStyle w:val="TableParagraph"/>
              <w:rPr>
                <w:rFonts w:ascii="Calibri" w:hAnsi="Calibri" w:cs="Calibri"/>
                <w:sz w:val="24"/>
                <w:szCs w:val="24"/>
              </w:rPr>
            </w:pPr>
          </w:p>
          <w:p w14:paraId="214D4D8B" w14:textId="56624869" w:rsidR="005918D1" w:rsidRPr="00F96481" w:rsidRDefault="00601AFB" w:rsidP="00F96481">
            <w:pPr>
              <w:pStyle w:val="TableParagraph"/>
              <w:rPr>
                <w:rFonts w:ascii="Calibri" w:hAnsi="Calibri" w:cs="Calibri"/>
                <w:sz w:val="24"/>
                <w:szCs w:val="24"/>
              </w:rPr>
            </w:pPr>
            <w:r w:rsidRPr="00601AFB">
              <w:rPr>
                <w:rFonts w:ascii="Calibri" w:hAnsi="Calibri" w:cs="Calibri"/>
                <w:sz w:val="24"/>
                <w:szCs w:val="24"/>
              </w:rPr>
              <w:t xml:space="preserve">Mirrors MOSL’s bi-annual RMeX survey in England. Conducted by external partner on Scottish Water’s behalf in liaison with MOSL to </w:t>
            </w:r>
            <w:r w:rsidRPr="00601AFB">
              <w:rPr>
                <w:rFonts w:ascii="Calibri" w:hAnsi="Calibri" w:cs="Calibri"/>
                <w:sz w:val="24"/>
                <w:szCs w:val="24"/>
              </w:rPr>
              <w:lastRenderedPageBreak/>
              <w:t>ensure alignment</w:t>
            </w:r>
          </w:p>
        </w:tc>
      </w:tr>
      <w:tr w:rsidR="002A3ABC" w:rsidRPr="00845C40" w14:paraId="6873E690" w14:textId="77777777" w:rsidTr="00954233">
        <w:trPr>
          <w:trHeight w:val="293"/>
        </w:trPr>
        <w:tc>
          <w:tcPr>
            <w:tcW w:w="0" w:type="dxa"/>
          </w:tcPr>
          <w:p w14:paraId="44D788A1" w14:textId="1555FF33" w:rsidR="005918D1" w:rsidRPr="00F96481" w:rsidRDefault="005918D1" w:rsidP="00F96481">
            <w:pPr>
              <w:pStyle w:val="TableParagraph"/>
              <w:rPr>
                <w:rFonts w:ascii="Calibri" w:hAnsi="Calibri" w:cs="Calibri"/>
                <w:sz w:val="24"/>
                <w:szCs w:val="24"/>
              </w:rPr>
            </w:pPr>
            <w:r w:rsidRPr="00954233">
              <w:rPr>
                <w:sz w:val="24"/>
                <w:szCs w:val="24"/>
              </w:rPr>
              <w:lastRenderedPageBreak/>
              <w:t>1.04</w:t>
            </w:r>
          </w:p>
        </w:tc>
        <w:tc>
          <w:tcPr>
            <w:tcW w:w="1843" w:type="dxa"/>
          </w:tcPr>
          <w:p w14:paraId="1BA1530B" w14:textId="77777777"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CEM</w:t>
            </w:r>
          </w:p>
        </w:tc>
        <w:tc>
          <w:tcPr>
            <w:tcW w:w="0" w:type="dxa"/>
          </w:tcPr>
          <w:p w14:paraId="2F7DC153" w14:textId="44DDF897"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hCEM Household Customer Experience Measure</w:t>
            </w:r>
          </w:p>
        </w:tc>
        <w:tc>
          <w:tcPr>
            <w:tcW w:w="1559" w:type="dxa"/>
          </w:tcPr>
          <w:p w14:paraId="16FB9C93" w14:textId="571A856E"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Number</w:t>
            </w:r>
          </w:p>
        </w:tc>
        <w:tc>
          <w:tcPr>
            <w:tcW w:w="7230" w:type="dxa"/>
          </w:tcPr>
          <w:p w14:paraId="5CFDD1CC" w14:textId="77777777" w:rsidR="005918D1" w:rsidRPr="00F96481" w:rsidRDefault="005918D1" w:rsidP="00954233">
            <w:pPr>
              <w:pStyle w:val="TableParagraph"/>
              <w:keepLines/>
              <w:rPr>
                <w:rFonts w:ascii="Calibri" w:hAnsi="Calibri" w:cs="Calibri"/>
                <w:sz w:val="24"/>
                <w:szCs w:val="24"/>
              </w:rPr>
            </w:pPr>
            <w:r w:rsidRPr="00F96481">
              <w:rPr>
                <w:rFonts w:ascii="Calibri" w:hAnsi="Calibri" w:cs="Calibri"/>
                <w:sz w:val="24"/>
                <w:szCs w:val="24"/>
              </w:rPr>
              <w:t>The Household Customer Experience Measure (hCEM) score. Scottish Water should provide its minimum expectation for performance in each year.</w:t>
            </w:r>
          </w:p>
          <w:p w14:paraId="4FEC0AEF" w14:textId="77777777" w:rsidR="005918D1" w:rsidRPr="00F96481" w:rsidRDefault="005918D1" w:rsidP="00954233">
            <w:pPr>
              <w:pStyle w:val="TableParagraph"/>
              <w:keepLines/>
              <w:rPr>
                <w:rFonts w:ascii="Calibri" w:hAnsi="Calibri" w:cs="Calibri"/>
                <w:sz w:val="24"/>
                <w:szCs w:val="24"/>
              </w:rPr>
            </w:pPr>
          </w:p>
          <w:p w14:paraId="4DB26322" w14:textId="254B9952" w:rsidR="005918D1" w:rsidRPr="00F96481" w:rsidRDefault="005918D1" w:rsidP="00954233">
            <w:pPr>
              <w:pStyle w:val="TableParagraph"/>
              <w:keepLines/>
              <w:rPr>
                <w:rFonts w:ascii="Calibri" w:hAnsi="Calibri" w:cs="Calibri"/>
                <w:sz w:val="24"/>
                <w:szCs w:val="24"/>
              </w:rPr>
            </w:pPr>
            <w:r w:rsidRPr="00F96481">
              <w:rPr>
                <w:rFonts w:ascii="Calibri" w:hAnsi="Calibri" w:cs="Calibri"/>
                <w:sz w:val="24"/>
                <w:szCs w:val="24"/>
              </w:rPr>
              <w:t>[Definition of CEM and potential alignment with the CEM measure in England and Wales to be discussed with Scottish Water.]</w:t>
            </w:r>
          </w:p>
        </w:tc>
      </w:tr>
      <w:tr w:rsidR="002A3ABC" w:rsidRPr="00845C40" w14:paraId="5D9F4C38" w14:textId="77777777" w:rsidTr="00954233">
        <w:trPr>
          <w:trHeight w:val="293"/>
        </w:trPr>
        <w:tc>
          <w:tcPr>
            <w:tcW w:w="0" w:type="dxa"/>
          </w:tcPr>
          <w:p w14:paraId="5B52E2EA" w14:textId="4543C524" w:rsidR="005918D1" w:rsidRPr="00F96481" w:rsidRDefault="005918D1" w:rsidP="00F96481">
            <w:pPr>
              <w:pStyle w:val="TableParagraph"/>
              <w:rPr>
                <w:rFonts w:ascii="Calibri" w:hAnsi="Calibri" w:cs="Calibri"/>
                <w:sz w:val="24"/>
                <w:szCs w:val="24"/>
              </w:rPr>
            </w:pPr>
            <w:r w:rsidRPr="00954233">
              <w:rPr>
                <w:sz w:val="24"/>
                <w:szCs w:val="24"/>
              </w:rPr>
              <w:t>1.05</w:t>
            </w:r>
          </w:p>
        </w:tc>
        <w:tc>
          <w:tcPr>
            <w:tcW w:w="0" w:type="dxa"/>
          </w:tcPr>
          <w:p w14:paraId="15D81722" w14:textId="79A36135" w:rsidR="005918D1" w:rsidRPr="00F96481" w:rsidRDefault="005918D1" w:rsidP="00F96481">
            <w:pPr>
              <w:pStyle w:val="TableParagraph"/>
              <w:rPr>
                <w:rFonts w:ascii="Calibri" w:hAnsi="Calibri" w:cs="Calibri"/>
                <w:color w:val="000000"/>
                <w:sz w:val="24"/>
                <w:szCs w:val="24"/>
              </w:rPr>
            </w:pPr>
            <w:r w:rsidRPr="00954233">
              <w:rPr>
                <w:sz w:val="24"/>
                <w:szCs w:val="24"/>
              </w:rPr>
              <w:t>CEM</w:t>
            </w:r>
          </w:p>
        </w:tc>
        <w:tc>
          <w:tcPr>
            <w:tcW w:w="2693" w:type="dxa"/>
          </w:tcPr>
          <w:p w14:paraId="1DFC2AF3" w14:textId="0BD51CC7" w:rsidR="005918D1" w:rsidRPr="00F96481" w:rsidRDefault="005918D1" w:rsidP="00F96481">
            <w:pPr>
              <w:pStyle w:val="TableParagraph"/>
              <w:rPr>
                <w:rFonts w:ascii="Calibri" w:hAnsi="Calibri" w:cs="Calibri"/>
                <w:color w:val="000000"/>
                <w:sz w:val="24"/>
                <w:szCs w:val="24"/>
              </w:rPr>
            </w:pPr>
            <w:r w:rsidRPr="00954233">
              <w:rPr>
                <w:sz w:val="24"/>
                <w:szCs w:val="24"/>
              </w:rPr>
              <w:t>UKCSI UK customer Satisfaction Index</w:t>
            </w:r>
          </w:p>
        </w:tc>
        <w:tc>
          <w:tcPr>
            <w:tcW w:w="1559" w:type="dxa"/>
          </w:tcPr>
          <w:p w14:paraId="6E087D92" w14:textId="09BDAEC6" w:rsidR="005918D1" w:rsidRPr="00F96481" w:rsidRDefault="005918D1" w:rsidP="00F96481">
            <w:pPr>
              <w:pStyle w:val="TableParagraph"/>
              <w:rPr>
                <w:rFonts w:ascii="Calibri" w:hAnsi="Calibri" w:cs="Calibri"/>
                <w:color w:val="000000"/>
                <w:sz w:val="24"/>
                <w:szCs w:val="24"/>
              </w:rPr>
            </w:pPr>
            <w:r w:rsidRPr="00954233">
              <w:rPr>
                <w:sz w:val="24"/>
                <w:szCs w:val="24"/>
              </w:rPr>
              <w:t>%</w:t>
            </w:r>
          </w:p>
        </w:tc>
        <w:tc>
          <w:tcPr>
            <w:tcW w:w="7230" w:type="dxa"/>
          </w:tcPr>
          <w:p w14:paraId="56C64D50" w14:textId="07FAF7AA" w:rsidR="005918D1" w:rsidRPr="00F96481" w:rsidRDefault="00D9255A" w:rsidP="00F96481">
            <w:pPr>
              <w:pStyle w:val="TableParagraph"/>
              <w:rPr>
                <w:rFonts w:ascii="Calibri" w:hAnsi="Calibri" w:cs="Calibri"/>
                <w:sz w:val="24"/>
                <w:szCs w:val="24"/>
              </w:rPr>
            </w:pPr>
            <w:r w:rsidRPr="00D9255A">
              <w:rPr>
                <w:rFonts w:ascii="Calibri" w:hAnsi="Calibri" w:cs="Calibri"/>
                <w:sz w:val="24"/>
                <w:szCs w:val="24"/>
              </w:rPr>
              <w:t>The UK Customer Satisfaction Index (UKCSI) is the national barometer of customer satisfaction published twice a year by The Institute of Customer Service since 2008. It is an independent, objective benchmark of customer satisfaction on a consistent set of measures on 282 organisations and organisation types across 13 sectors.</w:t>
            </w:r>
          </w:p>
        </w:tc>
      </w:tr>
      <w:tr w:rsidR="002A3ABC" w:rsidRPr="00845C40" w14:paraId="3BA01857" w14:textId="77777777" w:rsidTr="00954233">
        <w:trPr>
          <w:trHeight w:val="293"/>
        </w:trPr>
        <w:tc>
          <w:tcPr>
            <w:tcW w:w="0" w:type="dxa"/>
          </w:tcPr>
          <w:p w14:paraId="1FDD9313" w14:textId="53EEE186" w:rsidR="005918D1" w:rsidRPr="00F96481" w:rsidRDefault="005918D1" w:rsidP="00F96481">
            <w:pPr>
              <w:pStyle w:val="TableParagraph"/>
              <w:rPr>
                <w:rFonts w:ascii="Calibri" w:hAnsi="Calibri" w:cs="Calibri"/>
                <w:sz w:val="24"/>
                <w:szCs w:val="24"/>
              </w:rPr>
            </w:pPr>
            <w:r w:rsidRPr="00954233">
              <w:rPr>
                <w:sz w:val="24"/>
                <w:szCs w:val="24"/>
              </w:rPr>
              <w:t>1.06</w:t>
            </w:r>
          </w:p>
        </w:tc>
        <w:tc>
          <w:tcPr>
            <w:tcW w:w="0" w:type="dxa"/>
          </w:tcPr>
          <w:p w14:paraId="125FF721" w14:textId="4CE6A969" w:rsidR="005918D1" w:rsidRPr="00F96481" w:rsidRDefault="005918D1" w:rsidP="00F96481">
            <w:pPr>
              <w:pStyle w:val="TableParagraph"/>
              <w:rPr>
                <w:rFonts w:ascii="Calibri" w:hAnsi="Calibri" w:cs="Calibri"/>
                <w:color w:val="000000"/>
                <w:sz w:val="24"/>
                <w:szCs w:val="24"/>
              </w:rPr>
            </w:pPr>
            <w:r w:rsidRPr="00954233">
              <w:rPr>
                <w:sz w:val="24"/>
                <w:szCs w:val="24"/>
              </w:rPr>
              <w:t>CEM</w:t>
            </w:r>
          </w:p>
        </w:tc>
        <w:tc>
          <w:tcPr>
            <w:tcW w:w="2693" w:type="dxa"/>
          </w:tcPr>
          <w:p w14:paraId="06985B73" w14:textId="60DBA758" w:rsidR="005918D1" w:rsidRPr="00F96481" w:rsidRDefault="005918D1" w:rsidP="00F96481">
            <w:pPr>
              <w:pStyle w:val="TableParagraph"/>
              <w:rPr>
                <w:rFonts w:ascii="Calibri" w:hAnsi="Calibri" w:cs="Calibri"/>
                <w:color w:val="000000"/>
                <w:sz w:val="24"/>
                <w:szCs w:val="24"/>
              </w:rPr>
            </w:pPr>
            <w:r w:rsidRPr="00954233">
              <w:rPr>
                <w:sz w:val="24"/>
                <w:szCs w:val="24"/>
              </w:rPr>
              <w:t xml:space="preserve">Communities experience measure </w:t>
            </w:r>
          </w:p>
        </w:tc>
        <w:tc>
          <w:tcPr>
            <w:tcW w:w="1559" w:type="dxa"/>
          </w:tcPr>
          <w:p w14:paraId="1DF8EF92" w14:textId="77777777" w:rsidR="005918D1" w:rsidRPr="00F96481" w:rsidRDefault="005918D1" w:rsidP="00F96481">
            <w:pPr>
              <w:pStyle w:val="TableParagraph"/>
              <w:rPr>
                <w:rFonts w:ascii="Calibri" w:hAnsi="Calibri" w:cs="Calibri"/>
                <w:color w:val="000000"/>
                <w:sz w:val="24"/>
                <w:szCs w:val="24"/>
              </w:rPr>
            </w:pPr>
          </w:p>
        </w:tc>
        <w:tc>
          <w:tcPr>
            <w:tcW w:w="7230" w:type="dxa"/>
          </w:tcPr>
          <w:p w14:paraId="720B6EA1" w14:textId="16A97697" w:rsidR="005918D1" w:rsidRPr="00F96481" w:rsidRDefault="005918D1" w:rsidP="00F96481">
            <w:pPr>
              <w:pStyle w:val="TableParagraph"/>
              <w:rPr>
                <w:rFonts w:ascii="Calibri" w:hAnsi="Calibri" w:cs="Calibri"/>
                <w:sz w:val="24"/>
                <w:szCs w:val="24"/>
              </w:rPr>
            </w:pPr>
            <w:r w:rsidRPr="00954233">
              <w:rPr>
                <w:sz w:val="24"/>
                <w:szCs w:val="24"/>
              </w:rPr>
              <w:t>[</w:t>
            </w:r>
            <w:r w:rsidR="00CC5E8A">
              <w:rPr>
                <w:sz w:val="24"/>
                <w:szCs w:val="24"/>
              </w:rPr>
              <w:t>M</w:t>
            </w:r>
            <w:r w:rsidRPr="00954233">
              <w:rPr>
                <w:sz w:val="24"/>
                <w:szCs w:val="24"/>
              </w:rPr>
              <w:t>easure to be proposed</w:t>
            </w:r>
            <w:r w:rsidR="00CC5E8A">
              <w:rPr>
                <w:sz w:val="24"/>
                <w:szCs w:val="24"/>
              </w:rPr>
              <w:t>.</w:t>
            </w:r>
            <w:r w:rsidR="000B00E4">
              <w:rPr>
                <w:sz w:val="24"/>
                <w:szCs w:val="24"/>
              </w:rPr>
              <w:t>]</w:t>
            </w:r>
          </w:p>
        </w:tc>
      </w:tr>
      <w:tr w:rsidR="002A3ABC" w:rsidRPr="00845C40" w14:paraId="1A79B898" w14:textId="77777777" w:rsidTr="00954233">
        <w:trPr>
          <w:trHeight w:val="293"/>
        </w:trPr>
        <w:tc>
          <w:tcPr>
            <w:tcW w:w="0" w:type="dxa"/>
          </w:tcPr>
          <w:p w14:paraId="16420176" w14:textId="1F2BF682" w:rsidR="005918D1" w:rsidRPr="00F96481" w:rsidRDefault="005918D1" w:rsidP="00F96481">
            <w:pPr>
              <w:pStyle w:val="TableParagraph"/>
              <w:rPr>
                <w:rFonts w:ascii="Calibri" w:hAnsi="Calibri" w:cs="Calibri"/>
                <w:sz w:val="24"/>
                <w:szCs w:val="24"/>
              </w:rPr>
            </w:pPr>
            <w:r w:rsidRPr="00954233">
              <w:rPr>
                <w:sz w:val="24"/>
                <w:szCs w:val="24"/>
              </w:rPr>
              <w:t>1.07</w:t>
            </w:r>
          </w:p>
        </w:tc>
        <w:tc>
          <w:tcPr>
            <w:tcW w:w="1843" w:type="dxa"/>
          </w:tcPr>
          <w:p w14:paraId="7D3EC662" w14:textId="4D65832B"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Leakage</w:t>
            </w:r>
          </w:p>
        </w:tc>
        <w:tc>
          <w:tcPr>
            <w:tcW w:w="0" w:type="dxa"/>
          </w:tcPr>
          <w:p w14:paraId="6C4D987B" w14:textId="4A65D858"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Percentage reduction of three-year average leakage*</w:t>
            </w:r>
          </w:p>
        </w:tc>
        <w:tc>
          <w:tcPr>
            <w:tcW w:w="1559" w:type="dxa"/>
          </w:tcPr>
          <w:p w14:paraId="77DFA2B0" w14:textId="40298C00"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 </w:t>
            </w:r>
          </w:p>
        </w:tc>
        <w:tc>
          <w:tcPr>
            <w:tcW w:w="7230" w:type="dxa"/>
          </w:tcPr>
          <w:p w14:paraId="46FB4334" w14:textId="0DFD06D0" w:rsidR="00260FE7" w:rsidRDefault="005918D1" w:rsidP="00F96481">
            <w:pPr>
              <w:pStyle w:val="TableParagraph"/>
              <w:rPr>
                <w:rFonts w:ascii="Calibri" w:hAnsi="Calibri" w:cs="Calibri"/>
                <w:sz w:val="24"/>
                <w:szCs w:val="24"/>
              </w:rPr>
            </w:pPr>
            <w:r w:rsidRPr="00F96481">
              <w:rPr>
                <w:rFonts w:ascii="Calibri" w:hAnsi="Calibri" w:cs="Calibri"/>
                <w:sz w:val="24"/>
                <w:szCs w:val="24"/>
              </w:rPr>
              <w:t xml:space="preserve">The percentage reduction of three-year average leakage in Ml/d from a 2024-25 baseline. Three-year average values are calculated from annual average values for the reporting year and two preceding years and expressed in Ml/d. </w:t>
            </w:r>
          </w:p>
          <w:p w14:paraId="383E0675" w14:textId="77777777" w:rsidR="00260FE7" w:rsidRDefault="00260FE7" w:rsidP="00F96481">
            <w:pPr>
              <w:pStyle w:val="TableParagraph"/>
              <w:rPr>
                <w:rFonts w:ascii="Calibri" w:hAnsi="Calibri" w:cs="Calibri"/>
                <w:sz w:val="24"/>
                <w:szCs w:val="24"/>
              </w:rPr>
            </w:pPr>
          </w:p>
          <w:p w14:paraId="7D1BD6F3" w14:textId="77777777" w:rsidR="005918D1" w:rsidRDefault="005918D1" w:rsidP="00F96481">
            <w:pPr>
              <w:pStyle w:val="TableParagraph"/>
              <w:rPr>
                <w:rFonts w:ascii="Calibri" w:hAnsi="Calibri" w:cs="Calibri"/>
                <w:sz w:val="24"/>
                <w:szCs w:val="24"/>
              </w:rPr>
            </w:pPr>
            <w:r w:rsidRPr="00F96481">
              <w:rPr>
                <w:rFonts w:ascii="Calibri" w:hAnsi="Calibri" w:cs="Calibri"/>
                <w:sz w:val="24"/>
                <w:szCs w:val="24"/>
              </w:rPr>
              <w:t>Annual average leakage is defined as the sum of distribution system leakage, including service reservoir losses, trunk main leakage, and customer supply pipe leakage. It is reported as the annual arithmetic mean daily leakage expressed in Ml/d. It is reported as a post-Maximum Likelihood Estimation (MLE) figure.</w:t>
            </w:r>
          </w:p>
          <w:p w14:paraId="5D64BE36" w14:textId="77777777" w:rsidR="00E27593" w:rsidRDefault="00E27593" w:rsidP="00F96481">
            <w:pPr>
              <w:pStyle w:val="TableParagraph"/>
              <w:rPr>
                <w:rFonts w:ascii="Calibri" w:hAnsi="Calibri" w:cs="Calibri"/>
                <w:sz w:val="24"/>
                <w:szCs w:val="24"/>
              </w:rPr>
            </w:pPr>
          </w:p>
          <w:p w14:paraId="59712B74" w14:textId="6DD5FE62" w:rsidR="005918D1" w:rsidRPr="00F96481" w:rsidRDefault="00E27593" w:rsidP="00F96481">
            <w:pPr>
              <w:pStyle w:val="TableParagraph"/>
              <w:rPr>
                <w:rFonts w:ascii="Calibri" w:hAnsi="Calibri" w:cs="Calibri"/>
                <w:sz w:val="24"/>
                <w:szCs w:val="24"/>
              </w:rPr>
            </w:pPr>
            <w:r>
              <w:rPr>
                <w:rFonts w:ascii="Calibri" w:hAnsi="Calibri" w:cs="Calibri"/>
                <w:sz w:val="24"/>
                <w:szCs w:val="24"/>
              </w:rPr>
              <w:lastRenderedPageBreak/>
              <w:t>The measure</w:t>
            </w:r>
            <w:r w:rsidR="007439C7">
              <w:rPr>
                <w:rFonts w:ascii="Calibri" w:hAnsi="Calibri" w:cs="Calibri"/>
                <w:sz w:val="24"/>
                <w:szCs w:val="24"/>
              </w:rPr>
              <w:t xml:space="preserve"> is</w:t>
            </w:r>
            <w:r>
              <w:rPr>
                <w:rFonts w:ascii="Calibri" w:hAnsi="Calibri" w:cs="Calibri"/>
                <w:sz w:val="24"/>
                <w:szCs w:val="24"/>
              </w:rPr>
              <w:t xml:space="preserve"> reported based on the calendar year.</w:t>
            </w:r>
          </w:p>
        </w:tc>
      </w:tr>
      <w:tr w:rsidR="002A3ABC" w:rsidRPr="00845C40" w14:paraId="6AB03C70" w14:textId="1CB5CC16" w:rsidTr="00954233">
        <w:trPr>
          <w:trHeight w:val="293"/>
        </w:trPr>
        <w:tc>
          <w:tcPr>
            <w:tcW w:w="0" w:type="dxa"/>
          </w:tcPr>
          <w:p w14:paraId="29F9C201" w14:textId="749CAECB" w:rsidR="005918D1" w:rsidRPr="00F96481" w:rsidRDefault="005918D1" w:rsidP="00F96481">
            <w:pPr>
              <w:pStyle w:val="TableParagraph"/>
              <w:rPr>
                <w:rFonts w:ascii="Calibri" w:hAnsi="Calibri" w:cs="Calibri"/>
                <w:sz w:val="24"/>
                <w:szCs w:val="24"/>
              </w:rPr>
            </w:pPr>
            <w:r w:rsidRPr="00954233">
              <w:rPr>
                <w:sz w:val="24"/>
                <w:szCs w:val="24"/>
              </w:rPr>
              <w:lastRenderedPageBreak/>
              <w:t>1.08</w:t>
            </w:r>
          </w:p>
        </w:tc>
        <w:tc>
          <w:tcPr>
            <w:tcW w:w="0" w:type="dxa"/>
          </w:tcPr>
          <w:p w14:paraId="6D945BDB" w14:textId="4374E0CB"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Leakage</w:t>
            </w:r>
          </w:p>
        </w:tc>
        <w:tc>
          <w:tcPr>
            <w:tcW w:w="2693" w:type="dxa"/>
          </w:tcPr>
          <w:p w14:paraId="168FC7B0" w14:textId="7C7C3A07"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Leakage reduction in areas with supply-demand balance deficit*</w:t>
            </w:r>
          </w:p>
        </w:tc>
        <w:tc>
          <w:tcPr>
            <w:tcW w:w="1559" w:type="dxa"/>
          </w:tcPr>
          <w:p w14:paraId="6F94C2F0" w14:textId="44CB1BE6" w:rsidR="005918D1" w:rsidRPr="00F96481" w:rsidRDefault="005918D1" w:rsidP="00F96481">
            <w:pPr>
              <w:pStyle w:val="TableParagraph"/>
              <w:rPr>
                <w:rFonts w:ascii="Calibri" w:hAnsi="Calibri" w:cs="Calibri"/>
                <w:sz w:val="24"/>
                <w:szCs w:val="24"/>
              </w:rPr>
            </w:pPr>
            <w:r w:rsidRPr="00F96481">
              <w:rPr>
                <w:rFonts w:ascii="Calibri" w:hAnsi="Calibri" w:cs="Calibri"/>
                <w:color w:val="000000"/>
                <w:sz w:val="24"/>
                <w:szCs w:val="24"/>
              </w:rPr>
              <w:t>%</w:t>
            </w:r>
          </w:p>
        </w:tc>
        <w:tc>
          <w:tcPr>
            <w:tcW w:w="7230" w:type="dxa"/>
          </w:tcPr>
          <w:p w14:paraId="7358C0B8" w14:textId="0348702C" w:rsidR="00C0198E" w:rsidRDefault="005918D1" w:rsidP="00F96481">
            <w:pPr>
              <w:pStyle w:val="TableParagraph"/>
              <w:rPr>
                <w:rFonts w:ascii="Calibri" w:hAnsi="Calibri" w:cs="Calibri"/>
                <w:sz w:val="24"/>
                <w:szCs w:val="24"/>
              </w:rPr>
            </w:pPr>
            <w:r w:rsidRPr="00F96481">
              <w:rPr>
                <w:rFonts w:ascii="Calibri" w:hAnsi="Calibri" w:cs="Calibri"/>
                <w:sz w:val="24"/>
                <w:szCs w:val="24"/>
              </w:rPr>
              <w:t xml:space="preserve">The percentage reduction of three-year average leakage in Ml/d from a 2024-25 baseline </w:t>
            </w:r>
            <w:r w:rsidR="00C0198E">
              <w:rPr>
                <w:rFonts w:ascii="Calibri" w:hAnsi="Calibri" w:cs="Calibri"/>
                <w:sz w:val="24"/>
                <w:szCs w:val="24"/>
              </w:rPr>
              <w:t>for zone defined as being in supply</w:t>
            </w:r>
            <w:r w:rsidR="008861E3">
              <w:rPr>
                <w:rFonts w:ascii="Calibri" w:hAnsi="Calibri" w:cs="Calibri"/>
                <w:sz w:val="24"/>
                <w:szCs w:val="24"/>
              </w:rPr>
              <w:t xml:space="preserve"> demand deficit</w:t>
            </w:r>
            <w:r w:rsidR="00B17A69">
              <w:rPr>
                <w:rFonts w:ascii="Calibri" w:hAnsi="Calibri" w:cs="Calibri"/>
                <w:sz w:val="24"/>
                <w:szCs w:val="24"/>
              </w:rPr>
              <w:t xml:space="preserve"> in 2024-25.</w:t>
            </w:r>
          </w:p>
          <w:p w14:paraId="091B0FE5" w14:textId="77777777" w:rsidR="00B17A69" w:rsidRDefault="00B17A69" w:rsidP="00F96481">
            <w:pPr>
              <w:pStyle w:val="TableParagraph"/>
              <w:rPr>
                <w:rFonts w:ascii="Calibri" w:hAnsi="Calibri" w:cs="Calibri"/>
                <w:sz w:val="24"/>
                <w:szCs w:val="24"/>
              </w:rPr>
            </w:pPr>
          </w:p>
          <w:p w14:paraId="4D6DC2C1" w14:textId="39EA8C38" w:rsidR="005918D1" w:rsidRDefault="005918D1" w:rsidP="00F96481">
            <w:pPr>
              <w:pStyle w:val="TableParagraph"/>
              <w:rPr>
                <w:rFonts w:ascii="Calibri" w:hAnsi="Calibri" w:cs="Calibri"/>
                <w:sz w:val="24"/>
                <w:szCs w:val="24"/>
              </w:rPr>
            </w:pPr>
            <w:r w:rsidRPr="00F96481">
              <w:rPr>
                <w:rFonts w:ascii="Calibri" w:hAnsi="Calibri" w:cs="Calibri"/>
                <w:sz w:val="24"/>
                <w:szCs w:val="24"/>
              </w:rPr>
              <w:t xml:space="preserve">Three-year average values are calculated from annual average values for the reporting year and two preceding years and expressed in Ml/d. </w:t>
            </w:r>
          </w:p>
          <w:p w14:paraId="72EF4434" w14:textId="77777777" w:rsidR="00ED6121" w:rsidRDefault="00ED6121" w:rsidP="00F96481">
            <w:pPr>
              <w:pStyle w:val="TableParagraph"/>
              <w:rPr>
                <w:rFonts w:ascii="Calibri" w:hAnsi="Calibri" w:cs="Calibri"/>
                <w:sz w:val="24"/>
                <w:szCs w:val="24"/>
              </w:rPr>
            </w:pPr>
          </w:p>
          <w:p w14:paraId="3B2CF261" w14:textId="77777777" w:rsidR="00ED6121" w:rsidRDefault="00ED6121" w:rsidP="00ED6121">
            <w:pPr>
              <w:pStyle w:val="TableParagraph"/>
              <w:rPr>
                <w:rFonts w:ascii="Calibri" w:hAnsi="Calibri" w:cs="Calibri"/>
                <w:sz w:val="24"/>
                <w:szCs w:val="24"/>
              </w:rPr>
            </w:pPr>
            <w:r w:rsidRPr="00F96481">
              <w:rPr>
                <w:rFonts w:ascii="Calibri" w:hAnsi="Calibri" w:cs="Calibri"/>
                <w:sz w:val="24"/>
                <w:szCs w:val="24"/>
              </w:rPr>
              <w:t>Annual average leakage is defined as the sum of distribution system leakage, including service reservoir losses, trunk main leakage, and customer supply pipe leakage. It is reported as the annual arithmetic mean daily leakage expressed in Ml/d. It is reported as a post-Maximum Likelihood Estimation (MLE) figure.</w:t>
            </w:r>
          </w:p>
          <w:p w14:paraId="465B54F2" w14:textId="77777777" w:rsidR="00ED6121" w:rsidRDefault="00ED6121" w:rsidP="00ED6121">
            <w:pPr>
              <w:pStyle w:val="TableParagraph"/>
              <w:rPr>
                <w:rFonts w:ascii="Calibri" w:hAnsi="Calibri" w:cs="Calibri"/>
                <w:sz w:val="24"/>
                <w:szCs w:val="24"/>
              </w:rPr>
            </w:pPr>
          </w:p>
          <w:p w14:paraId="39075E0F" w14:textId="38D69C5C" w:rsidR="005918D1" w:rsidRPr="00F96481" w:rsidRDefault="00ED6121" w:rsidP="00F96481">
            <w:pPr>
              <w:pStyle w:val="TableParagraph"/>
              <w:rPr>
                <w:rFonts w:ascii="Calibri" w:hAnsi="Calibri" w:cs="Calibri"/>
                <w:sz w:val="24"/>
                <w:szCs w:val="24"/>
              </w:rPr>
            </w:pPr>
            <w:r>
              <w:rPr>
                <w:rFonts w:ascii="Calibri" w:hAnsi="Calibri" w:cs="Calibri"/>
                <w:sz w:val="24"/>
                <w:szCs w:val="24"/>
              </w:rPr>
              <w:t>The measure is reported based on the calendar year.</w:t>
            </w:r>
          </w:p>
        </w:tc>
      </w:tr>
      <w:tr w:rsidR="002A3ABC" w:rsidRPr="00845C40" w14:paraId="201E49B1" w14:textId="77777777" w:rsidTr="00954233">
        <w:trPr>
          <w:trHeight w:val="293"/>
        </w:trPr>
        <w:tc>
          <w:tcPr>
            <w:tcW w:w="0" w:type="dxa"/>
          </w:tcPr>
          <w:p w14:paraId="0FE09411" w14:textId="76121E87" w:rsidR="005918D1" w:rsidRPr="00F96481" w:rsidRDefault="005918D1" w:rsidP="00F96481">
            <w:pPr>
              <w:pStyle w:val="TableParagraph"/>
              <w:rPr>
                <w:rFonts w:ascii="Calibri" w:hAnsi="Calibri" w:cs="Calibri"/>
                <w:sz w:val="24"/>
                <w:szCs w:val="24"/>
              </w:rPr>
            </w:pPr>
            <w:r w:rsidRPr="00954233">
              <w:rPr>
                <w:sz w:val="24"/>
                <w:szCs w:val="24"/>
              </w:rPr>
              <w:t>1.09</w:t>
            </w:r>
          </w:p>
        </w:tc>
        <w:tc>
          <w:tcPr>
            <w:tcW w:w="0" w:type="dxa"/>
          </w:tcPr>
          <w:p w14:paraId="359CF86A" w14:textId="53B6A6E8"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Business demand</w:t>
            </w:r>
          </w:p>
        </w:tc>
        <w:tc>
          <w:tcPr>
            <w:tcW w:w="2693" w:type="dxa"/>
          </w:tcPr>
          <w:p w14:paraId="61F2C2BD" w14:textId="212E061F"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Percentage reduction of consumption at non-household premises*</w:t>
            </w:r>
          </w:p>
        </w:tc>
        <w:tc>
          <w:tcPr>
            <w:tcW w:w="1559" w:type="dxa"/>
          </w:tcPr>
          <w:p w14:paraId="3925AA65" w14:textId="7DADA60E"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w:t>
            </w:r>
          </w:p>
        </w:tc>
        <w:tc>
          <w:tcPr>
            <w:tcW w:w="7230" w:type="dxa"/>
          </w:tcPr>
          <w:p w14:paraId="2F48BF50" w14:textId="4C8573AE" w:rsidR="005918D1" w:rsidRDefault="005918D1">
            <w:pPr>
              <w:pStyle w:val="TableParagraph"/>
              <w:keepLines/>
              <w:rPr>
                <w:rFonts w:ascii="Calibri" w:hAnsi="Calibri" w:cs="Calibri"/>
                <w:sz w:val="24"/>
                <w:szCs w:val="24"/>
              </w:rPr>
            </w:pPr>
            <w:r w:rsidRPr="00F96481">
              <w:rPr>
                <w:rFonts w:ascii="Calibri" w:hAnsi="Calibri" w:cs="Calibri"/>
                <w:sz w:val="24"/>
                <w:szCs w:val="24"/>
              </w:rPr>
              <w:t xml:space="preserve">The percentage </w:t>
            </w:r>
            <w:r w:rsidR="00144CE3">
              <w:rPr>
                <w:rFonts w:ascii="Calibri" w:hAnsi="Calibri" w:cs="Calibri"/>
                <w:sz w:val="24"/>
                <w:szCs w:val="24"/>
              </w:rPr>
              <w:t>net</w:t>
            </w:r>
            <w:r w:rsidRPr="00F96481">
              <w:rPr>
                <w:rFonts w:ascii="Calibri" w:hAnsi="Calibri" w:cs="Calibri"/>
                <w:sz w:val="24"/>
                <w:szCs w:val="24"/>
              </w:rPr>
              <w:t xml:space="preserve"> reduction of three-year average business demand in mega-litres per day (Ml/d) from a 2024-25 baseline. Three-year average values are calculated from annual average values for the reporting year and two preceding years expressed in Ml/d. Non-household premises include businesses, charities and public sector organisations. The measure uses post-MLE (maximum likelihood estimation) data.</w:t>
            </w:r>
          </w:p>
          <w:p w14:paraId="5E38AD2A" w14:textId="77777777" w:rsidR="00E33954" w:rsidRDefault="00E33954">
            <w:pPr>
              <w:pStyle w:val="TableParagraph"/>
              <w:keepLines/>
              <w:rPr>
                <w:rFonts w:ascii="Calibri" w:hAnsi="Calibri" w:cs="Calibri"/>
                <w:sz w:val="24"/>
                <w:szCs w:val="24"/>
              </w:rPr>
            </w:pPr>
          </w:p>
          <w:p w14:paraId="7506C772" w14:textId="73B1E998" w:rsidR="005918D1" w:rsidRPr="00F96481" w:rsidRDefault="00BF1BCD" w:rsidP="00954233">
            <w:pPr>
              <w:pStyle w:val="TableParagraph"/>
              <w:keepLines/>
              <w:rPr>
                <w:rFonts w:ascii="Calibri" w:hAnsi="Calibri" w:cs="Calibri"/>
                <w:sz w:val="24"/>
                <w:szCs w:val="24"/>
              </w:rPr>
            </w:pPr>
            <w:r>
              <w:rPr>
                <w:rFonts w:ascii="Calibri" w:hAnsi="Calibri" w:cs="Calibri"/>
                <w:sz w:val="24"/>
                <w:szCs w:val="24"/>
              </w:rPr>
              <w:t xml:space="preserve">[Methodology to be further developed, e.g. to accommodate for economic changes such as </w:t>
            </w:r>
            <w:r w:rsidR="00C817F7">
              <w:rPr>
                <w:rFonts w:ascii="Calibri" w:hAnsi="Calibri" w:cs="Calibri"/>
                <w:sz w:val="24"/>
                <w:szCs w:val="24"/>
              </w:rPr>
              <w:t xml:space="preserve">the </w:t>
            </w:r>
            <w:r w:rsidR="00571A73">
              <w:rPr>
                <w:rFonts w:ascii="Calibri" w:hAnsi="Calibri" w:cs="Calibri"/>
                <w:sz w:val="24"/>
                <w:szCs w:val="24"/>
              </w:rPr>
              <w:t xml:space="preserve">addition of </w:t>
            </w:r>
            <w:r w:rsidR="00C817F7">
              <w:rPr>
                <w:rFonts w:ascii="Calibri" w:hAnsi="Calibri" w:cs="Calibri"/>
                <w:sz w:val="24"/>
                <w:szCs w:val="24"/>
              </w:rPr>
              <w:t xml:space="preserve">a </w:t>
            </w:r>
            <w:r w:rsidR="00571A73">
              <w:rPr>
                <w:rFonts w:ascii="Calibri" w:hAnsi="Calibri" w:cs="Calibri"/>
                <w:sz w:val="24"/>
                <w:szCs w:val="24"/>
              </w:rPr>
              <w:t>new or loss of</w:t>
            </w:r>
            <w:r>
              <w:rPr>
                <w:rFonts w:ascii="Calibri" w:hAnsi="Calibri" w:cs="Calibri"/>
                <w:sz w:val="24"/>
                <w:szCs w:val="24"/>
              </w:rPr>
              <w:t xml:space="preserve"> </w:t>
            </w:r>
            <w:r w:rsidR="00C817F7">
              <w:rPr>
                <w:rFonts w:ascii="Calibri" w:hAnsi="Calibri" w:cs="Calibri"/>
                <w:sz w:val="24"/>
                <w:szCs w:val="24"/>
              </w:rPr>
              <w:t xml:space="preserve">an </w:t>
            </w:r>
            <w:r>
              <w:rPr>
                <w:rFonts w:ascii="Calibri" w:hAnsi="Calibri" w:cs="Calibri"/>
                <w:sz w:val="24"/>
                <w:szCs w:val="24"/>
              </w:rPr>
              <w:t xml:space="preserve">industrial </w:t>
            </w:r>
            <w:r w:rsidR="00C817F7">
              <w:rPr>
                <w:rFonts w:ascii="Calibri" w:hAnsi="Calibri" w:cs="Calibri"/>
                <w:sz w:val="24"/>
                <w:szCs w:val="24"/>
              </w:rPr>
              <w:t>user</w:t>
            </w:r>
            <w:r w:rsidR="00571A73">
              <w:rPr>
                <w:rFonts w:ascii="Calibri" w:hAnsi="Calibri" w:cs="Calibri"/>
                <w:sz w:val="24"/>
                <w:szCs w:val="24"/>
              </w:rPr>
              <w:t>]</w:t>
            </w:r>
          </w:p>
        </w:tc>
      </w:tr>
      <w:tr w:rsidR="002A3ABC" w:rsidRPr="00845C40" w14:paraId="7552C2B5" w14:textId="77777777" w:rsidTr="00954233">
        <w:trPr>
          <w:trHeight w:val="293"/>
        </w:trPr>
        <w:tc>
          <w:tcPr>
            <w:tcW w:w="0" w:type="dxa"/>
          </w:tcPr>
          <w:p w14:paraId="460913C7" w14:textId="302A073F" w:rsidR="005918D1" w:rsidRPr="00F96481" w:rsidRDefault="005918D1" w:rsidP="00F96481">
            <w:pPr>
              <w:pStyle w:val="TableParagraph"/>
              <w:rPr>
                <w:rFonts w:ascii="Calibri" w:hAnsi="Calibri" w:cs="Calibri"/>
                <w:sz w:val="24"/>
                <w:szCs w:val="24"/>
              </w:rPr>
            </w:pPr>
            <w:r w:rsidRPr="00954233">
              <w:rPr>
                <w:sz w:val="24"/>
                <w:szCs w:val="24"/>
              </w:rPr>
              <w:lastRenderedPageBreak/>
              <w:t>1.10</w:t>
            </w:r>
          </w:p>
        </w:tc>
        <w:tc>
          <w:tcPr>
            <w:tcW w:w="1843" w:type="dxa"/>
          </w:tcPr>
          <w:p w14:paraId="65489F91" w14:textId="259C34FA"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Per capita consumption (PCC)</w:t>
            </w:r>
          </w:p>
        </w:tc>
        <w:tc>
          <w:tcPr>
            <w:tcW w:w="0" w:type="dxa"/>
          </w:tcPr>
          <w:p w14:paraId="5C361B35" w14:textId="5103A247"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Three-year average per capita consumption*</w:t>
            </w:r>
          </w:p>
        </w:tc>
        <w:tc>
          <w:tcPr>
            <w:tcW w:w="1559" w:type="dxa"/>
          </w:tcPr>
          <w:p w14:paraId="2E1E7B8F" w14:textId="13756379" w:rsidR="005918D1" w:rsidRPr="00F96481" w:rsidRDefault="005918D1" w:rsidP="00F96481">
            <w:pPr>
              <w:pStyle w:val="TableParagraph"/>
              <w:rPr>
                <w:rFonts w:ascii="Calibri" w:hAnsi="Calibri" w:cs="Calibri"/>
                <w:color w:val="000000"/>
                <w:sz w:val="24"/>
                <w:szCs w:val="24"/>
              </w:rPr>
            </w:pPr>
            <w:r w:rsidRPr="00F96481">
              <w:rPr>
                <w:rFonts w:ascii="Calibri" w:hAnsi="Calibri" w:cs="Calibri"/>
                <w:color w:val="000000"/>
                <w:sz w:val="24"/>
                <w:szCs w:val="24"/>
              </w:rPr>
              <w:t>l/person /d</w:t>
            </w:r>
          </w:p>
        </w:tc>
        <w:tc>
          <w:tcPr>
            <w:tcW w:w="7230" w:type="dxa"/>
          </w:tcPr>
          <w:p w14:paraId="58CFA3E6" w14:textId="59FC4FCB" w:rsidR="00AC19EA" w:rsidRDefault="00AC19EA" w:rsidP="00F96481">
            <w:pPr>
              <w:pStyle w:val="TableParagraph"/>
              <w:rPr>
                <w:rFonts w:ascii="Calibri" w:hAnsi="Calibri" w:cs="Calibri"/>
                <w:sz w:val="24"/>
                <w:szCs w:val="24"/>
              </w:rPr>
            </w:pPr>
            <w:r>
              <w:rPr>
                <w:rFonts w:ascii="Calibri" w:hAnsi="Calibri" w:cs="Calibri"/>
                <w:sz w:val="24"/>
                <w:szCs w:val="24"/>
              </w:rPr>
              <w:t>The</w:t>
            </w:r>
            <w:r w:rsidR="005918D1" w:rsidRPr="00F96481">
              <w:rPr>
                <w:rFonts w:ascii="Calibri" w:hAnsi="Calibri" w:cs="Calibri"/>
                <w:sz w:val="24"/>
                <w:szCs w:val="24"/>
              </w:rPr>
              <w:t xml:space="preserve"> three-year average PCC in litres per person per day (l/person/d).</w:t>
            </w:r>
          </w:p>
          <w:p w14:paraId="453CD16B" w14:textId="3F8E01CD" w:rsidR="00AC19EA" w:rsidRDefault="00AC19EA" w:rsidP="00F96481">
            <w:pPr>
              <w:pStyle w:val="TableParagraph"/>
              <w:rPr>
                <w:rFonts w:ascii="Calibri" w:hAnsi="Calibri" w:cs="Calibri"/>
                <w:sz w:val="24"/>
                <w:szCs w:val="24"/>
              </w:rPr>
            </w:pPr>
          </w:p>
          <w:p w14:paraId="63AA5601" w14:textId="79E2A54B" w:rsidR="005918D1" w:rsidRDefault="005918D1" w:rsidP="00F96481">
            <w:pPr>
              <w:pStyle w:val="TableParagraph"/>
              <w:rPr>
                <w:rFonts w:ascii="Calibri" w:hAnsi="Calibri" w:cs="Calibri"/>
                <w:sz w:val="24"/>
                <w:szCs w:val="24"/>
              </w:rPr>
            </w:pPr>
            <w:r w:rsidRPr="00F96481">
              <w:rPr>
                <w:rFonts w:ascii="Calibri" w:hAnsi="Calibri" w:cs="Calibri"/>
                <w:sz w:val="24"/>
                <w:szCs w:val="24"/>
              </w:rPr>
              <w:t xml:space="preserve">Three-year average values are calculated from annual average values </w:t>
            </w:r>
            <w:r w:rsidR="00B87041">
              <w:rPr>
                <w:rFonts w:ascii="Calibri" w:hAnsi="Calibri" w:cs="Calibri"/>
                <w:sz w:val="24"/>
                <w:szCs w:val="24"/>
              </w:rPr>
              <w:t xml:space="preserve">from unmeasured household use </w:t>
            </w:r>
            <w:r w:rsidRPr="00F96481">
              <w:rPr>
                <w:rFonts w:ascii="Calibri" w:hAnsi="Calibri" w:cs="Calibri"/>
                <w:sz w:val="24"/>
                <w:szCs w:val="24"/>
              </w:rPr>
              <w:t>for the reporting year and two preceding years expressed in l/person/d.</w:t>
            </w:r>
          </w:p>
          <w:p w14:paraId="7646964D" w14:textId="77777777" w:rsidR="00B87041" w:rsidRDefault="00B87041" w:rsidP="00F96481">
            <w:pPr>
              <w:pStyle w:val="TableParagraph"/>
              <w:rPr>
                <w:rFonts w:ascii="Calibri" w:hAnsi="Calibri" w:cs="Calibri"/>
                <w:sz w:val="24"/>
                <w:szCs w:val="24"/>
              </w:rPr>
            </w:pPr>
          </w:p>
          <w:p w14:paraId="6276D66B" w14:textId="6F9FB73E" w:rsidR="005918D1" w:rsidRPr="00F96481" w:rsidRDefault="00B87041" w:rsidP="00F96481">
            <w:pPr>
              <w:pStyle w:val="TableParagraph"/>
              <w:rPr>
                <w:rFonts w:ascii="Calibri" w:hAnsi="Calibri" w:cs="Calibri"/>
                <w:sz w:val="24"/>
                <w:szCs w:val="24"/>
              </w:rPr>
            </w:pPr>
            <w:r>
              <w:rPr>
                <w:rFonts w:ascii="Calibri" w:hAnsi="Calibri" w:cs="Calibri"/>
                <w:sz w:val="24"/>
                <w:szCs w:val="24"/>
              </w:rPr>
              <w:t>The measure is reported based on the calendar year.</w:t>
            </w:r>
          </w:p>
        </w:tc>
      </w:tr>
      <w:tr w:rsidR="002A3ABC" w:rsidRPr="00845C40" w14:paraId="52FF25B4" w14:textId="77777777" w:rsidTr="00954233">
        <w:trPr>
          <w:trHeight w:val="293"/>
        </w:trPr>
        <w:tc>
          <w:tcPr>
            <w:tcW w:w="0" w:type="dxa"/>
          </w:tcPr>
          <w:p w14:paraId="22F59110" w14:textId="45E7F442" w:rsidR="00452D32" w:rsidRPr="00F96481" w:rsidRDefault="00452D32" w:rsidP="00F96481">
            <w:pPr>
              <w:pStyle w:val="TableParagraph"/>
              <w:rPr>
                <w:rFonts w:ascii="Calibri" w:hAnsi="Calibri" w:cs="Calibri"/>
                <w:sz w:val="24"/>
                <w:szCs w:val="24"/>
              </w:rPr>
            </w:pPr>
            <w:r w:rsidRPr="00954233">
              <w:rPr>
                <w:sz w:val="24"/>
                <w:szCs w:val="24"/>
              </w:rPr>
              <w:t>1.11</w:t>
            </w:r>
          </w:p>
        </w:tc>
        <w:tc>
          <w:tcPr>
            <w:tcW w:w="0" w:type="dxa"/>
          </w:tcPr>
          <w:p w14:paraId="41CAEA8E" w14:textId="054C9351" w:rsidR="00452D32" w:rsidRPr="00F96481" w:rsidRDefault="00452D32" w:rsidP="00F96481">
            <w:pPr>
              <w:pStyle w:val="TableParagraph"/>
              <w:rPr>
                <w:rFonts w:ascii="Calibri" w:hAnsi="Calibri" w:cs="Calibri"/>
                <w:color w:val="000000"/>
                <w:sz w:val="24"/>
                <w:szCs w:val="24"/>
              </w:rPr>
            </w:pPr>
            <w:r w:rsidRPr="00F96481">
              <w:rPr>
                <w:rFonts w:ascii="Calibri" w:hAnsi="Calibri" w:cs="Calibri"/>
                <w:color w:val="000000"/>
                <w:sz w:val="24"/>
                <w:szCs w:val="24"/>
              </w:rPr>
              <w:t>Customers receiving low pressure</w:t>
            </w:r>
          </w:p>
        </w:tc>
        <w:tc>
          <w:tcPr>
            <w:tcW w:w="2693" w:type="dxa"/>
          </w:tcPr>
          <w:p w14:paraId="209517F7" w14:textId="65BC49D0" w:rsidR="00452D32" w:rsidRPr="00F96481" w:rsidRDefault="00452D32" w:rsidP="00F96481">
            <w:pPr>
              <w:pStyle w:val="TableParagraph"/>
              <w:rPr>
                <w:rFonts w:ascii="Calibri" w:hAnsi="Calibri" w:cs="Calibri"/>
                <w:color w:val="000000"/>
                <w:sz w:val="24"/>
                <w:szCs w:val="24"/>
              </w:rPr>
            </w:pPr>
            <w:r w:rsidRPr="00F96481">
              <w:rPr>
                <w:rFonts w:ascii="Calibri" w:hAnsi="Calibri" w:cs="Calibri"/>
                <w:color w:val="000000"/>
                <w:sz w:val="24"/>
                <w:szCs w:val="24"/>
              </w:rPr>
              <w:t>Number of properties on the low pressure register</w:t>
            </w:r>
          </w:p>
        </w:tc>
        <w:tc>
          <w:tcPr>
            <w:tcW w:w="1559" w:type="dxa"/>
          </w:tcPr>
          <w:p w14:paraId="12C5120F" w14:textId="0368A408" w:rsidR="00452D32" w:rsidRPr="00F96481" w:rsidRDefault="00452D32" w:rsidP="00F96481">
            <w:pPr>
              <w:pStyle w:val="TableParagraph"/>
              <w:rPr>
                <w:rFonts w:ascii="Calibri" w:hAnsi="Calibri" w:cs="Calibri"/>
                <w:sz w:val="24"/>
                <w:szCs w:val="24"/>
              </w:rPr>
            </w:pPr>
            <w:r w:rsidRPr="00F96481">
              <w:rPr>
                <w:rFonts w:ascii="Calibri" w:hAnsi="Calibri" w:cs="Calibri"/>
                <w:sz w:val="24"/>
                <w:szCs w:val="24"/>
              </w:rPr>
              <w:t>Number</w:t>
            </w:r>
          </w:p>
        </w:tc>
        <w:tc>
          <w:tcPr>
            <w:tcW w:w="7230" w:type="dxa"/>
          </w:tcPr>
          <w:p w14:paraId="2D528D30" w14:textId="606976DC" w:rsidR="00452D32" w:rsidRPr="00F96481" w:rsidRDefault="00452D32" w:rsidP="00F96481">
            <w:pPr>
              <w:pStyle w:val="TableParagraph"/>
              <w:rPr>
                <w:rFonts w:ascii="Calibri" w:hAnsi="Calibri" w:cs="Calibri"/>
                <w:sz w:val="24"/>
                <w:szCs w:val="24"/>
              </w:rPr>
            </w:pPr>
            <w:r w:rsidRPr="00F96481">
              <w:rPr>
                <w:rFonts w:ascii="Calibri" w:hAnsi="Calibri" w:cs="Calibri"/>
                <w:sz w:val="24"/>
                <w:szCs w:val="24"/>
              </w:rPr>
              <w:t>The total number of properties on the low pressure register at the end of the year.</w:t>
            </w:r>
          </w:p>
        </w:tc>
      </w:tr>
      <w:tr w:rsidR="002A3ABC" w:rsidRPr="00845C40" w14:paraId="459D1896" w14:textId="77777777" w:rsidTr="00954233">
        <w:trPr>
          <w:trHeight w:val="293"/>
        </w:trPr>
        <w:tc>
          <w:tcPr>
            <w:tcW w:w="0" w:type="dxa"/>
          </w:tcPr>
          <w:p w14:paraId="673847EA" w14:textId="6E925932" w:rsidR="00452D32" w:rsidRPr="00F96481" w:rsidRDefault="00452D32" w:rsidP="00F96481">
            <w:pPr>
              <w:pStyle w:val="TableParagraph"/>
              <w:rPr>
                <w:rFonts w:ascii="Calibri" w:hAnsi="Calibri" w:cs="Calibri"/>
                <w:sz w:val="24"/>
                <w:szCs w:val="24"/>
              </w:rPr>
            </w:pPr>
            <w:r w:rsidRPr="00954233">
              <w:rPr>
                <w:sz w:val="24"/>
                <w:szCs w:val="24"/>
              </w:rPr>
              <w:t>1.12</w:t>
            </w:r>
          </w:p>
        </w:tc>
        <w:tc>
          <w:tcPr>
            <w:tcW w:w="0" w:type="dxa"/>
          </w:tcPr>
          <w:p w14:paraId="752BC295" w14:textId="57A293C2" w:rsidR="00452D32" w:rsidRPr="00F96481" w:rsidRDefault="00452D32" w:rsidP="00F96481">
            <w:pPr>
              <w:pStyle w:val="TableParagraph"/>
              <w:rPr>
                <w:rFonts w:ascii="Calibri" w:hAnsi="Calibri" w:cs="Calibri"/>
                <w:color w:val="000000"/>
                <w:sz w:val="24"/>
                <w:szCs w:val="24"/>
              </w:rPr>
            </w:pPr>
            <w:r w:rsidRPr="00F96481">
              <w:rPr>
                <w:rFonts w:ascii="Calibri" w:hAnsi="Calibri" w:cs="Calibri"/>
                <w:color w:val="000000"/>
                <w:sz w:val="24"/>
                <w:szCs w:val="24"/>
              </w:rPr>
              <w:t>Unplanned interruptions</w:t>
            </w:r>
          </w:p>
        </w:tc>
        <w:tc>
          <w:tcPr>
            <w:tcW w:w="2693" w:type="dxa"/>
          </w:tcPr>
          <w:p w14:paraId="2AD4C185" w14:textId="23F54BAE" w:rsidR="00452D32" w:rsidRPr="00F96481" w:rsidRDefault="00452D32" w:rsidP="00F96481">
            <w:pPr>
              <w:pStyle w:val="TableParagraph"/>
              <w:rPr>
                <w:rFonts w:ascii="Calibri" w:hAnsi="Calibri" w:cs="Calibri"/>
                <w:color w:val="000000"/>
                <w:sz w:val="24"/>
                <w:szCs w:val="24"/>
              </w:rPr>
            </w:pPr>
            <w:r w:rsidRPr="00F96481">
              <w:rPr>
                <w:rFonts w:ascii="Calibri" w:hAnsi="Calibri" w:cs="Calibri"/>
                <w:color w:val="000000"/>
                <w:sz w:val="24"/>
                <w:szCs w:val="24"/>
              </w:rPr>
              <w:t>Unplanned interruptions greater than 6 hours, excluding 3rd party</w:t>
            </w:r>
          </w:p>
        </w:tc>
        <w:tc>
          <w:tcPr>
            <w:tcW w:w="1559" w:type="dxa"/>
          </w:tcPr>
          <w:p w14:paraId="3F10DAAA" w14:textId="3677ABF6" w:rsidR="00452D32" w:rsidRPr="00F96481" w:rsidRDefault="00452D32" w:rsidP="00F96481">
            <w:pPr>
              <w:pStyle w:val="TableParagraph"/>
              <w:rPr>
                <w:rFonts w:ascii="Calibri" w:hAnsi="Calibri" w:cs="Calibri"/>
                <w:color w:val="000000"/>
                <w:sz w:val="24"/>
                <w:szCs w:val="24"/>
              </w:rPr>
            </w:pPr>
            <w:r w:rsidRPr="00F96481">
              <w:rPr>
                <w:rFonts w:ascii="Calibri" w:hAnsi="Calibri" w:cs="Calibri"/>
                <w:sz w:val="24"/>
                <w:szCs w:val="24"/>
              </w:rPr>
              <w:t>Number</w:t>
            </w:r>
          </w:p>
        </w:tc>
        <w:tc>
          <w:tcPr>
            <w:tcW w:w="7230" w:type="dxa"/>
          </w:tcPr>
          <w:p w14:paraId="404F2B14" w14:textId="3A3A6F16" w:rsidR="00182A36" w:rsidRDefault="00452D32" w:rsidP="00F96481">
            <w:pPr>
              <w:pStyle w:val="TableParagraph"/>
              <w:rPr>
                <w:rFonts w:ascii="Calibri" w:hAnsi="Calibri" w:cs="Calibri"/>
                <w:sz w:val="24"/>
                <w:szCs w:val="24"/>
              </w:rPr>
            </w:pPr>
            <w:r w:rsidRPr="00F96481">
              <w:rPr>
                <w:rFonts w:ascii="Calibri" w:hAnsi="Calibri" w:cs="Calibri"/>
                <w:sz w:val="24"/>
                <w:szCs w:val="24"/>
              </w:rPr>
              <w:t xml:space="preserve">The </w:t>
            </w:r>
            <w:r w:rsidR="00984EAF">
              <w:rPr>
                <w:rFonts w:ascii="Calibri" w:hAnsi="Calibri" w:cs="Calibri"/>
                <w:sz w:val="24"/>
                <w:szCs w:val="24"/>
              </w:rPr>
              <w:t>weighted</w:t>
            </w:r>
            <w:r w:rsidRPr="00F96481">
              <w:rPr>
                <w:rFonts w:ascii="Calibri" w:hAnsi="Calibri" w:cs="Calibri"/>
                <w:sz w:val="24"/>
                <w:szCs w:val="24"/>
              </w:rPr>
              <w:t xml:space="preserve"> number of properties affected by interruptions of more than six hours' duration to supply which are unplanned or </w:t>
            </w:r>
            <w:r w:rsidR="00300B10">
              <w:rPr>
                <w:rFonts w:ascii="Calibri" w:hAnsi="Calibri" w:cs="Calibri"/>
                <w:sz w:val="24"/>
                <w:szCs w:val="24"/>
              </w:rPr>
              <w:t xml:space="preserve">not </w:t>
            </w:r>
            <w:r w:rsidR="006C0696">
              <w:rPr>
                <w:rFonts w:ascii="Calibri" w:hAnsi="Calibri" w:cs="Calibri"/>
                <w:sz w:val="24"/>
                <w:szCs w:val="24"/>
              </w:rPr>
              <w:t>receiving</w:t>
            </w:r>
            <w:r w:rsidR="00300B10">
              <w:rPr>
                <w:rFonts w:ascii="Calibri" w:hAnsi="Calibri" w:cs="Calibri"/>
                <w:sz w:val="24"/>
                <w:szCs w:val="24"/>
              </w:rPr>
              <w:t xml:space="preserve"> a </w:t>
            </w:r>
            <w:r w:rsidR="00300B10" w:rsidRPr="00F96481">
              <w:rPr>
                <w:rFonts w:ascii="Calibri" w:hAnsi="Calibri" w:cs="Calibri"/>
                <w:sz w:val="24"/>
                <w:szCs w:val="24"/>
              </w:rPr>
              <w:t>warn</w:t>
            </w:r>
            <w:r w:rsidR="00300B10">
              <w:rPr>
                <w:rFonts w:ascii="Calibri" w:hAnsi="Calibri" w:cs="Calibri"/>
                <w:sz w:val="24"/>
                <w:szCs w:val="24"/>
              </w:rPr>
              <w:t>ing</w:t>
            </w:r>
            <w:r w:rsidR="00300B10" w:rsidRPr="00F96481">
              <w:rPr>
                <w:rFonts w:ascii="Calibri" w:hAnsi="Calibri" w:cs="Calibri"/>
                <w:sz w:val="24"/>
                <w:szCs w:val="24"/>
              </w:rPr>
              <w:t xml:space="preserve"> </w:t>
            </w:r>
            <w:r w:rsidRPr="00F96481">
              <w:rPr>
                <w:rFonts w:ascii="Calibri" w:hAnsi="Calibri" w:cs="Calibri"/>
                <w:sz w:val="24"/>
                <w:szCs w:val="24"/>
              </w:rPr>
              <w:t xml:space="preserve">(excluding overruns of planned and warned interruptions) except for those caused directly by third parties. </w:t>
            </w:r>
          </w:p>
          <w:p w14:paraId="4A41AC98" w14:textId="77777777" w:rsidR="00182A36" w:rsidRDefault="00182A36" w:rsidP="00F96481">
            <w:pPr>
              <w:pStyle w:val="TableParagraph"/>
              <w:rPr>
                <w:rFonts w:ascii="Calibri" w:hAnsi="Calibri" w:cs="Calibri"/>
                <w:sz w:val="24"/>
                <w:szCs w:val="24"/>
              </w:rPr>
            </w:pPr>
          </w:p>
          <w:p w14:paraId="49EFC50E" w14:textId="7F74CF77" w:rsidR="00452D32" w:rsidRDefault="00452D32" w:rsidP="00F96481">
            <w:pPr>
              <w:pStyle w:val="TableParagraph"/>
              <w:rPr>
                <w:rFonts w:ascii="Calibri" w:hAnsi="Calibri" w:cs="Calibri"/>
                <w:sz w:val="24"/>
                <w:szCs w:val="24"/>
              </w:rPr>
            </w:pPr>
            <w:r w:rsidRPr="00F96481">
              <w:rPr>
                <w:rFonts w:ascii="Calibri" w:hAnsi="Calibri" w:cs="Calibri"/>
                <w:sz w:val="24"/>
                <w:szCs w:val="24"/>
              </w:rPr>
              <w:t>It includes interruptions for which customers are notified less than 48 hours in advance</w:t>
            </w:r>
            <w:r w:rsidR="00D9281F">
              <w:rPr>
                <w:rFonts w:ascii="Calibri" w:hAnsi="Calibri" w:cs="Calibri"/>
                <w:sz w:val="24"/>
                <w:szCs w:val="24"/>
              </w:rPr>
              <w:t xml:space="preserve"> and </w:t>
            </w:r>
            <w:r w:rsidR="00182A36" w:rsidRPr="00182A36">
              <w:rPr>
                <w:rFonts w:ascii="Calibri" w:hAnsi="Calibri" w:cs="Calibri"/>
                <w:sz w:val="24"/>
                <w:szCs w:val="24"/>
              </w:rPr>
              <w:t>weather-related and health and safety concern incidents</w:t>
            </w:r>
            <w:r w:rsidRPr="00F96481" w:rsidDel="00D9281F">
              <w:rPr>
                <w:rFonts w:ascii="Calibri" w:hAnsi="Calibri" w:cs="Calibri"/>
                <w:sz w:val="24"/>
                <w:szCs w:val="24"/>
              </w:rPr>
              <w:t>.</w:t>
            </w:r>
          </w:p>
          <w:p w14:paraId="3CAB2FF1" w14:textId="77777777" w:rsidR="00182A36" w:rsidRDefault="00182A36" w:rsidP="00F96481">
            <w:pPr>
              <w:pStyle w:val="TableParagraph"/>
              <w:rPr>
                <w:rFonts w:ascii="Calibri" w:hAnsi="Calibri" w:cs="Calibri"/>
                <w:sz w:val="24"/>
                <w:szCs w:val="24"/>
              </w:rPr>
            </w:pPr>
          </w:p>
          <w:p w14:paraId="04A19350" w14:textId="6299D05B" w:rsidR="00452D32" w:rsidRPr="00F96481" w:rsidRDefault="000849D0" w:rsidP="00F96481">
            <w:pPr>
              <w:pStyle w:val="TableParagraph"/>
              <w:rPr>
                <w:rFonts w:ascii="Calibri" w:hAnsi="Calibri" w:cs="Calibri"/>
                <w:sz w:val="24"/>
                <w:szCs w:val="24"/>
              </w:rPr>
            </w:pPr>
            <w:r w:rsidRPr="000849D0">
              <w:rPr>
                <w:rFonts w:ascii="Calibri" w:hAnsi="Calibri" w:cs="Calibri"/>
                <w:sz w:val="24"/>
                <w:szCs w:val="24"/>
              </w:rPr>
              <w:t>The calculation uses the number of properties affected by interruptions lasting between 6 and 12 hours, between 12 and 24 hours, and over 24 hours, with respective weightings of 1, 2 and 4</w:t>
            </w:r>
            <w:r w:rsidR="00452D32" w:rsidRPr="00F96481">
              <w:rPr>
                <w:rFonts w:ascii="Calibri" w:hAnsi="Calibri" w:cs="Calibri"/>
                <w:sz w:val="24"/>
                <w:szCs w:val="24"/>
              </w:rPr>
              <w:t>.</w:t>
            </w:r>
          </w:p>
        </w:tc>
      </w:tr>
      <w:tr w:rsidR="002A3ABC" w:rsidRPr="00845C40" w14:paraId="317EC33E" w14:textId="77777777" w:rsidTr="00954233">
        <w:trPr>
          <w:trHeight w:val="293"/>
        </w:trPr>
        <w:tc>
          <w:tcPr>
            <w:tcW w:w="0" w:type="dxa"/>
          </w:tcPr>
          <w:p w14:paraId="681565DA" w14:textId="3F48159F" w:rsidR="00452D32" w:rsidRPr="00F96481" w:rsidRDefault="00452D32" w:rsidP="00F96481">
            <w:pPr>
              <w:pStyle w:val="TableParagraph"/>
              <w:rPr>
                <w:rFonts w:ascii="Calibri" w:hAnsi="Calibri" w:cs="Calibri"/>
                <w:sz w:val="24"/>
                <w:szCs w:val="24"/>
              </w:rPr>
            </w:pPr>
            <w:r w:rsidRPr="00954233">
              <w:rPr>
                <w:sz w:val="24"/>
                <w:szCs w:val="24"/>
              </w:rPr>
              <w:t>1.13</w:t>
            </w:r>
          </w:p>
        </w:tc>
        <w:tc>
          <w:tcPr>
            <w:tcW w:w="1843" w:type="dxa"/>
          </w:tcPr>
          <w:p w14:paraId="17F14FAA" w14:textId="79D9CBA6" w:rsidR="00452D32" w:rsidRPr="00F96481" w:rsidRDefault="00FF0DF4" w:rsidP="00F96481">
            <w:pPr>
              <w:pStyle w:val="TableParagraph"/>
              <w:rPr>
                <w:rFonts w:ascii="Calibri" w:hAnsi="Calibri" w:cs="Calibri"/>
                <w:color w:val="000000"/>
                <w:sz w:val="24"/>
                <w:szCs w:val="24"/>
              </w:rPr>
            </w:pPr>
            <w:r w:rsidRPr="00FF0DF4">
              <w:rPr>
                <w:rFonts w:ascii="Calibri" w:hAnsi="Calibri" w:cs="Calibri"/>
                <w:color w:val="000000"/>
                <w:sz w:val="24"/>
                <w:szCs w:val="24"/>
              </w:rPr>
              <w:t xml:space="preserve">Planned and unplanned </w:t>
            </w:r>
            <w:r w:rsidR="00452D32" w:rsidRPr="00F96481">
              <w:rPr>
                <w:rFonts w:ascii="Calibri" w:hAnsi="Calibri" w:cs="Calibri"/>
                <w:color w:val="000000"/>
                <w:sz w:val="24"/>
                <w:szCs w:val="24"/>
              </w:rPr>
              <w:t>interruptions</w:t>
            </w:r>
          </w:p>
        </w:tc>
        <w:tc>
          <w:tcPr>
            <w:tcW w:w="0" w:type="dxa"/>
          </w:tcPr>
          <w:p w14:paraId="1F89DCB7" w14:textId="2EA9F3DB" w:rsidR="00452D32" w:rsidRPr="00F96481" w:rsidRDefault="00452D32" w:rsidP="00F96481">
            <w:pPr>
              <w:pStyle w:val="TableParagraph"/>
              <w:rPr>
                <w:rFonts w:ascii="Calibri" w:hAnsi="Calibri" w:cs="Calibri"/>
                <w:color w:val="000000"/>
                <w:sz w:val="24"/>
                <w:szCs w:val="24"/>
              </w:rPr>
            </w:pPr>
            <w:r w:rsidRPr="00F96481">
              <w:rPr>
                <w:rFonts w:ascii="Calibri" w:hAnsi="Calibri" w:cs="Calibri"/>
                <w:sz w:val="24"/>
                <w:szCs w:val="24"/>
              </w:rPr>
              <w:t xml:space="preserve">Average minutes lost due to water supply interruptions (over 3 </w:t>
            </w:r>
            <w:r w:rsidRPr="00F96481">
              <w:rPr>
                <w:rFonts w:ascii="Calibri" w:hAnsi="Calibri" w:cs="Calibri"/>
                <w:sz w:val="24"/>
                <w:szCs w:val="24"/>
              </w:rPr>
              <w:lastRenderedPageBreak/>
              <w:t>hours)*</w:t>
            </w:r>
          </w:p>
        </w:tc>
        <w:tc>
          <w:tcPr>
            <w:tcW w:w="1559" w:type="dxa"/>
          </w:tcPr>
          <w:p w14:paraId="06E5158D" w14:textId="16C4DABC" w:rsidR="00452D32" w:rsidRPr="00F96481" w:rsidRDefault="00452D32" w:rsidP="00F96481">
            <w:pPr>
              <w:pStyle w:val="TableParagraph"/>
              <w:rPr>
                <w:rFonts w:ascii="Calibri" w:hAnsi="Calibri" w:cs="Calibri"/>
                <w:color w:val="000000"/>
                <w:sz w:val="24"/>
                <w:szCs w:val="24"/>
              </w:rPr>
            </w:pPr>
            <w:r w:rsidRPr="00F96481">
              <w:rPr>
                <w:rFonts w:ascii="Calibri" w:hAnsi="Calibri" w:cs="Calibri"/>
                <w:sz w:val="24"/>
                <w:szCs w:val="24"/>
              </w:rPr>
              <w:lastRenderedPageBreak/>
              <w:t>Min</w:t>
            </w:r>
            <w:r w:rsidR="00950BB6">
              <w:rPr>
                <w:rFonts w:ascii="Calibri" w:hAnsi="Calibri" w:cs="Calibri"/>
                <w:sz w:val="24"/>
                <w:szCs w:val="24"/>
              </w:rPr>
              <w:t>utes</w:t>
            </w:r>
          </w:p>
        </w:tc>
        <w:tc>
          <w:tcPr>
            <w:tcW w:w="7230" w:type="dxa"/>
          </w:tcPr>
          <w:p w14:paraId="28B89E13" w14:textId="3366AB59" w:rsidR="00452D32" w:rsidRPr="00F96481" w:rsidRDefault="00BB00A5" w:rsidP="00F96481">
            <w:pPr>
              <w:pStyle w:val="TableParagraph"/>
              <w:rPr>
                <w:rFonts w:ascii="Calibri" w:hAnsi="Calibri" w:cs="Calibri"/>
                <w:sz w:val="24"/>
                <w:szCs w:val="24"/>
              </w:rPr>
            </w:pPr>
            <w:r>
              <w:rPr>
                <w:rFonts w:ascii="Calibri" w:hAnsi="Calibri" w:cs="Calibri"/>
                <w:sz w:val="24"/>
                <w:szCs w:val="24"/>
              </w:rPr>
              <w:t>T</w:t>
            </w:r>
            <w:r w:rsidR="00452D32" w:rsidRPr="00F96481">
              <w:rPr>
                <w:rFonts w:ascii="Calibri" w:hAnsi="Calibri" w:cs="Calibri"/>
                <w:sz w:val="24"/>
                <w:szCs w:val="24"/>
              </w:rPr>
              <w:t>he average number of minutes lost per customer for the whole customer base for interruptions that lasted three hours or more. Performance should be calculated using the following equation:</w:t>
            </w:r>
          </w:p>
          <w:p w14:paraId="21E56DC6" w14:textId="7A4B452D" w:rsidR="00452D32" w:rsidRDefault="00452D32" w:rsidP="00F96481">
            <w:pPr>
              <w:pStyle w:val="TableParagraph"/>
              <w:rPr>
                <w:rFonts w:cstheme="minorHAnsi"/>
                <w:sz w:val="24"/>
                <w:szCs w:val="24"/>
              </w:rPr>
            </w:pPr>
            <w:r w:rsidRPr="00F96481">
              <w:rPr>
                <w:rFonts w:cstheme="minorHAnsi"/>
                <w:sz w:val="24"/>
                <w:szCs w:val="24"/>
              </w:rPr>
              <w:lastRenderedPageBreak/>
              <w:t>((</w:t>
            </w:r>
            <w:r w:rsidRPr="00F96481">
              <w:rPr>
                <w:rFonts w:ascii="Cambria Math" w:hAnsi="Cambria Math" w:cs="Cambria Math"/>
                <w:sz w:val="24"/>
                <w:szCs w:val="24"/>
              </w:rPr>
              <w:t>𝑃𝑟𝑜𝑝𝑒𝑟𝑡𝑖𝑒𝑠</w:t>
            </w:r>
            <w:r w:rsidRPr="00F96481">
              <w:rPr>
                <w:rFonts w:cstheme="minorHAnsi"/>
                <w:sz w:val="24"/>
                <w:szCs w:val="24"/>
              </w:rPr>
              <w:t xml:space="preserve"> </w:t>
            </w:r>
            <w:r w:rsidRPr="00F96481">
              <w:rPr>
                <w:rFonts w:ascii="Cambria Math" w:hAnsi="Cambria Math" w:cs="Cambria Math"/>
                <w:sz w:val="24"/>
                <w:szCs w:val="24"/>
              </w:rPr>
              <w:t>𝑤𝑖𝑡ℎ</w:t>
            </w:r>
            <w:r w:rsidRPr="00F96481">
              <w:rPr>
                <w:rFonts w:cstheme="minorHAnsi"/>
                <w:sz w:val="24"/>
                <w:szCs w:val="24"/>
              </w:rPr>
              <w:t xml:space="preserve"> </w:t>
            </w:r>
            <w:r w:rsidRPr="00F96481">
              <w:rPr>
                <w:rFonts w:ascii="Cambria Math" w:hAnsi="Cambria Math" w:cs="Cambria Math"/>
                <w:sz w:val="24"/>
                <w:szCs w:val="24"/>
              </w:rPr>
              <w:t>𝑖𝑛𝑡𝑒𝑟𝑟𝑢𝑝𝑡𝑒𝑑</w:t>
            </w:r>
            <w:r w:rsidRPr="00F96481">
              <w:rPr>
                <w:rFonts w:cstheme="minorHAnsi"/>
                <w:sz w:val="24"/>
                <w:szCs w:val="24"/>
              </w:rPr>
              <w:t xml:space="preserve"> </w:t>
            </w:r>
            <w:r w:rsidRPr="00F96481">
              <w:rPr>
                <w:rFonts w:ascii="Cambria Math" w:hAnsi="Cambria Math" w:cs="Cambria Math"/>
                <w:sz w:val="24"/>
                <w:szCs w:val="24"/>
              </w:rPr>
              <w:t>𝑠𝑢𝑝𝑝𝑙𝑦</w:t>
            </w:r>
            <w:r w:rsidRPr="00F96481">
              <w:rPr>
                <w:rFonts w:cstheme="minorHAnsi" w:hint="eastAsia"/>
                <w:sz w:val="24"/>
                <w:szCs w:val="24"/>
              </w:rPr>
              <w:t xml:space="preserve"> </w:t>
            </w:r>
            <w:r w:rsidRPr="00F96481">
              <w:rPr>
                <w:rFonts w:cstheme="minorHAnsi" w:hint="eastAsia"/>
                <w:sz w:val="24"/>
                <w:szCs w:val="24"/>
              </w:rPr>
              <w:t>≥</w:t>
            </w:r>
            <w:r w:rsidRPr="00F96481">
              <w:rPr>
                <w:rFonts w:cstheme="minorHAnsi" w:hint="eastAsia"/>
                <w:sz w:val="24"/>
                <w:szCs w:val="24"/>
              </w:rPr>
              <w:t xml:space="preserve"> 180 </w:t>
            </w:r>
            <w:r w:rsidRPr="00F96481">
              <w:rPr>
                <w:rFonts w:ascii="Cambria Math" w:hAnsi="Cambria Math" w:cs="Cambria Math"/>
                <w:sz w:val="24"/>
                <w:szCs w:val="24"/>
              </w:rPr>
              <w:t>𝑚𝑖𝑛𝑠</w:t>
            </w:r>
            <w:r w:rsidRPr="00F96481">
              <w:rPr>
                <w:rFonts w:cstheme="minorHAnsi"/>
                <w:sz w:val="24"/>
                <w:szCs w:val="24"/>
              </w:rPr>
              <w:t xml:space="preserve">) × </w:t>
            </w:r>
            <w:r w:rsidRPr="00F96481">
              <w:rPr>
                <w:rFonts w:ascii="Cambria Math" w:hAnsi="Cambria Math" w:cs="Cambria Math"/>
                <w:sz w:val="24"/>
                <w:szCs w:val="24"/>
              </w:rPr>
              <w:t>𝐹𝑢𝑙𝑙</w:t>
            </w:r>
            <w:r w:rsidRPr="00F96481">
              <w:rPr>
                <w:rFonts w:cstheme="minorHAnsi"/>
                <w:sz w:val="24"/>
                <w:szCs w:val="24"/>
              </w:rPr>
              <w:t xml:space="preserve"> </w:t>
            </w:r>
            <w:r w:rsidRPr="00F96481">
              <w:rPr>
                <w:rFonts w:ascii="Cambria Math" w:hAnsi="Cambria Math" w:cs="Cambria Math"/>
                <w:sz w:val="24"/>
                <w:szCs w:val="24"/>
              </w:rPr>
              <w:t>𝑑𝑢𝑟𝑎𝑡𝑖𝑜𝑛</w:t>
            </w:r>
            <w:r w:rsidRPr="00F96481">
              <w:rPr>
                <w:rFonts w:cstheme="minorHAnsi"/>
                <w:sz w:val="24"/>
                <w:szCs w:val="24"/>
              </w:rPr>
              <w:t xml:space="preserve"> </w:t>
            </w:r>
            <w:r w:rsidRPr="00F96481">
              <w:rPr>
                <w:rFonts w:ascii="Cambria Math" w:hAnsi="Cambria Math" w:cs="Cambria Math"/>
                <w:sz w:val="24"/>
                <w:szCs w:val="24"/>
              </w:rPr>
              <w:t>𝑜𝑓</w:t>
            </w:r>
            <w:r w:rsidRPr="00F96481">
              <w:rPr>
                <w:rFonts w:cstheme="minorHAnsi"/>
                <w:sz w:val="24"/>
                <w:szCs w:val="24"/>
              </w:rPr>
              <w:t xml:space="preserve"> </w:t>
            </w:r>
            <w:r w:rsidRPr="00F96481">
              <w:rPr>
                <w:rFonts w:ascii="Cambria Math" w:hAnsi="Cambria Math" w:cs="Cambria Math"/>
                <w:sz w:val="24"/>
                <w:szCs w:val="24"/>
              </w:rPr>
              <w:t>𝑖𝑛𝑡𝑒𝑟𝑟𝑢𝑝𝑡𝑖𝑜𝑛</w:t>
            </w:r>
            <w:r w:rsidRPr="00F96481">
              <w:rPr>
                <w:rFonts w:cstheme="minorHAnsi"/>
                <w:sz w:val="24"/>
                <w:szCs w:val="24"/>
              </w:rPr>
              <w:t xml:space="preserve">) </w:t>
            </w:r>
            <w:r w:rsidR="005F11AB">
              <w:rPr>
                <w:rFonts w:cstheme="minorHAnsi"/>
                <w:sz w:val="24"/>
                <w:szCs w:val="24"/>
              </w:rPr>
              <w:t>/</w:t>
            </w:r>
            <w:r w:rsidRPr="00F96481">
              <w:rPr>
                <w:rFonts w:cstheme="minorHAnsi"/>
                <w:sz w:val="24"/>
                <w:szCs w:val="24"/>
              </w:rPr>
              <w:t xml:space="preserve"> </w:t>
            </w:r>
            <w:r w:rsidRPr="00F96481">
              <w:rPr>
                <w:rFonts w:ascii="Cambria Math" w:hAnsi="Cambria Math" w:cs="Cambria Math"/>
                <w:sz w:val="24"/>
                <w:szCs w:val="24"/>
              </w:rPr>
              <w:t>𝑇𝑜𝑡𝑎𝑙</w:t>
            </w:r>
            <w:r w:rsidRPr="00F96481">
              <w:rPr>
                <w:rFonts w:cstheme="minorHAnsi"/>
                <w:sz w:val="24"/>
                <w:szCs w:val="24"/>
              </w:rPr>
              <w:t xml:space="preserve"> </w:t>
            </w:r>
            <w:r w:rsidRPr="00F96481">
              <w:rPr>
                <w:rFonts w:ascii="Cambria Math" w:hAnsi="Cambria Math" w:cs="Cambria Math"/>
                <w:sz w:val="24"/>
                <w:szCs w:val="24"/>
              </w:rPr>
              <w:t>𝑛𝑢𝑚𝑏𝑒𝑟</w:t>
            </w:r>
            <w:r w:rsidRPr="00F96481">
              <w:rPr>
                <w:rFonts w:cstheme="minorHAnsi"/>
                <w:sz w:val="24"/>
                <w:szCs w:val="24"/>
              </w:rPr>
              <w:t xml:space="preserve"> </w:t>
            </w:r>
            <w:r w:rsidRPr="00F96481">
              <w:rPr>
                <w:rFonts w:ascii="Cambria Math" w:hAnsi="Cambria Math" w:cs="Cambria Math"/>
                <w:sz w:val="24"/>
                <w:szCs w:val="24"/>
              </w:rPr>
              <w:t>𝑜𝑓</w:t>
            </w:r>
            <w:r w:rsidRPr="00F96481">
              <w:rPr>
                <w:rFonts w:cstheme="minorHAnsi"/>
                <w:sz w:val="24"/>
                <w:szCs w:val="24"/>
              </w:rPr>
              <w:t xml:space="preserve"> </w:t>
            </w:r>
            <w:r w:rsidRPr="00F96481">
              <w:rPr>
                <w:rFonts w:ascii="Cambria Math" w:hAnsi="Cambria Math" w:cs="Cambria Math"/>
                <w:sz w:val="24"/>
                <w:szCs w:val="24"/>
              </w:rPr>
              <w:t>𝑝𝑟𝑜𝑝𝑒𝑟𝑡𝑖𝑒𝑠</w:t>
            </w:r>
            <w:r w:rsidRPr="00F96481">
              <w:rPr>
                <w:rFonts w:cstheme="minorHAnsi"/>
                <w:sz w:val="24"/>
                <w:szCs w:val="24"/>
              </w:rPr>
              <w:t xml:space="preserve"> </w:t>
            </w:r>
            <w:r w:rsidRPr="00F96481">
              <w:rPr>
                <w:rFonts w:ascii="Cambria Math" w:hAnsi="Cambria Math" w:cs="Cambria Math"/>
                <w:sz w:val="24"/>
                <w:szCs w:val="24"/>
              </w:rPr>
              <w:t>𝑠𝑢𝑝𝑝𝑙𝑖𝑒𝑑</w:t>
            </w:r>
            <w:r w:rsidRPr="00F96481">
              <w:rPr>
                <w:rFonts w:cstheme="minorHAnsi"/>
                <w:sz w:val="24"/>
                <w:szCs w:val="24"/>
              </w:rPr>
              <w:t xml:space="preserve"> (</w:t>
            </w:r>
            <w:r w:rsidRPr="00F96481">
              <w:rPr>
                <w:rFonts w:ascii="Cambria Math" w:hAnsi="Cambria Math" w:cs="Cambria Math"/>
                <w:sz w:val="24"/>
                <w:szCs w:val="24"/>
              </w:rPr>
              <w:t>𝑦𝑒𝑎𝑟</w:t>
            </w:r>
            <w:r w:rsidRPr="00F96481">
              <w:rPr>
                <w:rFonts w:cstheme="minorHAnsi"/>
                <w:sz w:val="24"/>
                <w:szCs w:val="24"/>
              </w:rPr>
              <w:t xml:space="preserve"> </w:t>
            </w:r>
            <w:r w:rsidRPr="00F96481">
              <w:rPr>
                <w:rFonts w:ascii="Cambria Math" w:hAnsi="Cambria Math" w:cs="Cambria Math"/>
                <w:sz w:val="24"/>
                <w:szCs w:val="24"/>
              </w:rPr>
              <w:t>𝑒𝑛𝑑</w:t>
            </w:r>
            <w:r w:rsidRPr="00F96481">
              <w:rPr>
                <w:rFonts w:cstheme="minorHAnsi"/>
                <w:sz w:val="24"/>
                <w:szCs w:val="24"/>
              </w:rPr>
              <w:t>) = average number of minutes lost per customer.</w:t>
            </w:r>
          </w:p>
          <w:p w14:paraId="487AC848" w14:textId="77777777" w:rsidR="00BB00A5" w:rsidRDefault="00BB00A5" w:rsidP="00F96481">
            <w:pPr>
              <w:pStyle w:val="TableParagraph"/>
              <w:rPr>
                <w:rFonts w:cstheme="minorHAnsi"/>
                <w:sz w:val="24"/>
                <w:szCs w:val="24"/>
              </w:rPr>
            </w:pPr>
          </w:p>
          <w:p w14:paraId="1D787720" w14:textId="1AEDADE0" w:rsidR="00452D32" w:rsidRPr="00F96481" w:rsidRDefault="002D7EC5" w:rsidP="00F96481">
            <w:pPr>
              <w:pStyle w:val="TableParagraph"/>
              <w:rPr>
                <w:rFonts w:ascii="Calibri" w:hAnsi="Calibri" w:cs="Calibri"/>
                <w:sz w:val="24"/>
                <w:szCs w:val="24"/>
              </w:rPr>
            </w:pPr>
            <w:r>
              <w:rPr>
                <w:rFonts w:ascii="Calibri" w:hAnsi="Calibri" w:cs="Calibri"/>
                <w:sz w:val="24"/>
                <w:szCs w:val="24"/>
              </w:rPr>
              <w:t>T</w:t>
            </w:r>
            <w:r w:rsidRPr="002D7EC5">
              <w:rPr>
                <w:rFonts w:ascii="Calibri" w:hAnsi="Calibri" w:cs="Calibri"/>
                <w:sz w:val="24"/>
                <w:szCs w:val="24"/>
              </w:rPr>
              <w:t xml:space="preserve">his includes planned and unplanned </w:t>
            </w:r>
            <w:r w:rsidR="00C87C71">
              <w:rPr>
                <w:rFonts w:ascii="Calibri" w:hAnsi="Calibri" w:cs="Calibri"/>
                <w:sz w:val="24"/>
                <w:szCs w:val="24"/>
              </w:rPr>
              <w:t>interruptions to supply</w:t>
            </w:r>
            <w:r w:rsidRPr="002D7EC5">
              <w:rPr>
                <w:rFonts w:ascii="Calibri" w:hAnsi="Calibri" w:cs="Calibri"/>
                <w:sz w:val="24"/>
                <w:szCs w:val="24"/>
              </w:rPr>
              <w:t xml:space="preserve">, and third party </w:t>
            </w:r>
            <w:r w:rsidR="00C87C71">
              <w:rPr>
                <w:rFonts w:ascii="Calibri" w:hAnsi="Calibri" w:cs="Calibri"/>
                <w:sz w:val="24"/>
                <w:szCs w:val="24"/>
              </w:rPr>
              <w:t>interruptions to supply</w:t>
            </w:r>
            <w:r w:rsidRPr="002D7EC5">
              <w:rPr>
                <w:rFonts w:ascii="Calibri" w:hAnsi="Calibri" w:cs="Calibri"/>
                <w:sz w:val="24"/>
                <w:szCs w:val="24"/>
              </w:rPr>
              <w:t>.</w:t>
            </w:r>
          </w:p>
        </w:tc>
      </w:tr>
      <w:tr w:rsidR="002A3ABC" w:rsidRPr="00845C40" w14:paraId="717205A8" w14:textId="77777777" w:rsidTr="00954233">
        <w:trPr>
          <w:trHeight w:val="293"/>
        </w:trPr>
        <w:tc>
          <w:tcPr>
            <w:tcW w:w="0" w:type="dxa"/>
          </w:tcPr>
          <w:p w14:paraId="0A5146CB" w14:textId="7A457DCD" w:rsidR="007C0A32" w:rsidRPr="00F96481" w:rsidDel="00492192" w:rsidRDefault="007C0A32" w:rsidP="00F96481">
            <w:pPr>
              <w:pStyle w:val="TableParagraph"/>
              <w:rPr>
                <w:rFonts w:ascii="Calibri" w:hAnsi="Calibri" w:cs="Calibri"/>
                <w:sz w:val="24"/>
                <w:szCs w:val="24"/>
              </w:rPr>
            </w:pPr>
            <w:r w:rsidRPr="00954233">
              <w:rPr>
                <w:sz w:val="24"/>
                <w:szCs w:val="24"/>
              </w:rPr>
              <w:lastRenderedPageBreak/>
              <w:t>1.14</w:t>
            </w:r>
          </w:p>
        </w:tc>
        <w:tc>
          <w:tcPr>
            <w:tcW w:w="0" w:type="dxa"/>
          </w:tcPr>
          <w:p w14:paraId="6B159EAE" w14:textId="56F80D71" w:rsidR="007C0A32" w:rsidRPr="00F96481" w:rsidRDefault="007C0A32" w:rsidP="00F96481">
            <w:pPr>
              <w:pStyle w:val="TableParagraph"/>
              <w:rPr>
                <w:rFonts w:ascii="Calibri" w:hAnsi="Calibri" w:cs="Calibri"/>
                <w:color w:val="000000"/>
                <w:sz w:val="24"/>
                <w:szCs w:val="24"/>
              </w:rPr>
            </w:pPr>
            <w:r w:rsidRPr="00954233">
              <w:rPr>
                <w:sz w:val="24"/>
                <w:szCs w:val="24"/>
              </w:rPr>
              <w:t xml:space="preserve">Unplanned interruptions </w:t>
            </w:r>
          </w:p>
        </w:tc>
        <w:tc>
          <w:tcPr>
            <w:tcW w:w="0" w:type="dxa"/>
          </w:tcPr>
          <w:p w14:paraId="3775573F" w14:textId="05289E84" w:rsidR="007C0A32" w:rsidRPr="00F96481" w:rsidRDefault="007C0A32" w:rsidP="00F96481">
            <w:pPr>
              <w:pStyle w:val="TableParagraph"/>
              <w:rPr>
                <w:rFonts w:ascii="Calibri" w:hAnsi="Calibri" w:cs="Calibri"/>
                <w:color w:val="000000"/>
                <w:sz w:val="24"/>
                <w:szCs w:val="24"/>
              </w:rPr>
            </w:pPr>
            <w:r w:rsidRPr="00954233">
              <w:rPr>
                <w:sz w:val="24"/>
                <w:szCs w:val="24"/>
              </w:rPr>
              <w:t>Repeat interruptions to water supply</w:t>
            </w:r>
          </w:p>
        </w:tc>
        <w:tc>
          <w:tcPr>
            <w:tcW w:w="1559" w:type="dxa"/>
          </w:tcPr>
          <w:p w14:paraId="2BA0E43B" w14:textId="0255E81A" w:rsidR="007C0A32" w:rsidRPr="00F96481" w:rsidRDefault="007C0A32" w:rsidP="00F96481">
            <w:pPr>
              <w:pStyle w:val="TableParagraph"/>
              <w:rPr>
                <w:rFonts w:ascii="Calibri" w:hAnsi="Calibri" w:cs="Calibri"/>
                <w:color w:val="000000"/>
                <w:sz w:val="24"/>
                <w:szCs w:val="24"/>
              </w:rPr>
            </w:pPr>
            <w:r w:rsidRPr="00954233">
              <w:rPr>
                <w:sz w:val="24"/>
                <w:szCs w:val="24"/>
              </w:rPr>
              <w:t>Number</w:t>
            </w:r>
          </w:p>
        </w:tc>
        <w:tc>
          <w:tcPr>
            <w:tcW w:w="7230" w:type="dxa"/>
          </w:tcPr>
          <w:p w14:paraId="566064D4" w14:textId="6A85AD95" w:rsidR="007C0A32" w:rsidRPr="00F96481" w:rsidRDefault="008F5532" w:rsidP="00F96481">
            <w:pPr>
              <w:pStyle w:val="TableParagraph"/>
              <w:rPr>
                <w:rFonts w:ascii="Calibri" w:hAnsi="Calibri" w:cs="Calibri"/>
                <w:sz w:val="24"/>
                <w:szCs w:val="24"/>
              </w:rPr>
            </w:pPr>
            <w:r w:rsidRPr="005459C1">
              <w:rPr>
                <w:sz w:val="24"/>
                <w:szCs w:val="24"/>
              </w:rPr>
              <w:t>[</w:t>
            </w:r>
            <w:r>
              <w:rPr>
                <w:sz w:val="24"/>
                <w:szCs w:val="24"/>
              </w:rPr>
              <w:t>M</w:t>
            </w:r>
            <w:r w:rsidRPr="005459C1">
              <w:rPr>
                <w:sz w:val="24"/>
                <w:szCs w:val="24"/>
              </w:rPr>
              <w:t xml:space="preserve">easure to be </w:t>
            </w:r>
            <w:r w:rsidR="00962543">
              <w:rPr>
                <w:sz w:val="24"/>
                <w:szCs w:val="24"/>
              </w:rPr>
              <w:t>defined</w:t>
            </w:r>
            <w:r w:rsidR="0011340E">
              <w:rPr>
                <w:sz w:val="24"/>
                <w:szCs w:val="24"/>
              </w:rPr>
              <w:t xml:space="preserve">, may include </w:t>
            </w:r>
            <w:r w:rsidR="0011340E" w:rsidRPr="0011340E">
              <w:rPr>
                <w:sz w:val="24"/>
                <w:szCs w:val="24"/>
              </w:rPr>
              <w:t>measuring the number of postcodes with [6] or more contacts</w:t>
            </w:r>
            <w:r w:rsidR="00944DE2">
              <w:rPr>
                <w:sz w:val="24"/>
                <w:szCs w:val="24"/>
              </w:rPr>
              <w:t xml:space="preserve"> relating to an unplanned interruption</w:t>
            </w:r>
            <w:r w:rsidR="0011340E" w:rsidRPr="0011340E">
              <w:rPr>
                <w:sz w:val="24"/>
                <w:szCs w:val="24"/>
              </w:rPr>
              <w:t xml:space="preserve"> in 1 year and/or [10] more contacts</w:t>
            </w:r>
            <w:r w:rsidR="00944DE2">
              <w:rPr>
                <w:sz w:val="24"/>
                <w:szCs w:val="24"/>
              </w:rPr>
              <w:t xml:space="preserve"> relating to an unplanned interruption</w:t>
            </w:r>
            <w:r w:rsidR="0011340E" w:rsidRPr="0011340E">
              <w:rPr>
                <w:sz w:val="24"/>
                <w:szCs w:val="24"/>
              </w:rPr>
              <w:t xml:space="preserve"> in 3 years.</w:t>
            </w:r>
            <w:r w:rsidR="0011340E">
              <w:rPr>
                <w:sz w:val="24"/>
                <w:szCs w:val="24"/>
              </w:rPr>
              <w:t>]</w:t>
            </w:r>
          </w:p>
        </w:tc>
      </w:tr>
      <w:tr w:rsidR="002A3ABC" w:rsidRPr="00845C40" w14:paraId="6FB506C2" w14:textId="77777777" w:rsidTr="00954233">
        <w:trPr>
          <w:trHeight w:val="293"/>
        </w:trPr>
        <w:tc>
          <w:tcPr>
            <w:tcW w:w="0" w:type="dxa"/>
          </w:tcPr>
          <w:p w14:paraId="13A1413D" w14:textId="04C83B8B" w:rsidR="00540361" w:rsidRPr="00F96481" w:rsidRDefault="00540361" w:rsidP="00954233">
            <w:pPr>
              <w:spacing w:line="240" w:lineRule="auto"/>
              <w:jc w:val="left"/>
              <w:rPr>
                <w:rFonts w:ascii="Calibri" w:hAnsi="Calibri" w:cs="Calibri"/>
                <w:szCs w:val="24"/>
              </w:rPr>
            </w:pPr>
            <w:r w:rsidRPr="00F96481">
              <w:rPr>
                <w:rFonts w:ascii="Calibri" w:hAnsi="Calibri" w:cs="Calibri"/>
                <w:szCs w:val="24"/>
              </w:rPr>
              <w:t>1.15</w:t>
            </w:r>
          </w:p>
        </w:tc>
        <w:tc>
          <w:tcPr>
            <w:tcW w:w="1843" w:type="dxa"/>
          </w:tcPr>
          <w:p w14:paraId="2C507C5B" w14:textId="1CCF3F00" w:rsidR="00540361" w:rsidRPr="00F96481" w:rsidRDefault="00540361" w:rsidP="00F96481">
            <w:pPr>
              <w:pStyle w:val="TableParagraph"/>
              <w:rPr>
                <w:rFonts w:ascii="Calibri" w:hAnsi="Calibri" w:cs="Calibri"/>
                <w:color w:val="000000"/>
                <w:sz w:val="24"/>
                <w:szCs w:val="24"/>
              </w:rPr>
            </w:pPr>
            <w:r w:rsidRPr="00F96481">
              <w:rPr>
                <w:rFonts w:ascii="Calibri" w:hAnsi="Calibri" w:cs="Calibri"/>
                <w:color w:val="000000"/>
                <w:sz w:val="24"/>
                <w:szCs w:val="24"/>
              </w:rPr>
              <w:t>Water availability</w:t>
            </w:r>
          </w:p>
        </w:tc>
        <w:tc>
          <w:tcPr>
            <w:tcW w:w="0" w:type="dxa"/>
          </w:tcPr>
          <w:p w14:paraId="26BF7591" w14:textId="57196905" w:rsidR="00540361" w:rsidRPr="00F96481" w:rsidRDefault="00540361" w:rsidP="00F96481">
            <w:pPr>
              <w:pStyle w:val="TableParagraph"/>
              <w:rPr>
                <w:rFonts w:ascii="Calibri" w:hAnsi="Calibri" w:cs="Calibri"/>
                <w:color w:val="000000"/>
                <w:sz w:val="24"/>
                <w:szCs w:val="24"/>
              </w:rPr>
            </w:pPr>
            <w:r w:rsidRPr="00954233">
              <w:rPr>
                <w:sz w:val="24"/>
                <w:szCs w:val="24"/>
              </w:rPr>
              <w:t>Customers supplied by systems not capable of meeting demand during a worst historic drought</w:t>
            </w:r>
          </w:p>
        </w:tc>
        <w:tc>
          <w:tcPr>
            <w:tcW w:w="1559" w:type="dxa"/>
          </w:tcPr>
          <w:p w14:paraId="1A0E1298" w14:textId="04DEDBF5" w:rsidR="00540361" w:rsidRPr="00F96481" w:rsidRDefault="00540361" w:rsidP="00F96481">
            <w:pPr>
              <w:pStyle w:val="TableParagraph"/>
              <w:rPr>
                <w:rFonts w:ascii="Calibri" w:hAnsi="Calibri" w:cs="Calibri"/>
                <w:color w:val="000000"/>
                <w:sz w:val="24"/>
                <w:szCs w:val="24"/>
              </w:rPr>
            </w:pPr>
            <w:r w:rsidRPr="00954233">
              <w:rPr>
                <w:sz w:val="24"/>
                <w:szCs w:val="24"/>
              </w:rPr>
              <w:t>Number</w:t>
            </w:r>
          </w:p>
        </w:tc>
        <w:tc>
          <w:tcPr>
            <w:tcW w:w="7230" w:type="dxa"/>
          </w:tcPr>
          <w:p w14:paraId="28EC1FAC" w14:textId="45BB1FDA" w:rsidR="00540361" w:rsidRPr="00F96481" w:rsidRDefault="00962543" w:rsidP="00F96481">
            <w:pPr>
              <w:pStyle w:val="TableParagraph"/>
              <w:rPr>
                <w:rFonts w:ascii="Calibri" w:hAnsi="Calibri" w:cs="Calibri"/>
                <w:sz w:val="24"/>
                <w:szCs w:val="24"/>
              </w:rPr>
            </w:pPr>
            <w:r w:rsidRPr="005459C1">
              <w:rPr>
                <w:sz w:val="24"/>
                <w:szCs w:val="24"/>
              </w:rPr>
              <w:t>[</w:t>
            </w:r>
            <w:r>
              <w:rPr>
                <w:sz w:val="24"/>
                <w:szCs w:val="24"/>
              </w:rPr>
              <w:t>M</w:t>
            </w:r>
            <w:r w:rsidRPr="005459C1">
              <w:rPr>
                <w:sz w:val="24"/>
                <w:szCs w:val="24"/>
              </w:rPr>
              <w:t xml:space="preserve">easure to be </w:t>
            </w:r>
            <w:r>
              <w:rPr>
                <w:sz w:val="24"/>
                <w:szCs w:val="24"/>
              </w:rPr>
              <w:t>defined</w:t>
            </w:r>
            <w:r w:rsidR="00262D53">
              <w:rPr>
                <w:sz w:val="24"/>
                <w:szCs w:val="24"/>
              </w:rPr>
              <w:t xml:space="preserve">, may be </w:t>
            </w:r>
            <w:r w:rsidR="00262D53" w:rsidRPr="00262D53">
              <w:rPr>
                <w:rFonts w:ascii="Calibri" w:hAnsi="Calibri" w:cs="Calibri"/>
                <w:sz w:val="24"/>
                <w:szCs w:val="24"/>
              </w:rPr>
              <w:t xml:space="preserve">based on critical period </w:t>
            </w:r>
            <w:r w:rsidR="00C87C71">
              <w:rPr>
                <w:rFonts w:ascii="Calibri" w:hAnsi="Calibri" w:cs="Calibri"/>
                <w:sz w:val="24"/>
                <w:szCs w:val="24"/>
              </w:rPr>
              <w:t>supply demand balance</w:t>
            </w:r>
            <w:r w:rsidR="00262D53" w:rsidRPr="00262D53">
              <w:rPr>
                <w:rFonts w:ascii="Calibri" w:hAnsi="Calibri" w:cs="Calibri"/>
                <w:sz w:val="24"/>
                <w:szCs w:val="24"/>
              </w:rPr>
              <w:t xml:space="preserve"> assessment against the water resource yield of 1:150 adjusted for </w:t>
            </w:r>
            <w:r w:rsidR="00AD35E7">
              <w:rPr>
                <w:rFonts w:ascii="Calibri" w:hAnsi="Calibri" w:cs="Calibri"/>
                <w:sz w:val="24"/>
                <w:szCs w:val="24"/>
              </w:rPr>
              <w:t>the forecast effects of</w:t>
            </w:r>
            <w:r w:rsidR="00262D53" w:rsidRPr="00262D53">
              <w:rPr>
                <w:rFonts w:ascii="Calibri" w:hAnsi="Calibri" w:cs="Calibri"/>
                <w:sz w:val="24"/>
                <w:szCs w:val="24"/>
              </w:rPr>
              <w:t xml:space="preserve"> climate change</w:t>
            </w:r>
            <w:r w:rsidR="00540361" w:rsidRPr="00F96481" w:rsidDel="00540361">
              <w:rPr>
                <w:rFonts w:ascii="Calibri" w:hAnsi="Calibri" w:cs="Calibri"/>
                <w:sz w:val="24"/>
                <w:szCs w:val="24"/>
              </w:rPr>
              <w:t>.]</w:t>
            </w:r>
          </w:p>
        </w:tc>
      </w:tr>
      <w:tr w:rsidR="002A3ABC" w:rsidRPr="00845C40" w14:paraId="3F9AA649" w14:textId="77777777" w:rsidTr="00954233">
        <w:trPr>
          <w:trHeight w:val="293"/>
        </w:trPr>
        <w:tc>
          <w:tcPr>
            <w:tcW w:w="0" w:type="dxa"/>
          </w:tcPr>
          <w:p w14:paraId="296A1ADE" w14:textId="4DCFAAE3" w:rsidR="009D54B2" w:rsidRPr="00F96481" w:rsidDel="00492192" w:rsidRDefault="009D54B2" w:rsidP="00F96481">
            <w:pPr>
              <w:pStyle w:val="TableParagraph"/>
              <w:rPr>
                <w:rFonts w:ascii="Calibri" w:hAnsi="Calibri" w:cs="Calibri"/>
                <w:sz w:val="24"/>
                <w:szCs w:val="24"/>
              </w:rPr>
            </w:pPr>
            <w:r w:rsidRPr="00954233">
              <w:rPr>
                <w:sz w:val="24"/>
                <w:szCs w:val="24"/>
              </w:rPr>
              <w:t>1.16</w:t>
            </w:r>
          </w:p>
        </w:tc>
        <w:tc>
          <w:tcPr>
            <w:tcW w:w="0" w:type="dxa"/>
          </w:tcPr>
          <w:p w14:paraId="6695749D" w14:textId="32DBABD9" w:rsidR="009D54B2" w:rsidRPr="00F96481" w:rsidRDefault="009D54B2" w:rsidP="00F96481">
            <w:pPr>
              <w:pStyle w:val="TableParagraph"/>
              <w:rPr>
                <w:rFonts w:ascii="Calibri" w:hAnsi="Calibri" w:cs="Calibri"/>
                <w:color w:val="000000"/>
                <w:sz w:val="24"/>
                <w:szCs w:val="24"/>
              </w:rPr>
            </w:pPr>
            <w:r w:rsidRPr="00954233">
              <w:rPr>
                <w:sz w:val="24"/>
                <w:szCs w:val="24"/>
              </w:rPr>
              <w:t>Water availability</w:t>
            </w:r>
          </w:p>
        </w:tc>
        <w:tc>
          <w:tcPr>
            <w:tcW w:w="0" w:type="dxa"/>
          </w:tcPr>
          <w:p w14:paraId="0EA78D32" w14:textId="74A8F222" w:rsidR="009D54B2" w:rsidRPr="00F96481" w:rsidRDefault="009D54B2" w:rsidP="00F96481">
            <w:pPr>
              <w:pStyle w:val="TableParagraph"/>
              <w:rPr>
                <w:rFonts w:ascii="Calibri" w:hAnsi="Calibri" w:cs="Calibri"/>
                <w:color w:val="000000"/>
                <w:sz w:val="24"/>
                <w:szCs w:val="24"/>
              </w:rPr>
            </w:pPr>
            <w:r w:rsidRPr="00954233">
              <w:rPr>
                <w:sz w:val="24"/>
                <w:szCs w:val="24"/>
              </w:rPr>
              <w:t xml:space="preserve">Customers supplied by systems not capable of meeting peak demand </w:t>
            </w:r>
          </w:p>
        </w:tc>
        <w:tc>
          <w:tcPr>
            <w:tcW w:w="1559" w:type="dxa"/>
          </w:tcPr>
          <w:p w14:paraId="4CE068B1" w14:textId="105E0208" w:rsidR="009D54B2" w:rsidRPr="00F96481" w:rsidRDefault="009D54B2" w:rsidP="00F96481">
            <w:pPr>
              <w:pStyle w:val="TableParagraph"/>
              <w:rPr>
                <w:rFonts w:ascii="Calibri" w:hAnsi="Calibri" w:cs="Calibri"/>
                <w:color w:val="000000"/>
                <w:sz w:val="24"/>
                <w:szCs w:val="24"/>
              </w:rPr>
            </w:pPr>
            <w:r w:rsidRPr="00954233">
              <w:rPr>
                <w:sz w:val="24"/>
                <w:szCs w:val="24"/>
              </w:rPr>
              <w:t>Number</w:t>
            </w:r>
          </w:p>
        </w:tc>
        <w:tc>
          <w:tcPr>
            <w:tcW w:w="7230" w:type="dxa"/>
          </w:tcPr>
          <w:p w14:paraId="581D2A9C" w14:textId="2163A725" w:rsidR="009D54B2" w:rsidRPr="00F96481" w:rsidRDefault="00262D53" w:rsidP="00F96481">
            <w:pPr>
              <w:pStyle w:val="TableParagraph"/>
              <w:rPr>
                <w:rFonts w:ascii="Calibri" w:hAnsi="Calibri" w:cs="Calibri"/>
                <w:sz w:val="24"/>
                <w:szCs w:val="24"/>
              </w:rPr>
            </w:pPr>
            <w:r w:rsidRPr="005459C1">
              <w:rPr>
                <w:sz w:val="24"/>
                <w:szCs w:val="24"/>
              </w:rPr>
              <w:t>[</w:t>
            </w:r>
            <w:r>
              <w:rPr>
                <w:sz w:val="24"/>
                <w:szCs w:val="24"/>
              </w:rPr>
              <w:t>M</w:t>
            </w:r>
            <w:r w:rsidRPr="005459C1">
              <w:rPr>
                <w:sz w:val="24"/>
                <w:szCs w:val="24"/>
              </w:rPr>
              <w:t xml:space="preserve">easure to be </w:t>
            </w:r>
            <w:r>
              <w:rPr>
                <w:sz w:val="24"/>
                <w:szCs w:val="24"/>
              </w:rPr>
              <w:t>defined, may be</w:t>
            </w:r>
            <w:r w:rsidR="00DD032E">
              <w:rPr>
                <w:sz w:val="24"/>
                <w:szCs w:val="24"/>
              </w:rPr>
              <w:t xml:space="preserve"> </w:t>
            </w:r>
            <w:r w:rsidR="00DD032E" w:rsidRPr="00DD032E">
              <w:rPr>
                <w:sz w:val="24"/>
                <w:szCs w:val="24"/>
              </w:rPr>
              <w:t xml:space="preserve">based on peak period against </w:t>
            </w:r>
            <w:r w:rsidR="00F52E97">
              <w:rPr>
                <w:sz w:val="24"/>
                <w:szCs w:val="24"/>
              </w:rPr>
              <w:t>water treatment work</w:t>
            </w:r>
            <w:r w:rsidR="00F52E97" w:rsidRPr="00DD032E">
              <w:rPr>
                <w:sz w:val="24"/>
                <w:szCs w:val="24"/>
              </w:rPr>
              <w:t xml:space="preserve"> </w:t>
            </w:r>
            <w:r w:rsidR="00DD032E" w:rsidRPr="00DD032E">
              <w:rPr>
                <w:sz w:val="24"/>
                <w:szCs w:val="24"/>
              </w:rPr>
              <w:t>capacity and C</w:t>
            </w:r>
            <w:r w:rsidR="00936A66">
              <w:rPr>
                <w:sz w:val="24"/>
                <w:szCs w:val="24"/>
              </w:rPr>
              <w:t xml:space="preserve">ontrolled </w:t>
            </w:r>
            <w:r w:rsidR="00DD032E" w:rsidRPr="00DD032E">
              <w:rPr>
                <w:sz w:val="24"/>
                <w:szCs w:val="24"/>
              </w:rPr>
              <w:t>A</w:t>
            </w:r>
            <w:r w:rsidR="00936A66">
              <w:rPr>
                <w:sz w:val="24"/>
                <w:szCs w:val="24"/>
              </w:rPr>
              <w:t xml:space="preserve">ctivities </w:t>
            </w:r>
            <w:r w:rsidR="00DD032E" w:rsidRPr="00DD032E">
              <w:rPr>
                <w:sz w:val="24"/>
                <w:szCs w:val="24"/>
              </w:rPr>
              <w:t>R</w:t>
            </w:r>
            <w:r w:rsidR="00936A66">
              <w:rPr>
                <w:sz w:val="24"/>
                <w:szCs w:val="24"/>
              </w:rPr>
              <w:t>egulation (</w:t>
            </w:r>
            <w:r w:rsidR="00DD032E" w:rsidRPr="00DD032E">
              <w:rPr>
                <w:sz w:val="24"/>
                <w:szCs w:val="24"/>
              </w:rPr>
              <w:t>CAR</w:t>
            </w:r>
            <w:r w:rsidR="00936A66">
              <w:rPr>
                <w:sz w:val="24"/>
                <w:szCs w:val="24"/>
              </w:rPr>
              <w:t>)</w:t>
            </w:r>
            <w:r w:rsidR="00DD032E" w:rsidRPr="00DD032E">
              <w:rPr>
                <w:sz w:val="24"/>
                <w:szCs w:val="24"/>
              </w:rPr>
              <w:t xml:space="preserve"> licence</w:t>
            </w:r>
            <w:r w:rsidR="00DD032E">
              <w:rPr>
                <w:sz w:val="24"/>
                <w:szCs w:val="24"/>
              </w:rPr>
              <w:t>.]</w:t>
            </w:r>
          </w:p>
        </w:tc>
      </w:tr>
      <w:tr w:rsidR="002A3ABC" w:rsidRPr="00845C40" w14:paraId="2485D684" w14:textId="77777777" w:rsidTr="00954233">
        <w:trPr>
          <w:trHeight w:val="293"/>
        </w:trPr>
        <w:tc>
          <w:tcPr>
            <w:tcW w:w="0" w:type="dxa"/>
          </w:tcPr>
          <w:p w14:paraId="1E92F326" w14:textId="5D1B1255" w:rsidR="00B33B2E" w:rsidRPr="00F96481" w:rsidRDefault="00B33B2E" w:rsidP="00F96481">
            <w:pPr>
              <w:pStyle w:val="TableParagraph"/>
              <w:rPr>
                <w:rFonts w:ascii="Calibri" w:hAnsi="Calibri" w:cs="Calibri"/>
                <w:sz w:val="24"/>
                <w:szCs w:val="24"/>
              </w:rPr>
            </w:pPr>
            <w:r w:rsidRPr="00954233">
              <w:rPr>
                <w:sz w:val="24"/>
                <w:szCs w:val="24"/>
              </w:rPr>
              <w:t>1.17</w:t>
            </w:r>
          </w:p>
        </w:tc>
        <w:tc>
          <w:tcPr>
            <w:tcW w:w="1843" w:type="dxa"/>
          </w:tcPr>
          <w:p w14:paraId="0686A8C3" w14:textId="729B3AF1" w:rsidR="00B33B2E" w:rsidRPr="00F96481" w:rsidRDefault="00B33B2E" w:rsidP="00F96481">
            <w:pPr>
              <w:pStyle w:val="TableParagraph"/>
              <w:rPr>
                <w:rFonts w:ascii="Calibri" w:hAnsi="Calibri" w:cs="Calibri"/>
                <w:color w:val="000000"/>
                <w:sz w:val="24"/>
                <w:szCs w:val="24"/>
              </w:rPr>
            </w:pPr>
            <w:r w:rsidRPr="00954233" w:rsidDel="00107BCE">
              <w:rPr>
                <w:sz w:val="24"/>
                <w:szCs w:val="24"/>
              </w:rPr>
              <w:t>Drinking water aesthetics</w:t>
            </w:r>
          </w:p>
        </w:tc>
        <w:tc>
          <w:tcPr>
            <w:tcW w:w="0" w:type="dxa"/>
          </w:tcPr>
          <w:p w14:paraId="7704FDE7" w14:textId="48311740" w:rsidR="00B33B2E" w:rsidRPr="00F96481" w:rsidRDefault="00B33B2E" w:rsidP="00F96481">
            <w:pPr>
              <w:pStyle w:val="TableParagraph"/>
              <w:rPr>
                <w:rFonts w:ascii="Calibri" w:hAnsi="Calibri" w:cs="Calibri"/>
                <w:color w:val="000000"/>
                <w:sz w:val="24"/>
                <w:szCs w:val="24"/>
              </w:rPr>
            </w:pPr>
            <w:r w:rsidRPr="00954233">
              <w:rPr>
                <w:sz w:val="24"/>
                <w:szCs w:val="24"/>
              </w:rPr>
              <w:t>Taste and odour contacts</w:t>
            </w:r>
            <w:r w:rsidR="00743FE5">
              <w:rPr>
                <w:sz w:val="24"/>
                <w:szCs w:val="24"/>
              </w:rPr>
              <w:t>*</w:t>
            </w:r>
          </w:p>
        </w:tc>
        <w:tc>
          <w:tcPr>
            <w:tcW w:w="1559" w:type="dxa"/>
          </w:tcPr>
          <w:p w14:paraId="158D888C" w14:textId="1E55DB14" w:rsidR="00B33B2E" w:rsidRPr="00F96481" w:rsidRDefault="00B33B2E" w:rsidP="00F96481">
            <w:pPr>
              <w:pStyle w:val="TableParagraph"/>
              <w:rPr>
                <w:rFonts w:ascii="Calibri" w:hAnsi="Calibri" w:cs="Calibri"/>
                <w:color w:val="000000"/>
                <w:sz w:val="24"/>
                <w:szCs w:val="24"/>
              </w:rPr>
            </w:pPr>
            <w:r w:rsidRPr="00954233" w:rsidDel="00107BCE">
              <w:rPr>
                <w:sz w:val="24"/>
                <w:szCs w:val="24"/>
              </w:rPr>
              <w:t>Number</w:t>
            </w:r>
          </w:p>
        </w:tc>
        <w:tc>
          <w:tcPr>
            <w:tcW w:w="7230" w:type="dxa"/>
          </w:tcPr>
          <w:p w14:paraId="2ACF1562" w14:textId="53DFD89A" w:rsidR="00B33B2E" w:rsidRPr="00F96481" w:rsidRDefault="00B33B2E" w:rsidP="00F96481">
            <w:pPr>
              <w:pStyle w:val="TableParagraph"/>
              <w:rPr>
                <w:rFonts w:ascii="Calibri" w:hAnsi="Calibri" w:cs="Calibri"/>
                <w:sz w:val="24"/>
                <w:szCs w:val="24"/>
              </w:rPr>
            </w:pPr>
            <w:r w:rsidRPr="00F96481">
              <w:rPr>
                <w:rFonts w:ascii="Calibri" w:hAnsi="Calibri" w:cs="Calibri"/>
                <w:sz w:val="24"/>
                <w:szCs w:val="24"/>
              </w:rPr>
              <w:t xml:space="preserve">The number of times customers contact the company due to the taste and odour of drinking water reported per 1,000 population. The calculation is the number of contacts for all taste, and odour contacts </w:t>
            </w:r>
            <w:r w:rsidR="001B7EEE" w:rsidRPr="00F96481">
              <w:rPr>
                <w:rFonts w:ascii="Calibri" w:hAnsi="Calibri" w:cs="Calibri"/>
                <w:sz w:val="24"/>
                <w:szCs w:val="24"/>
              </w:rPr>
              <w:t>as reported to the Drinking Water Quality Regulator (DWQR)</w:t>
            </w:r>
            <w:r w:rsidR="001B7EEE">
              <w:rPr>
                <w:rFonts w:ascii="Calibri" w:hAnsi="Calibri" w:cs="Calibri"/>
                <w:sz w:val="24"/>
                <w:szCs w:val="24"/>
              </w:rPr>
              <w:t xml:space="preserve"> </w:t>
            </w:r>
            <w:r w:rsidRPr="00F96481">
              <w:rPr>
                <w:rFonts w:ascii="Calibri" w:hAnsi="Calibri" w:cs="Calibri"/>
                <w:sz w:val="24"/>
                <w:szCs w:val="24"/>
              </w:rPr>
              <w:t>multiplied by 1,000 divided by the resident population.</w:t>
            </w:r>
          </w:p>
          <w:p w14:paraId="65740F77" w14:textId="77777777" w:rsidR="00B33B2E" w:rsidRPr="00F96481" w:rsidRDefault="00B33B2E" w:rsidP="00F96481">
            <w:pPr>
              <w:pStyle w:val="TableParagraph"/>
              <w:rPr>
                <w:rFonts w:ascii="Calibri" w:hAnsi="Calibri" w:cs="Calibri"/>
                <w:sz w:val="24"/>
                <w:szCs w:val="24"/>
              </w:rPr>
            </w:pPr>
          </w:p>
          <w:p w14:paraId="71BC1FA0" w14:textId="2FB41CEA" w:rsidR="00B33B2E" w:rsidRPr="00F96481" w:rsidRDefault="00641F29" w:rsidP="00F96481">
            <w:pPr>
              <w:pStyle w:val="TableParagraph"/>
              <w:rPr>
                <w:rFonts w:ascii="Calibri" w:hAnsi="Calibri" w:cs="Calibri"/>
                <w:sz w:val="24"/>
                <w:szCs w:val="24"/>
              </w:rPr>
            </w:pPr>
            <w:r>
              <w:rPr>
                <w:rFonts w:ascii="Calibri" w:hAnsi="Calibri" w:cs="Calibri"/>
                <w:sz w:val="24"/>
                <w:szCs w:val="24"/>
              </w:rPr>
              <w:t>The measure is reported based on the calendar year.</w:t>
            </w:r>
          </w:p>
        </w:tc>
      </w:tr>
      <w:tr w:rsidR="002A3ABC" w:rsidRPr="00845C40" w14:paraId="709C41D1" w14:textId="77777777" w:rsidTr="00954233">
        <w:trPr>
          <w:trHeight w:val="293"/>
        </w:trPr>
        <w:tc>
          <w:tcPr>
            <w:tcW w:w="0" w:type="dxa"/>
          </w:tcPr>
          <w:p w14:paraId="1CE235F6" w14:textId="50FD382D" w:rsidR="00B33B2E" w:rsidRPr="00F96481" w:rsidDel="00492192" w:rsidRDefault="00B33B2E" w:rsidP="00F96481">
            <w:pPr>
              <w:pStyle w:val="TableParagraph"/>
              <w:rPr>
                <w:rFonts w:ascii="Calibri" w:hAnsi="Calibri" w:cs="Calibri"/>
                <w:sz w:val="24"/>
                <w:szCs w:val="24"/>
              </w:rPr>
            </w:pPr>
            <w:r w:rsidRPr="00954233">
              <w:rPr>
                <w:sz w:val="24"/>
                <w:szCs w:val="24"/>
              </w:rPr>
              <w:lastRenderedPageBreak/>
              <w:t>1.18</w:t>
            </w:r>
          </w:p>
        </w:tc>
        <w:tc>
          <w:tcPr>
            <w:tcW w:w="0" w:type="dxa"/>
          </w:tcPr>
          <w:p w14:paraId="2D3CE121" w14:textId="1D60ED7E" w:rsidR="00B33B2E" w:rsidRPr="00F96481" w:rsidRDefault="00B33B2E" w:rsidP="00F96481">
            <w:pPr>
              <w:pStyle w:val="TableParagraph"/>
              <w:rPr>
                <w:rFonts w:ascii="Calibri" w:hAnsi="Calibri" w:cs="Calibri"/>
                <w:color w:val="000000"/>
                <w:sz w:val="24"/>
                <w:szCs w:val="24"/>
              </w:rPr>
            </w:pPr>
            <w:r w:rsidRPr="00954233">
              <w:rPr>
                <w:sz w:val="24"/>
                <w:szCs w:val="24"/>
              </w:rPr>
              <w:t>Drinking water aesthetics</w:t>
            </w:r>
          </w:p>
        </w:tc>
        <w:tc>
          <w:tcPr>
            <w:tcW w:w="0" w:type="dxa"/>
          </w:tcPr>
          <w:p w14:paraId="139582C3" w14:textId="4D05F99C" w:rsidR="00B33B2E" w:rsidRPr="00F96481" w:rsidRDefault="00B33B2E" w:rsidP="00F96481">
            <w:pPr>
              <w:pStyle w:val="TableParagraph"/>
              <w:rPr>
                <w:rFonts w:ascii="Calibri" w:hAnsi="Calibri" w:cs="Calibri"/>
                <w:color w:val="000000"/>
                <w:sz w:val="24"/>
                <w:szCs w:val="24"/>
              </w:rPr>
            </w:pPr>
            <w:r w:rsidRPr="00954233">
              <w:rPr>
                <w:sz w:val="24"/>
                <w:szCs w:val="24"/>
              </w:rPr>
              <w:t>Discolouration and aeration contacts</w:t>
            </w:r>
            <w:r w:rsidR="00743FE5">
              <w:rPr>
                <w:sz w:val="24"/>
                <w:szCs w:val="24"/>
              </w:rPr>
              <w:t>*</w:t>
            </w:r>
          </w:p>
        </w:tc>
        <w:tc>
          <w:tcPr>
            <w:tcW w:w="1559" w:type="dxa"/>
          </w:tcPr>
          <w:p w14:paraId="69C62929" w14:textId="1A2DAE80" w:rsidR="00B33B2E" w:rsidRPr="00F96481" w:rsidRDefault="00B33B2E" w:rsidP="00F96481">
            <w:pPr>
              <w:pStyle w:val="TableParagraph"/>
              <w:rPr>
                <w:rFonts w:ascii="Calibri" w:hAnsi="Calibri" w:cs="Calibri"/>
                <w:color w:val="000000"/>
                <w:sz w:val="24"/>
                <w:szCs w:val="24"/>
              </w:rPr>
            </w:pPr>
            <w:r w:rsidRPr="00954233">
              <w:rPr>
                <w:sz w:val="24"/>
                <w:szCs w:val="24"/>
              </w:rPr>
              <w:t>Number</w:t>
            </w:r>
          </w:p>
        </w:tc>
        <w:tc>
          <w:tcPr>
            <w:tcW w:w="7230" w:type="dxa"/>
          </w:tcPr>
          <w:p w14:paraId="4F9363B2" w14:textId="7F0E309C" w:rsidR="00E975F6" w:rsidRDefault="00E975F6" w:rsidP="00E975F6">
            <w:pPr>
              <w:pStyle w:val="TableParagraph"/>
              <w:rPr>
                <w:rFonts w:ascii="Calibri" w:hAnsi="Calibri" w:cs="Calibri"/>
                <w:sz w:val="24"/>
                <w:szCs w:val="24"/>
              </w:rPr>
            </w:pPr>
            <w:r w:rsidRPr="00F96481">
              <w:rPr>
                <w:rFonts w:ascii="Calibri" w:hAnsi="Calibri" w:cs="Calibri"/>
                <w:sz w:val="24"/>
                <w:szCs w:val="24"/>
              </w:rPr>
              <w:t xml:space="preserve">The number of times customers contact the company </w:t>
            </w:r>
            <w:r>
              <w:rPr>
                <w:rFonts w:ascii="Calibri" w:hAnsi="Calibri" w:cs="Calibri"/>
                <w:sz w:val="24"/>
                <w:szCs w:val="24"/>
              </w:rPr>
              <w:t>because the</w:t>
            </w:r>
            <w:r w:rsidRPr="00F96481">
              <w:rPr>
                <w:rFonts w:ascii="Calibri" w:hAnsi="Calibri" w:cs="Calibri"/>
                <w:sz w:val="24"/>
                <w:szCs w:val="24"/>
              </w:rPr>
              <w:t xml:space="preserve"> drinking water</w:t>
            </w:r>
            <w:r>
              <w:rPr>
                <w:rFonts w:ascii="Calibri" w:hAnsi="Calibri" w:cs="Calibri"/>
                <w:sz w:val="24"/>
                <w:szCs w:val="24"/>
              </w:rPr>
              <w:t xml:space="preserve"> is not clear</w:t>
            </w:r>
            <w:r w:rsidRPr="00F96481">
              <w:rPr>
                <w:rFonts w:ascii="Calibri" w:hAnsi="Calibri" w:cs="Calibri"/>
                <w:sz w:val="24"/>
                <w:szCs w:val="24"/>
              </w:rPr>
              <w:t xml:space="preserve"> reported per 1,000 population. The calculation is the number of contacts for all </w:t>
            </w:r>
            <w:r w:rsidR="00AF581B">
              <w:rPr>
                <w:rFonts w:ascii="Calibri" w:hAnsi="Calibri" w:cs="Calibri"/>
                <w:sz w:val="24"/>
                <w:szCs w:val="24"/>
              </w:rPr>
              <w:t>appearance</w:t>
            </w:r>
            <w:r w:rsidRPr="00F96481">
              <w:rPr>
                <w:rFonts w:ascii="Calibri" w:hAnsi="Calibri" w:cs="Calibri"/>
                <w:sz w:val="24"/>
                <w:szCs w:val="24"/>
              </w:rPr>
              <w:t xml:space="preserve"> contacts </w:t>
            </w:r>
            <w:r w:rsidR="001B7EEE" w:rsidRPr="00F96481">
              <w:rPr>
                <w:rFonts w:ascii="Calibri" w:hAnsi="Calibri" w:cs="Calibri"/>
                <w:sz w:val="24"/>
                <w:szCs w:val="24"/>
              </w:rPr>
              <w:t>as reported to the Drinking Water Quality Regulator (DWQR)</w:t>
            </w:r>
            <w:r w:rsidR="001B7EEE">
              <w:rPr>
                <w:rFonts w:ascii="Calibri" w:hAnsi="Calibri" w:cs="Calibri"/>
                <w:sz w:val="24"/>
                <w:szCs w:val="24"/>
              </w:rPr>
              <w:t xml:space="preserve"> </w:t>
            </w:r>
            <w:r w:rsidRPr="00F96481">
              <w:rPr>
                <w:rFonts w:ascii="Calibri" w:hAnsi="Calibri" w:cs="Calibri"/>
                <w:sz w:val="24"/>
                <w:szCs w:val="24"/>
              </w:rPr>
              <w:t>multiplied by 1,000 divided by the resident population.</w:t>
            </w:r>
          </w:p>
          <w:p w14:paraId="5B582245" w14:textId="77777777" w:rsidR="00641F29" w:rsidRDefault="00641F29" w:rsidP="00E975F6">
            <w:pPr>
              <w:pStyle w:val="TableParagraph"/>
              <w:rPr>
                <w:rFonts w:ascii="Calibri" w:hAnsi="Calibri" w:cs="Calibri"/>
                <w:sz w:val="24"/>
                <w:szCs w:val="24"/>
              </w:rPr>
            </w:pPr>
          </w:p>
          <w:p w14:paraId="7225FE2E" w14:textId="26ADEF0A" w:rsidR="00B33B2E" w:rsidRPr="00F96481" w:rsidRDefault="00641F29" w:rsidP="00F96481">
            <w:pPr>
              <w:pStyle w:val="TableParagraph"/>
              <w:rPr>
                <w:rFonts w:ascii="Calibri" w:hAnsi="Calibri" w:cs="Calibri"/>
                <w:sz w:val="24"/>
                <w:szCs w:val="24"/>
              </w:rPr>
            </w:pPr>
            <w:r>
              <w:rPr>
                <w:rFonts w:ascii="Calibri" w:hAnsi="Calibri" w:cs="Calibri"/>
                <w:sz w:val="24"/>
                <w:szCs w:val="24"/>
              </w:rPr>
              <w:t>The measure is reported based on the calendar year.</w:t>
            </w:r>
          </w:p>
        </w:tc>
      </w:tr>
      <w:tr w:rsidR="002A3ABC" w:rsidRPr="00845C40" w14:paraId="78448450" w14:textId="77777777" w:rsidTr="00954233">
        <w:trPr>
          <w:trHeight w:val="293"/>
        </w:trPr>
        <w:tc>
          <w:tcPr>
            <w:tcW w:w="0" w:type="dxa"/>
          </w:tcPr>
          <w:p w14:paraId="74922E05" w14:textId="74E156E5" w:rsidR="0018516C" w:rsidRPr="00F96481" w:rsidDel="00492192" w:rsidRDefault="0018516C" w:rsidP="00F96481">
            <w:pPr>
              <w:pStyle w:val="TableParagraph"/>
              <w:rPr>
                <w:rFonts w:ascii="Calibri" w:hAnsi="Calibri" w:cs="Calibri"/>
                <w:sz w:val="24"/>
                <w:szCs w:val="24"/>
              </w:rPr>
            </w:pPr>
            <w:r w:rsidRPr="00954233">
              <w:rPr>
                <w:sz w:val="24"/>
                <w:szCs w:val="24"/>
              </w:rPr>
              <w:t>1.19</w:t>
            </w:r>
          </w:p>
        </w:tc>
        <w:tc>
          <w:tcPr>
            <w:tcW w:w="0" w:type="dxa"/>
          </w:tcPr>
          <w:p w14:paraId="26FC7D24" w14:textId="03CF8EE0" w:rsidR="0018516C" w:rsidRPr="00F96481" w:rsidDel="007A036A" w:rsidRDefault="0018516C" w:rsidP="00F96481">
            <w:pPr>
              <w:pStyle w:val="TableParagraph"/>
              <w:rPr>
                <w:rFonts w:ascii="Calibri" w:hAnsi="Calibri" w:cs="Calibri"/>
                <w:color w:val="000000"/>
                <w:sz w:val="24"/>
                <w:szCs w:val="24"/>
              </w:rPr>
            </w:pPr>
            <w:r w:rsidRPr="00954233">
              <w:rPr>
                <w:sz w:val="24"/>
                <w:szCs w:val="24"/>
              </w:rPr>
              <w:t>Drinking water quality</w:t>
            </w:r>
          </w:p>
        </w:tc>
        <w:tc>
          <w:tcPr>
            <w:tcW w:w="0" w:type="dxa"/>
          </w:tcPr>
          <w:p w14:paraId="3F59835A" w14:textId="4CA8C845" w:rsidR="0018516C" w:rsidRPr="00F96481" w:rsidDel="007A036A" w:rsidRDefault="0018516C" w:rsidP="00F96481">
            <w:pPr>
              <w:pStyle w:val="TableParagraph"/>
              <w:rPr>
                <w:rFonts w:ascii="Calibri" w:hAnsi="Calibri" w:cs="Calibri"/>
                <w:color w:val="000000"/>
                <w:sz w:val="24"/>
                <w:szCs w:val="24"/>
              </w:rPr>
            </w:pPr>
            <w:r w:rsidRPr="00954233">
              <w:rPr>
                <w:sz w:val="24"/>
                <w:szCs w:val="24"/>
              </w:rPr>
              <w:t>Estimated number of lead pipes remaining in public network</w:t>
            </w:r>
          </w:p>
        </w:tc>
        <w:tc>
          <w:tcPr>
            <w:tcW w:w="1559" w:type="dxa"/>
          </w:tcPr>
          <w:p w14:paraId="6810F327" w14:textId="0217CEF2" w:rsidR="0018516C" w:rsidRPr="00F96481" w:rsidRDefault="0018516C" w:rsidP="00F96481">
            <w:pPr>
              <w:pStyle w:val="TableParagraph"/>
              <w:rPr>
                <w:rFonts w:ascii="Calibri" w:hAnsi="Calibri" w:cs="Calibri"/>
                <w:color w:val="000000"/>
                <w:sz w:val="24"/>
                <w:szCs w:val="24"/>
              </w:rPr>
            </w:pPr>
            <w:r w:rsidRPr="00954233">
              <w:rPr>
                <w:sz w:val="24"/>
                <w:szCs w:val="24"/>
              </w:rPr>
              <w:t>Number</w:t>
            </w:r>
          </w:p>
        </w:tc>
        <w:tc>
          <w:tcPr>
            <w:tcW w:w="7230" w:type="dxa"/>
          </w:tcPr>
          <w:p w14:paraId="176E93EA" w14:textId="2A16ADC7" w:rsidR="00ED5F29" w:rsidRDefault="00ED5F29" w:rsidP="00F96481">
            <w:pPr>
              <w:pStyle w:val="TableParagraph"/>
              <w:rPr>
                <w:rFonts w:ascii="Calibri" w:hAnsi="Calibri" w:cs="Calibri"/>
                <w:sz w:val="24"/>
                <w:szCs w:val="24"/>
              </w:rPr>
            </w:pPr>
            <w:r w:rsidRPr="00ED5F29">
              <w:rPr>
                <w:rFonts w:ascii="Calibri" w:hAnsi="Calibri" w:cs="Calibri"/>
                <w:sz w:val="24"/>
                <w:szCs w:val="24"/>
              </w:rPr>
              <w:t>Estimated number of lead pipes remaining in public network</w:t>
            </w:r>
            <w:r w:rsidR="009F05F6">
              <w:rPr>
                <w:rFonts w:ascii="Calibri" w:hAnsi="Calibri" w:cs="Calibri"/>
                <w:sz w:val="24"/>
                <w:szCs w:val="24"/>
              </w:rPr>
              <w:t>.</w:t>
            </w:r>
          </w:p>
          <w:p w14:paraId="1DF209B3" w14:textId="77777777" w:rsidR="00ED5F29" w:rsidRDefault="00ED5F29" w:rsidP="00F96481">
            <w:pPr>
              <w:pStyle w:val="TableParagraph"/>
              <w:rPr>
                <w:rFonts w:ascii="Calibri" w:hAnsi="Calibri" w:cs="Calibri"/>
                <w:sz w:val="24"/>
                <w:szCs w:val="24"/>
              </w:rPr>
            </w:pPr>
          </w:p>
          <w:p w14:paraId="6D4D08BD" w14:textId="3AD8CF50" w:rsidR="0018516C" w:rsidRPr="00F96481" w:rsidDel="007A036A" w:rsidRDefault="00ED5F29" w:rsidP="00F96481">
            <w:pPr>
              <w:pStyle w:val="TableParagraph"/>
              <w:rPr>
                <w:rFonts w:ascii="Calibri" w:hAnsi="Calibri" w:cs="Calibri"/>
                <w:sz w:val="24"/>
                <w:szCs w:val="24"/>
              </w:rPr>
            </w:pPr>
            <w:r>
              <w:rPr>
                <w:rFonts w:ascii="Calibri" w:hAnsi="Calibri" w:cs="Calibri"/>
                <w:sz w:val="24"/>
                <w:szCs w:val="24"/>
              </w:rPr>
              <w:t>[C</w:t>
            </w:r>
            <w:r w:rsidRPr="00ED5F29">
              <w:rPr>
                <w:rFonts w:ascii="Calibri" w:hAnsi="Calibri" w:cs="Calibri"/>
                <w:sz w:val="24"/>
                <w:szCs w:val="24"/>
              </w:rPr>
              <w:t>alculation method to be agreed</w:t>
            </w:r>
            <w:r>
              <w:rPr>
                <w:rFonts w:ascii="Calibri" w:hAnsi="Calibri" w:cs="Calibri"/>
                <w:sz w:val="24"/>
                <w:szCs w:val="24"/>
              </w:rPr>
              <w:t xml:space="preserve"> through engagement </w:t>
            </w:r>
            <w:r w:rsidR="00892979">
              <w:rPr>
                <w:rFonts w:ascii="Calibri" w:hAnsi="Calibri" w:cs="Calibri"/>
                <w:sz w:val="24"/>
                <w:szCs w:val="24"/>
              </w:rPr>
              <w:t xml:space="preserve">between </w:t>
            </w:r>
            <w:r>
              <w:rPr>
                <w:rFonts w:ascii="Calibri" w:hAnsi="Calibri" w:cs="Calibri"/>
                <w:sz w:val="24"/>
                <w:szCs w:val="24"/>
              </w:rPr>
              <w:t>Scottish Water and DWQR</w:t>
            </w:r>
            <w:r w:rsidRPr="00ED5F29">
              <w:rPr>
                <w:rFonts w:ascii="Calibri" w:hAnsi="Calibri" w:cs="Calibri"/>
                <w:sz w:val="24"/>
                <w:szCs w:val="24"/>
              </w:rPr>
              <w:t>.</w:t>
            </w:r>
            <w:r>
              <w:rPr>
                <w:rFonts w:ascii="Calibri" w:hAnsi="Calibri" w:cs="Calibri"/>
                <w:sz w:val="24"/>
                <w:szCs w:val="24"/>
              </w:rPr>
              <w:t>]</w:t>
            </w:r>
          </w:p>
        </w:tc>
      </w:tr>
      <w:tr w:rsidR="002A3ABC" w:rsidRPr="00845C40" w14:paraId="3D6213B6" w14:textId="77777777" w:rsidTr="00954233">
        <w:trPr>
          <w:trHeight w:val="293"/>
        </w:trPr>
        <w:tc>
          <w:tcPr>
            <w:tcW w:w="0" w:type="dxa"/>
          </w:tcPr>
          <w:p w14:paraId="221A565D" w14:textId="2BC60E75" w:rsidR="0018516C" w:rsidRPr="00F96481" w:rsidRDefault="0018516C" w:rsidP="00F96481">
            <w:pPr>
              <w:pStyle w:val="TableParagraph"/>
              <w:rPr>
                <w:rFonts w:ascii="Calibri" w:hAnsi="Calibri" w:cs="Calibri"/>
                <w:sz w:val="24"/>
                <w:szCs w:val="24"/>
              </w:rPr>
            </w:pPr>
            <w:r w:rsidRPr="00954233">
              <w:rPr>
                <w:sz w:val="24"/>
                <w:szCs w:val="24"/>
              </w:rPr>
              <w:t>1.20</w:t>
            </w:r>
          </w:p>
        </w:tc>
        <w:tc>
          <w:tcPr>
            <w:tcW w:w="1843" w:type="dxa"/>
          </w:tcPr>
          <w:p w14:paraId="676FEE85" w14:textId="682562FC" w:rsidR="0018516C" w:rsidRPr="00F96481" w:rsidRDefault="0018516C" w:rsidP="00F96481">
            <w:pPr>
              <w:pStyle w:val="TableParagraph"/>
              <w:rPr>
                <w:rFonts w:ascii="Calibri" w:hAnsi="Calibri" w:cs="Calibri"/>
                <w:color w:val="000000"/>
                <w:sz w:val="24"/>
                <w:szCs w:val="24"/>
              </w:rPr>
            </w:pPr>
            <w:r w:rsidRPr="00954233" w:rsidDel="007A036A">
              <w:rPr>
                <w:sz w:val="24"/>
                <w:szCs w:val="24"/>
              </w:rPr>
              <w:t>Drinking water quality</w:t>
            </w:r>
          </w:p>
        </w:tc>
        <w:tc>
          <w:tcPr>
            <w:tcW w:w="0" w:type="dxa"/>
          </w:tcPr>
          <w:p w14:paraId="4C1E621F" w14:textId="7D535E7F" w:rsidR="0018516C" w:rsidRPr="00F96481" w:rsidRDefault="0018516C" w:rsidP="00F96481">
            <w:pPr>
              <w:pStyle w:val="TableParagraph"/>
              <w:rPr>
                <w:rFonts w:ascii="Calibri" w:hAnsi="Calibri" w:cs="Calibri"/>
                <w:color w:val="000000"/>
                <w:sz w:val="24"/>
                <w:szCs w:val="24"/>
              </w:rPr>
            </w:pPr>
            <w:r w:rsidRPr="00954233">
              <w:rPr>
                <w:sz w:val="24"/>
                <w:szCs w:val="24"/>
              </w:rPr>
              <w:t>Indicator of lead in customers supply pipes</w:t>
            </w:r>
          </w:p>
        </w:tc>
        <w:tc>
          <w:tcPr>
            <w:tcW w:w="1559" w:type="dxa"/>
          </w:tcPr>
          <w:p w14:paraId="44A71820" w14:textId="50F45053" w:rsidR="0018516C" w:rsidRPr="00F96481" w:rsidRDefault="0018516C" w:rsidP="00F96481">
            <w:pPr>
              <w:pStyle w:val="TableParagraph"/>
              <w:rPr>
                <w:rFonts w:ascii="Calibri" w:hAnsi="Calibri" w:cs="Calibri"/>
                <w:color w:val="000000"/>
                <w:sz w:val="24"/>
                <w:szCs w:val="24"/>
              </w:rPr>
            </w:pPr>
            <w:r w:rsidRPr="00954233">
              <w:rPr>
                <w:sz w:val="24"/>
                <w:szCs w:val="24"/>
              </w:rPr>
              <w:t>%</w:t>
            </w:r>
          </w:p>
        </w:tc>
        <w:tc>
          <w:tcPr>
            <w:tcW w:w="7230" w:type="dxa"/>
          </w:tcPr>
          <w:p w14:paraId="59556DCC" w14:textId="025D1F22" w:rsidR="0018516C" w:rsidRPr="00F96481" w:rsidRDefault="00F257EA" w:rsidP="00F96481">
            <w:pPr>
              <w:pStyle w:val="TableParagraph"/>
              <w:rPr>
                <w:rFonts w:ascii="Calibri" w:hAnsi="Calibri" w:cs="Calibri"/>
                <w:sz w:val="24"/>
                <w:szCs w:val="24"/>
              </w:rPr>
            </w:pPr>
            <w:r>
              <w:rPr>
                <w:rFonts w:ascii="Calibri" w:hAnsi="Calibri" w:cs="Calibri"/>
                <w:sz w:val="24"/>
                <w:szCs w:val="24"/>
              </w:rPr>
              <w:t>Percentage of random daytime regulatory samples with lead levels greater than 3</w:t>
            </w:r>
            <w:r w:rsidR="00541EA1">
              <w:t xml:space="preserve"> </w:t>
            </w:r>
            <w:r w:rsidR="00541EA1" w:rsidRPr="00541EA1">
              <w:rPr>
                <w:rFonts w:ascii="Calibri" w:hAnsi="Calibri" w:cs="Calibri"/>
                <w:sz w:val="24"/>
                <w:szCs w:val="24"/>
              </w:rPr>
              <w:t>µg/l</w:t>
            </w:r>
            <w:r w:rsidR="006F7894">
              <w:rPr>
                <w:rFonts w:ascii="Calibri" w:hAnsi="Calibri" w:cs="Calibri"/>
                <w:sz w:val="24"/>
                <w:szCs w:val="24"/>
              </w:rPr>
              <w:t>.</w:t>
            </w:r>
          </w:p>
        </w:tc>
      </w:tr>
      <w:tr w:rsidR="002A3ABC" w:rsidRPr="00845C40" w14:paraId="0E7851D5" w14:textId="77777777" w:rsidTr="00954233">
        <w:trPr>
          <w:trHeight w:val="293"/>
        </w:trPr>
        <w:tc>
          <w:tcPr>
            <w:tcW w:w="0" w:type="dxa"/>
          </w:tcPr>
          <w:p w14:paraId="5F42E1D1" w14:textId="49800B88" w:rsidR="00A652CB" w:rsidRPr="00F96481" w:rsidRDefault="00A652CB" w:rsidP="00F96481">
            <w:pPr>
              <w:pStyle w:val="TableParagraph"/>
              <w:rPr>
                <w:rFonts w:ascii="Calibri" w:hAnsi="Calibri" w:cs="Calibri"/>
                <w:sz w:val="24"/>
                <w:szCs w:val="24"/>
              </w:rPr>
            </w:pPr>
            <w:r w:rsidRPr="00954233">
              <w:rPr>
                <w:sz w:val="24"/>
                <w:szCs w:val="24"/>
              </w:rPr>
              <w:t>1.21</w:t>
            </w:r>
          </w:p>
        </w:tc>
        <w:tc>
          <w:tcPr>
            <w:tcW w:w="1843" w:type="dxa"/>
          </w:tcPr>
          <w:p w14:paraId="23DDFF35" w14:textId="50473261" w:rsidR="00A652CB" w:rsidRPr="00F96481" w:rsidRDefault="00A652CB" w:rsidP="00F96481">
            <w:pPr>
              <w:pStyle w:val="TableParagraph"/>
              <w:rPr>
                <w:rFonts w:ascii="Calibri" w:hAnsi="Calibri" w:cs="Calibri"/>
                <w:color w:val="000000"/>
                <w:sz w:val="24"/>
                <w:szCs w:val="24"/>
              </w:rPr>
            </w:pPr>
            <w:r w:rsidRPr="00954233">
              <w:rPr>
                <w:sz w:val="24"/>
                <w:szCs w:val="24"/>
              </w:rPr>
              <w:t>Drinking water quality</w:t>
            </w:r>
          </w:p>
        </w:tc>
        <w:tc>
          <w:tcPr>
            <w:tcW w:w="0" w:type="dxa"/>
          </w:tcPr>
          <w:p w14:paraId="1694622F" w14:textId="6C53D51D" w:rsidR="00A652CB" w:rsidRPr="00F96481" w:rsidRDefault="00A652CB" w:rsidP="00F96481">
            <w:pPr>
              <w:pStyle w:val="TableParagraph"/>
              <w:rPr>
                <w:rFonts w:ascii="Calibri" w:hAnsi="Calibri" w:cs="Calibri"/>
                <w:color w:val="000000"/>
                <w:sz w:val="24"/>
                <w:szCs w:val="24"/>
              </w:rPr>
            </w:pPr>
            <w:r w:rsidRPr="00954233">
              <w:rPr>
                <w:sz w:val="24"/>
                <w:szCs w:val="24"/>
              </w:rPr>
              <w:t xml:space="preserve">Total drinking water compliance </w:t>
            </w:r>
          </w:p>
        </w:tc>
        <w:tc>
          <w:tcPr>
            <w:tcW w:w="1559" w:type="dxa"/>
          </w:tcPr>
          <w:p w14:paraId="558754F4" w14:textId="6723ADF9" w:rsidR="00A652CB" w:rsidRPr="00F96481" w:rsidRDefault="00A652CB" w:rsidP="00F96481">
            <w:pPr>
              <w:pStyle w:val="TableParagraph"/>
              <w:rPr>
                <w:rFonts w:ascii="Calibri" w:hAnsi="Calibri" w:cs="Calibri"/>
                <w:color w:val="000000"/>
                <w:sz w:val="24"/>
                <w:szCs w:val="24"/>
              </w:rPr>
            </w:pPr>
            <w:r w:rsidRPr="00954233" w:rsidDel="00451CE9">
              <w:rPr>
                <w:sz w:val="24"/>
                <w:szCs w:val="24"/>
              </w:rPr>
              <w:t>%</w:t>
            </w:r>
          </w:p>
        </w:tc>
        <w:tc>
          <w:tcPr>
            <w:tcW w:w="7230" w:type="dxa"/>
          </w:tcPr>
          <w:p w14:paraId="3D27034C" w14:textId="32249885" w:rsidR="00D23075" w:rsidRDefault="00541EA1" w:rsidP="00F96481">
            <w:pPr>
              <w:pStyle w:val="TableParagraph"/>
              <w:rPr>
                <w:rFonts w:ascii="Calibri" w:hAnsi="Calibri" w:cs="Calibri"/>
                <w:sz w:val="24"/>
                <w:szCs w:val="24"/>
              </w:rPr>
            </w:pPr>
            <w:r>
              <w:rPr>
                <w:rFonts w:ascii="Calibri" w:hAnsi="Calibri" w:cs="Calibri"/>
                <w:sz w:val="24"/>
                <w:szCs w:val="24"/>
              </w:rPr>
              <w:t xml:space="preserve">Percentage of regulatory samples </w:t>
            </w:r>
            <w:r w:rsidR="00547489">
              <w:rPr>
                <w:rFonts w:ascii="Calibri" w:hAnsi="Calibri" w:cs="Calibri"/>
                <w:sz w:val="24"/>
                <w:szCs w:val="24"/>
              </w:rPr>
              <w:t>compliant with the regulation</w:t>
            </w:r>
            <w:r w:rsidR="00CE09BF">
              <w:rPr>
                <w:rFonts w:ascii="Calibri" w:hAnsi="Calibri" w:cs="Calibri"/>
                <w:sz w:val="24"/>
                <w:szCs w:val="24"/>
              </w:rPr>
              <w:t>s</w:t>
            </w:r>
            <w:r w:rsidR="00547489">
              <w:rPr>
                <w:rFonts w:ascii="Calibri" w:hAnsi="Calibri" w:cs="Calibri"/>
                <w:sz w:val="24"/>
                <w:szCs w:val="24"/>
              </w:rPr>
              <w:t xml:space="preserve"> across </w:t>
            </w:r>
            <w:r w:rsidR="00D23075">
              <w:rPr>
                <w:rFonts w:ascii="Calibri" w:hAnsi="Calibri" w:cs="Calibri"/>
                <w:sz w:val="24"/>
                <w:szCs w:val="24"/>
              </w:rPr>
              <w:t xml:space="preserve">all asset base </w:t>
            </w:r>
            <w:r w:rsidR="0091323C" w:rsidRPr="0091323C">
              <w:rPr>
                <w:rFonts w:ascii="Calibri" w:hAnsi="Calibri" w:cs="Calibri"/>
                <w:sz w:val="24"/>
                <w:szCs w:val="24"/>
              </w:rPr>
              <w:t xml:space="preserve">– zones to use baseline sampling - including Cryptosporidium (non-UV irradiated). </w:t>
            </w:r>
          </w:p>
          <w:p w14:paraId="03CAC895" w14:textId="68207352" w:rsidR="00D23075" w:rsidRDefault="00D23075" w:rsidP="00F96481">
            <w:pPr>
              <w:pStyle w:val="TableParagraph"/>
              <w:rPr>
                <w:rFonts w:ascii="Calibri" w:hAnsi="Calibri" w:cs="Calibri"/>
                <w:sz w:val="24"/>
                <w:szCs w:val="24"/>
              </w:rPr>
            </w:pPr>
          </w:p>
          <w:p w14:paraId="43D2F11A" w14:textId="795EC1B5" w:rsidR="00A652CB" w:rsidRPr="00F96481" w:rsidRDefault="00D23075" w:rsidP="00F96481">
            <w:pPr>
              <w:pStyle w:val="TableParagraph"/>
              <w:rPr>
                <w:rFonts w:ascii="Calibri" w:hAnsi="Calibri" w:cs="Calibri"/>
                <w:sz w:val="24"/>
                <w:szCs w:val="24"/>
              </w:rPr>
            </w:pPr>
            <w:r>
              <w:rPr>
                <w:rFonts w:ascii="Calibri" w:hAnsi="Calibri" w:cs="Calibri"/>
                <w:sz w:val="24"/>
                <w:szCs w:val="24"/>
              </w:rPr>
              <w:t xml:space="preserve">[Detailed methodology to be agreed by Scottish Water </w:t>
            </w:r>
            <w:r w:rsidR="0072252B">
              <w:rPr>
                <w:rFonts w:ascii="Calibri" w:hAnsi="Calibri" w:cs="Calibri"/>
                <w:sz w:val="24"/>
                <w:szCs w:val="24"/>
              </w:rPr>
              <w:t>with DWQR]</w:t>
            </w:r>
          </w:p>
        </w:tc>
      </w:tr>
      <w:tr w:rsidR="002A3ABC" w:rsidRPr="00845C40" w14:paraId="0CADD0CB" w14:textId="77777777" w:rsidTr="00954233">
        <w:trPr>
          <w:trHeight w:val="293"/>
        </w:trPr>
        <w:tc>
          <w:tcPr>
            <w:tcW w:w="0" w:type="dxa"/>
          </w:tcPr>
          <w:p w14:paraId="75618324" w14:textId="1FEC5865" w:rsidR="00EE14EA" w:rsidRPr="00F96481" w:rsidDel="00492192" w:rsidRDefault="00EE14EA" w:rsidP="00F96481">
            <w:pPr>
              <w:pStyle w:val="TableParagraph"/>
              <w:rPr>
                <w:rFonts w:ascii="Calibri" w:hAnsi="Calibri" w:cs="Calibri"/>
                <w:sz w:val="24"/>
                <w:szCs w:val="24"/>
              </w:rPr>
            </w:pPr>
            <w:r w:rsidRPr="00954233">
              <w:rPr>
                <w:sz w:val="24"/>
                <w:szCs w:val="24"/>
              </w:rPr>
              <w:t>1.22</w:t>
            </w:r>
          </w:p>
        </w:tc>
        <w:tc>
          <w:tcPr>
            <w:tcW w:w="0" w:type="dxa"/>
          </w:tcPr>
          <w:p w14:paraId="38F104F9" w14:textId="4907E505" w:rsidR="00EE14EA" w:rsidRPr="00F96481" w:rsidRDefault="00EE14EA" w:rsidP="00F96481">
            <w:pPr>
              <w:pStyle w:val="TableParagraph"/>
              <w:rPr>
                <w:rFonts w:ascii="Calibri" w:hAnsi="Calibri" w:cs="Calibri"/>
                <w:color w:val="000000"/>
                <w:sz w:val="24"/>
                <w:szCs w:val="24"/>
              </w:rPr>
            </w:pPr>
            <w:r w:rsidRPr="00954233">
              <w:rPr>
                <w:sz w:val="24"/>
                <w:szCs w:val="24"/>
              </w:rPr>
              <w:t>Drinking water quality</w:t>
            </w:r>
          </w:p>
        </w:tc>
        <w:tc>
          <w:tcPr>
            <w:tcW w:w="0" w:type="dxa"/>
          </w:tcPr>
          <w:p w14:paraId="115898E8" w14:textId="4EE9D1D9" w:rsidR="00EE14EA" w:rsidRPr="00F96481" w:rsidRDefault="00EE14EA" w:rsidP="00F96481">
            <w:pPr>
              <w:pStyle w:val="TableParagraph"/>
              <w:rPr>
                <w:rFonts w:ascii="Calibri" w:hAnsi="Calibri" w:cs="Calibri"/>
                <w:color w:val="000000"/>
                <w:sz w:val="24"/>
                <w:szCs w:val="24"/>
              </w:rPr>
            </w:pPr>
            <w:r w:rsidRPr="00954233">
              <w:rPr>
                <w:sz w:val="24"/>
                <w:szCs w:val="24"/>
              </w:rPr>
              <w:t>Drinking water quality risks across all systems above long-term tolerable threshold.</w:t>
            </w:r>
          </w:p>
        </w:tc>
        <w:tc>
          <w:tcPr>
            <w:tcW w:w="1559" w:type="dxa"/>
          </w:tcPr>
          <w:p w14:paraId="0EEEA499" w14:textId="7B245449" w:rsidR="00EE14EA" w:rsidRPr="00F96481" w:rsidRDefault="00EE14EA" w:rsidP="00F96481">
            <w:pPr>
              <w:pStyle w:val="TableParagraph"/>
              <w:rPr>
                <w:rFonts w:ascii="Calibri" w:hAnsi="Calibri" w:cs="Calibri"/>
                <w:color w:val="000000"/>
                <w:sz w:val="24"/>
                <w:szCs w:val="24"/>
              </w:rPr>
            </w:pPr>
            <w:r w:rsidRPr="00954233">
              <w:rPr>
                <w:sz w:val="24"/>
                <w:szCs w:val="24"/>
              </w:rPr>
              <w:t>Number</w:t>
            </w:r>
          </w:p>
        </w:tc>
        <w:tc>
          <w:tcPr>
            <w:tcW w:w="7230" w:type="dxa"/>
          </w:tcPr>
          <w:p w14:paraId="742D2A6A" w14:textId="3B736124" w:rsidR="00EE14EA" w:rsidRPr="00F96481" w:rsidRDefault="00FF40B0" w:rsidP="00F96481">
            <w:pPr>
              <w:pStyle w:val="TableParagraph"/>
              <w:rPr>
                <w:rFonts w:ascii="Calibri" w:hAnsi="Calibri" w:cs="Calibri"/>
                <w:sz w:val="24"/>
                <w:szCs w:val="24"/>
              </w:rPr>
            </w:pPr>
            <w:r w:rsidRPr="005459C1">
              <w:rPr>
                <w:sz w:val="24"/>
                <w:szCs w:val="24"/>
              </w:rPr>
              <w:t>[</w:t>
            </w:r>
            <w:r>
              <w:rPr>
                <w:sz w:val="24"/>
                <w:szCs w:val="24"/>
              </w:rPr>
              <w:t>M</w:t>
            </w:r>
            <w:r w:rsidRPr="005459C1">
              <w:rPr>
                <w:sz w:val="24"/>
                <w:szCs w:val="24"/>
              </w:rPr>
              <w:t xml:space="preserve">easure to be </w:t>
            </w:r>
            <w:r>
              <w:rPr>
                <w:sz w:val="24"/>
                <w:szCs w:val="24"/>
              </w:rPr>
              <w:t xml:space="preserve">defined </w:t>
            </w:r>
            <w:r w:rsidR="00F5519D">
              <w:rPr>
                <w:rFonts w:ascii="Calibri" w:hAnsi="Calibri" w:cs="Calibri"/>
                <w:sz w:val="24"/>
                <w:szCs w:val="24"/>
              </w:rPr>
              <w:t xml:space="preserve">through engagement </w:t>
            </w:r>
            <w:r w:rsidR="00D6504F">
              <w:rPr>
                <w:rFonts w:ascii="Calibri" w:hAnsi="Calibri" w:cs="Calibri"/>
                <w:sz w:val="24"/>
                <w:szCs w:val="24"/>
              </w:rPr>
              <w:t xml:space="preserve">between </w:t>
            </w:r>
            <w:r w:rsidR="00F5519D">
              <w:rPr>
                <w:rFonts w:ascii="Calibri" w:hAnsi="Calibri" w:cs="Calibri"/>
                <w:sz w:val="24"/>
                <w:szCs w:val="24"/>
              </w:rPr>
              <w:t>Scottish Water and DWQR</w:t>
            </w:r>
            <w:r w:rsidR="00040C09">
              <w:rPr>
                <w:rFonts w:ascii="Calibri" w:hAnsi="Calibri" w:cs="Calibri"/>
                <w:sz w:val="24"/>
                <w:szCs w:val="24"/>
              </w:rPr>
              <w:t>.]</w:t>
            </w:r>
          </w:p>
        </w:tc>
      </w:tr>
      <w:tr w:rsidR="002A3ABC" w:rsidRPr="00845C40" w14:paraId="4422EAF3" w14:textId="77777777" w:rsidTr="00954233">
        <w:trPr>
          <w:trHeight w:val="293"/>
        </w:trPr>
        <w:tc>
          <w:tcPr>
            <w:tcW w:w="0" w:type="dxa"/>
          </w:tcPr>
          <w:p w14:paraId="23A18C2E" w14:textId="3BC26849" w:rsidR="00EE14EA" w:rsidRPr="00F96481" w:rsidDel="00492192" w:rsidRDefault="00EE14EA" w:rsidP="00F96481">
            <w:pPr>
              <w:pStyle w:val="TableParagraph"/>
              <w:rPr>
                <w:rFonts w:ascii="Calibri" w:hAnsi="Calibri" w:cs="Calibri"/>
                <w:sz w:val="24"/>
                <w:szCs w:val="24"/>
              </w:rPr>
            </w:pPr>
            <w:r w:rsidRPr="00954233">
              <w:rPr>
                <w:sz w:val="24"/>
                <w:szCs w:val="24"/>
              </w:rPr>
              <w:t>1.23</w:t>
            </w:r>
          </w:p>
        </w:tc>
        <w:tc>
          <w:tcPr>
            <w:tcW w:w="0" w:type="dxa"/>
          </w:tcPr>
          <w:p w14:paraId="078B801B" w14:textId="2C27846C" w:rsidR="00EE14EA" w:rsidRPr="00F96481" w:rsidRDefault="00EE14EA" w:rsidP="00F96481">
            <w:pPr>
              <w:pStyle w:val="TableParagraph"/>
              <w:rPr>
                <w:rFonts w:ascii="Calibri" w:hAnsi="Calibri" w:cs="Calibri"/>
                <w:color w:val="000000"/>
                <w:sz w:val="24"/>
                <w:szCs w:val="24"/>
              </w:rPr>
            </w:pPr>
            <w:r w:rsidRPr="00954233">
              <w:rPr>
                <w:sz w:val="24"/>
                <w:szCs w:val="24"/>
              </w:rPr>
              <w:t>Drinking water quality</w:t>
            </w:r>
          </w:p>
        </w:tc>
        <w:tc>
          <w:tcPr>
            <w:tcW w:w="0" w:type="dxa"/>
          </w:tcPr>
          <w:p w14:paraId="0DBE328D" w14:textId="030FFD27" w:rsidR="00EE14EA" w:rsidRPr="00F96481" w:rsidRDefault="00EE14EA" w:rsidP="00F96481">
            <w:pPr>
              <w:pStyle w:val="TableParagraph"/>
              <w:rPr>
                <w:rFonts w:ascii="Calibri" w:hAnsi="Calibri" w:cs="Calibri"/>
                <w:color w:val="000000"/>
                <w:sz w:val="24"/>
                <w:szCs w:val="24"/>
              </w:rPr>
            </w:pPr>
            <w:r w:rsidRPr="00954233">
              <w:rPr>
                <w:sz w:val="24"/>
                <w:szCs w:val="24"/>
              </w:rPr>
              <w:t xml:space="preserve">Number of DWQR declared incidents </w:t>
            </w:r>
          </w:p>
        </w:tc>
        <w:tc>
          <w:tcPr>
            <w:tcW w:w="1559" w:type="dxa"/>
          </w:tcPr>
          <w:p w14:paraId="54A5FB2D" w14:textId="176F7373" w:rsidR="00EE14EA" w:rsidRPr="00F96481" w:rsidRDefault="00EE14EA" w:rsidP="00F96481">
            <w:pPr>
              <w:pStyle w:val="TableParagraph"/>
              <w:rPr>
                <w:rFonts w:ascii="Calibri" w:hAnsi="Calibri" w:cs="Calibri"/>
                <w:color w:val="000000"/>
                <w:sz w:val="24"/>
                <w:szCs w:val="24"/>
              </w:rPr>
            </w:pPr>
            <w:r w:rsidRPr="00954233">
              <w:rPr>
                <w:sz w:val="24"/>
                <w:szCs w:val="24"/>
              </w:rPr>
              <w:t>Number</w:t>
            </w:r>
          </w:p>
        </w:tc>
        <w:tc>
          <w:tcPr>
            <w:tcW w:w="7230" w:type="dxa"/>
          </w:tcPr>
          <w:p w14:paraId="7EA1D0C6" w14:textId="36E03383" w:rsidR="00EE14EA" w:rsidRPr="00F96481" w:rsidRDefault="00A40874" w:rsidP="00F96481">
            <w:pPr>
              <w:pStyle w:val="TableParagraph"/>
              <w:rPr>
                <w:rFonts w:ascii="Calibri" w:hAnsi="Calibri" w:cs="Calibri"/>
                <w:sz w:val="24"/>
                <w:szCs w:val="24"/>
              </w:rPr>
            </w:pPr>
            <w:r>
              <w:rPr>
                <w:rFonts w:ascii="Calibri" w:hAnsi="Calibri" w:cs="Calibri"/>
                <w:sz w:val="24"/>
                <w:szCs w:val="24"/>
              </w:rPr>
              <w:t>The number of a</w:t>
            </w:r>
            <w:r w:rsidR="002B786F" w:rsidRPr="002B786F">
              <w:rPr>
                <w:rFonts w:ascii="Calibri" w:hAnsi="Calibri" w:cs="Calibri"/>
                <w:sz w:val="24"/>
                <w:szCs w:val="24"/>
              </w:rPr>
              <w:t>ll Significant, Serious and Major events declared by DWQR for the calendar year.</w:t>
            </w:r>
          </w:p>
        </w:tc>
      </w:tr>
      <w:tr w:rsidR="002A3ABC" w:rsidRPr="00845C40" w14:paraId="714CFA2E" w14:textId="77777777" w:rsidTr="00954233">
        <w:trPr>
          <w:trHeight w:val="293"/>
        </w:trPr>
        <w:tc>
          <w:tcPr>
            <w:tcW w:w="0" w:type="dxa"/>
          </w:tcPr>
          <w:p w14:paraId="13178EEF" w14:textId="433A3CE2" w:rsidR="00B1303F" w:rsidRPr="00F96481" w:rsidRDefault="00B1303F" w:rsidP="00F96481">
            <w:pPr>
              <w:pStyle w:val="TableParagraph"/>
              <w:rPr>
                <w:rFonts w:ascii="Calibri" w:hAnsi="Calibri" w:cs="Calibri"/>
                <w:sz w:val="24"/>
                <w:szCs w:val="24"/>
              </w:rPr>
            </w:pPr>
            <w:r w:rsidRPr="00954233">
              <w:rPr>
                <w:sz w:val="24"/>
                <w:szCs w:val="24"/>
              </w:rPr>
              <w:lastRenderedPageBreak/>
              <w:t>1.24</w:t>
            </w:r>
          </w:p>
        </w:tc>
        <w:tc>
          <w:tcPr>
            <w:tcW w:w="1843" w:type="dxa"/>
          </w:tcPr>
          <w:p w14:paraId="09D31D13" w14:textId="2C3E74F5" w:rsidR="00B1303F" w:rsidRPr="00F96481" w:rsidRDefault="00B1303F" w:rsidP="00F96481">
            <w:pPr>
              <w:pStyle w:val="TableParagraph"/>
              <w:rPr>
                <w:rFonts w:ascii="Calibri" w:hAnsi="Calibri" w:cs="Calibri"/>
                <w:color w:val="000000"/>
                <w:sz w:val="24"/>
                <w:szCs w:val="24"/>
              </w:rPr>
            </w:pPr>
            <w:r w:rsidRPr="00F96481">
              <w:rPr>
                <w:rFonts w:ascii="Calibri" w:hAnsi="Calibri" w:cs="Calibri"/>
                <w:color w:val="000000"/>
                <w:sz w:val="24"/>
                <w:szCs w:val="24"/>
              </w:rPr>
              <w:t>Internal sewer flooding</w:t>
            </w:r>
          </w:p>
        </w:tc>
        <w:tc>
          <w:tcPr>
            <w:tcW w:w="0" w:type="dxa"/>
          </w:tcPr>
          <w:p w14:paraId="030F28DD" w14:textId="7319A016" w:rsidR="00B1303F" w:rsidRPr="00F96481" w:rsidRDefault="00B1303F" w:rsidP="00F96481">
            <w:pPr>
              <w:pStyle w:val="TableParagraph"/>
              <w:rPr>
                <w:rFonts w:ascii="Calibri" w:hAnsi="Calibri" w:cs="Calibri"/>
                <w:color w:val="000000"/>
                <w:sz w:val="24"/>
                <w:szCs w:val="24"/>
              </w:rPr>
            </w:pPr>
            <w:r w:rsidRPr="00954233">
              <w:rPr>
                <w:sz w:val="24"/>
                <w:szCs w:val="24"/>
              </w:rPr>
              <w:t>Number of internal sewer flooding incidents*</w:t>
            </w:r>
          </w:p>
        </w:tc>
        <w:tc>
          <w:tcPr>
            <w:tcW w:w="1559" w:type="dxa"/>
          </w:tcPr>
          <w:p w14:paraId="779F5A48" w14:textId="391F57F7" w:rsidR="00B1303F" w:rsidRPr="00F96481" w:rsidRDefault="00B1303F" w:rsidP="00F96481">
            <w:pPr>
              <w:pStyle w:val="TableParagraph"/>
              <w:rPr>
                <w:rFonts w:ascii="Calibri" w:hAnsi="Calibri" w:cs="Calibri"/>
                <w:color w:val="000000"/>
                <w:sz w:val="24"/>
                <w:szCs w:val="24"/>
              </w:rPr>
            </w:pPr>
            <w:r w:rsidRPr="00F96481" w:rsidDel="00EE14EA">
              <w:rPr>
                <w:rFonts w:ascii="Calibri" w:hAnsi="Calibri" w:cs="Calibri"/>
                <w:color w:val="000000"/>
                <w:sz w:val="24"/>
                <w:szCs w:val="24"/>
              </w:rPr>
              <w:t>Number</w:t>
            </w:r>
          </w:p>
        </w:tc>
        <w:tc>
          <w:tcPr>
            <w:tcW w:w="7230" w:type="dxa"/>
          </w:tcPr>
          <w:p w14:paraId="281B9289" w14:textId="77777777" w:rsidR="006743A6" w:rsidRPr="006743A6" w:rsidRDefault="00B1303F" w:rsidP="006743A6">
            <w:pPr>
              <w:pStyle w:val="TableParagraph"/>
              <w:rPr>
                <w:rFonts w:ascii="Calibri" w:hAnsi="Calibri" w:cs="Calibri"/>
                <w:sz w:val="24"/>
                <w:szCs w:val="24"/>
              </w:rPr>
            </w:pPr>
            <w:r w:rsidRPr="00F96481">
              <w:rPr>
                <w:rFonts w:ascii="Calibri" w:hAnsi="Calibri" w:cs="Calibri"/>
                <w:sz w:val="24"/>
                <w:szCs w:val="24"/>
              </w:rPr>
              <w:t xml:space="preserve">The number of internal sewer flooding incidents </w:t>
            </w:r>
            <w:r w:rsidR="006743A6" w:rsidRPr="006743A6">
              <w:rPr>
                <w:rFonts w:ascii="Calibri" w:hAnsi="Calibri" w:cs="Calibri"/>
                <w:sz w:val="24"/>
                <w:szCs w:val="24"/>
              </w:rPr>
              <w:t xml:space="preserve">due to </w:t>
            </w:r>
            <w:r w:rsidRPr="00F96481">
              <w:rPr>
                <w:rFonts w:ascii="Calibri" w:hAnsi="Calibri" w:cs="Calibri"/>
                <w:sz w:val="24"/>
                <w:szCs w:val="24"/>
              </w:rPr>
              <w:t>Scottish Water assets</w:t>
            </w:r>
            <w:r w:rsidR="006743A6" w:rsidRPr="006743A6">
              <w:rPr>
                <w:rFonts w:ascii="Calibri" w:hAnsi="Calibri" w:cs="Calibri"/>
                <w:sz w:val="24"/>
                <w:szCs w:val="24"/>
              </w:rPr>
              <w:t>, including incidents where assets were overwhelmed by severe weather events,</w:t>
            </w:r>
            <w:r w:rsidRPr="00F96481" w:rsidDel="004A40FD">
              <w:rPr>
                <w:rFonts w:ascii="Calibri" w:hAnsi="Calibri" w:cs="Calibri"/>
                <w:sz w:val="24"/>
                <w:szCs w:val="24"/>
              </w:rPr>
              <w:t xml:space="preserve"> </w:t>
            </w:r>
            <w:r w:rsidRPr="00F96481">
              <w:rPr>
                <w:rFonts w:ascii="Calibri" w:hAnsi="Calibri" w:cs="Calibri"/>
                <w:sz w:val="24"/>
                <w:szCs w:val="24"/>
              </w:rPr>
              <w:t xml:space="preserve">per 10,000 sewer connections. </w:t>
            </w:r>
          </w:p>
          <w:p w14:paraId="44D15DBF" w14:textId="77777777" w:rsidR="006743A6" w:rsidRPr="006743A6" w:rsidRDefault="006743A6" w:rsidP="006743A6">
            <w:pPr>
              <w:pStyle w:val="TableParagraph"/>
              <w:rPr>
                <w:rFonts w:ascii="Calibri" w:hAnsi="Calibri" w:cs="Calibri"/>
                <w:sz w:val="24"/>
                <w:szCs w:val="24"/>
              </w:rPr>
            </w:pPr>
          </w:p>
          <w:p w14:paraId="28DD49CB" w14:textId="7AF7DB85" w:rsidR="006743A6" w:rsidRPr="006743A6" w:rsidRDefault="00B1303F" w:rsidP="006743A6">
            <w:pPr>
              <w:pStyle w:val="TableParagraph"/>
              <w:rPr>
                <w:rFonts w:ascii="Calibri" w:hAnsi="Calibri" w:cs="Calibri"/>
                <w:sz w:val="24"/>
                <w:szCs w:val="24"/>
              </w:rPr>
            </w:pPr>
            <w:r w:rsidRPr="00F96481">
              <w:rPr>
                <w:rFonts w:ascii="Calibri" w:hAnsi="Calibri" w:cs="Calibri"/>
                <w:sz w:val="24"/>
                <w:szCs w:val="24"/>
              </w:rPr>
              <w:t>This measure includes flooding due to overloaded sewers (hydraulic flooding</w:t>
            </w:r>
            <w:r w:rsidR="006743A6" w:rsidRPr="006743A6">
              <w:rPr>
                <w:rFonts w:ascii="Calibri" w:hAnsi="Calibri" w:cs="Calibri"/>
                <w:sz w:val="24"/>
                <w:szCs w:val="24"/>
              </w:rPr>
              <w:t>- FOS</w:t>
            </w:r>
            <w:r w:rsidRPr="00F96481">
              <w:rPr>
                <w:rFonts w:ascii="Calibri" w:hAnsi="Calibri" w:cs="Calibri"/>
                <w:sz w:val="24"/>
                <w:szCs w:val="24"/>
              </w:rPr>
              <w:t xml:space="preserve">) and due to other causes (Flooding Other Causes - FOC). </w:t>
            </w:r>
          </w:p>
          <w:p w14:paraId="4C64CABC" w14:textId="77777777" w:rsidR="006743A6" w:rsidRPr="006743A6" w:rsidRDefault="006743A6" w:rsidP="006743A6">
            <w:pPr>
              <w:pStyle w:val="TableParagraph"/>
              <w:rPr>
                <w:rFonts w:ascii="Calibri" w:hAnsi="Calibri" w:cs="Calibri"/>
                <w:sz w:val="24"/>
                <w:szCs w:val="24"/>
              </w:rPr>
            </w:pPr>
          </w:p>
          <w:p w14:paraId="2A3B4907" w14:textId="7B96E9E6" w:rsidR="00B1303F" w:rsidRDefault="006743A6" w:rsidP="006743A6">
            <w:pPr>
              <w:pStyle w:val="TableParagraph"/>
              <w:rPr>
                <w:rFonts w:ascii="Calibri" w:hAnsi="Calibri" w:cs="Calibri"/>
                <w:sz w:val="24"/>
                <w:szCs w:val="24"/>
              </w:rPr>
            </w:pPr>
            <w:r w:rsidRPr="006743A6">
              <w:rPr>
                <w:rFonts w:ascii="Calibri" w:hAnsi="Calibri" w:cs="Calibri"/>
                <w:sz w:val="24"/>
                <w:szCs w:val="24"/>
              </w:rPr>
              <w:t xml:space="preserve">For the purpose of this </w:t>
            </w:r>
            <w:r w:rsidR="007B1FAD">
              <w:rPr>
                <w:rFonts w:ascii="Calibri" w:hAnsi="Calibri" w:cs="Calibri"/>
                <w:sz w:val="24"/>
                <w:szCs w:val="24"/>
              </w:rPr>
              <w:t>outcome measure</w:t>
            </w:r>
            <w:r w:rsidRPr="006743A6">
              <w:rPr>
                <w:rFonts w:ascii="Calibri" w:hAnsi="Calibri" w:cs="Calibri"/>
                <w:sz w:val="24"/>
                <w:szCs w:val="24"/>
              </w:rPr>
              <w:t>, a</w:t>
            </w:r>
            <w:r w:rsidR="00B1303F" w:rsidRPr="00F96481">
              <w:rPr>
                <w:rFonts w:ascii="Calibri" w:hAnsi="Calibri" w:cs="Calibri"/>
                <w:sz w:val="24"/>
                <w:szCs w:val="24"/>
              </w:rPr>
              <w:t xml:space="preserve"> flooding </w:t>
            </w:r>
            <w:r w:rsidRPr="006743A6">
              <w:rPr>
                <w:rFonts w:ascii="Calibri" w:hAnsi="Calibri" w:cs="Calibri"/>
                <w:sz w:val="24"/>
                <w:szCs w:val="24"/>
              </w:rPr>
              <w:t>incident means the total number of properties flooded during each flooding event from a Scottish Water sewer.</w:t>
            </w:r>
          </w:p>
          <w:p w14:paraId="088B0BBD" w14:textId="77777777" w:rsidR="00861BDC" w:rsidRDefault="00861BDC" w:rsidP="006743A6">
            <w:pPr>
              <w:pStyle w:val="TableParagraph"/>
              <w:rPr>
                <w:rFonts w:ascii="Calibri" w:hAnsi="Calibri" w:cs="Calibri"/>
                <w:sz w:val="24"/>
                <w:szCs w:val="24"/>
              </w:rPr>
            </w:pPr>
          </w:p>
          <w:p w14:paraId="37577E9C" w14:textId="117E3911" w:rsidR="00B1303F" w:rsidRPr="00F96481" w:rsidRDefault="00B93633" w:rsidP="00F96481">
            <w:pPr>
              <w:pStyle w:val="TableParagraph"/>
              <w:rPr>
                <w:rFonts w:ascii="Calibri" w:hAnsi="Calibri" w:cs="Calibri"/>
                <w:sz w:val="24"/>
                <w:szCs w:val="24"/>
              </w:rPr>
            </w:pPr>
            <w:r>
              <w:rPr>
                <w:rFonts w:ascii="Calibri" w:hAnsi="Calibri" w:cs="Calibri"/>
                <w:sz w:val="24"/>
                <w:szCs w:val="24"/>
              </w:rPr>
              <w:t xml:space="preserve">The forecast provided </w:t>
            </w:r>
            <w:r w:rsidR="00861BDC">
              <w:rPr>
                <w:rFonts w:ascii="Calibri" w:hAnsi="Calibri" w:cs="Calibri"/>
                <w:sz w:val="24"/>
                <w:szCs w:val="24"/>
              </w:rPr>
              <w:t xml:space="preserve">in the </w:t>
            </w:r>
            <w:r w:rsidR="00991741">
              <w:rPr>
                <w:rFonts w:ascii="Calibri" w:hAnsi="Calibri" w:cs="Calibri"/>
                <w:sz w:val="24"/>
                <w:szCs w:val="24"/>
              </w:rPr>
              <w:t>business plan should include flooding incidents due to severe weather.</w:t>
            </w:r>
            <w:r w:rsidR="003E546C">
              <w:rPr>
                <w:rFonts w:ascii="Calibri" w:hAnsi="Calibri" w:cs="Calibri"/>
                <w:sz w:val="24"/>
                <w:szCs w:val="24"/>
              </w:rPr>
              <w:t xml:space="preserve"> Recognising </w:t>
            </w:r>
            <w:r w:rsidR="005F214B">
              <w:rPr>
                <w:rFonts w:ascii="Calibri" w:hAnsi="Calibri" w:cs="Calibri"/>
                <w:sz w:val="24"/>
                <w:szCs w:val="24"/>
              </w:rPr>
              <w:t>that</w:t>
            </w:r>
            <w:r w:rsidR="003E546C">
              <w:rPr>
                <w:rFonts w:ascii="Calibri" w:hAnsi="Calibri" w:cs="Calibri"/>
                <w:sz w:val="24"/>
                <w:szCs w:val="24"/>
              </w:rPr>
              <w:t xml:space="preserve"> forecasting flooding </w:t>
            </w:r>
            <w:r w:rsidR="00695AE5">
              <w:rPr>
                <w:rFonts w:ascii="Calibri" w:hAnsi="Calibri" w:cs="Calibri"/>
                <w:sz w:val="24"/>
                <w:szCs w:val="24"/>
              </w:rPr>
              <w:t>incidents</w:t>
            </w:r>
            <w:r w:rsidR="003E546C">
              <w:rPr>
                <w:rFonts w:ascii="Calibri" w:hAnsi="Calibri" w:cs="Calibri"/>
                <w:sz w:val="24"/>
                <w:szCs w:val="24"/>
              </w:rPr>
              <w:t xml:space="preserve"> due to severe weather</w:t>
            </w:r>
            <w:r w:rsidR="005F214B">
              <w:rPr>
                <w:rFonts w:ascii="Calibri" w:hAnsi="Calibri" w:cs="Calibri"/>
                <w:sz w:val="24"/>
                <w:szCs w:val="24"/>
              </w:rPr>
              <w:t xml:space="preserve"> </w:t>
            </w:r>
            <w:r w:rsidR="00927276">
              <w:rPr>
                <w:rFonts w:ascii="Calibri" w:hAnsi="Calibri" w:cs="Calibri"/>
                <w:sz w:val="24"/>
                <w:szCs w:val="24"/>
              </w:rPr>
              <w:t xml:space="preserve">events will </w:t>
            </w:r>
            <w:r w:rsidR="005F214B">
              <w:rPr>
                <w:rFonts w:ascii="Calibri" w:hAnsi="Calibri" w:cs="Calibri"/>
                <w:sz w:val="24"/>
                <w:szCs w:val="24"/>
              </w:rPr>
              <w:t>involve more uncertainty</w:t>
            </w:r>
            <w:r w:rsidR="0007279F">
              <w:rPr>
                <w:rFonts w:ascii="Calibri" w:hAnsi="Calibri" w:cs="Calibri"/>
                <w:sz w:val="24"/>
                <w:szCs w:val="24"/>
              </w:rPr>
              <w:t xml:space="preserve"> given climate change</w:t>
            </w:r>
            <w:r w:rsidR="003E546C">
              <w:rPr>
                <w:rFonts w:ascii="Calibri" w:hAnsi="Calibri" w:cs="Calibri"/>
                <w:sz w:val="24"/>
                <w:szCs w:val="24"/>
              </w:rPr>
              <w:t xml:space="preserve">, Scottish Water may specify </w:t>
            </w:r>
            <w:r w:rsidR="00FA568B">
              <w:rPr>
                <w:rFonts w:ascii="Calibri" w:hAnsi="Calibri" w:cs="Calibri"/>
                <w:sz w:val="24"/>
                <w:szCs w:val="24"/>
              </w:rPr>
              <w:t>its forecast of the number of incidents arising due to severe weather</w:t>
            </w:r>
            <w:r w:rsidR="00BA6743">
              <w:rPr>
                <w:rFonts w:ascii="Calibri" w:hAnsi="Calibri" w:cs="Calibri"/>
                <w:sz w:val="24"/>
                <w:szCs w:val="24"/>
              </w:rPr>
              <w:t xml:space="preserve"> events</w:t>
            </w:r>
            <w:r w:rsidR="00927276">
              <w:rPr>
                <w:rFonts w:ascii="Calibri" w:hAnsi="Calibri" w:cs="Calibri"/>
                <w:sz w:val="24"/>
                <w:szCs w:val="24"/>
              </w:rPr>
              <w:t xml:space="preserve"> in its commentary</w:t>
            </w:r>
            <w:r w:rsidR="002167DC">
              <w:rPr>
                <w:rFonts w:ascii="Calibri" w:hAnsi="Calibri" w:cs="Calibri"/>
                <w:sz w:val="24"/>
                <w:szCs w:val="24"/>
              </w:rPr>
              <w:t xml:space="preserve">. </w:t>
            </w:r>
          </w:p>
        </w:tc>
      </w:tr>
      <w:tr w:rsidR="002A3ABC" w:rsidRPr="00845C40" w14:paraId="33367811" w14:textId="77777777" w:rsidTr="00954233">
        <w:trPr>
          <w:trHeight w:val="293"/>
        </w:trPr>
        <w:tc>
          <w:tcPr>
            <w:tcW w:w="0" w:type="dxa"/>
          </w:tcPr>
          <w:p w14:paraId="64ABFE20" w14:textId="476E9B86" w:rsidR="00B1303F" w:rsidRPr="00F96481" w:rsidRDefault="00B1303F" w:rsidP="00F96481">
            <w:pPr>
              <w:pStyle w:val="TableParagraph"/>
              <w:rPr>
                <w:rFonts w:ascii="Calibri" w:hAnsi="Calibri" w:cs="Calibri"/>
                <w:sz w:val="24"/>
                <w:szCs w:val="24"/>
              </w:rPr>
            </w:pPr>
            <w:r w:rsidRPr="00954233">
              <w:rPr>
                <w:sz w:val="24"/>
                <w:szCs w:val="24"/>
              </w:rPr>
              <w:t>1.25</w:t>
            </w:r>
          </w:p>
        </w:tc>
        <w:tc>
          <w:tcPr>
            <w:tcW w:w="0" w:type="dxa"/>
          </w:tcPr>
          <w:p w14:paraId="3540EBEA" w14:textId="79513BB8" w:rsidR="00B1303F" w:rsidRPr="00F96481" w:rsidRDefault="00B1303F"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Internal sewer </w:t>
            </w:r>
            <w:r w:rsidRPr="00F96481" w:rsidDel="00EE14EA">
              <w:rPr>
                <w:rFonts w:ascii="Calibri" w:hAnsi="Calibri" w:cs="Calibri"/>
                <w:color w:val="000000"/>
                <w:sz w:val="24"/>
                <w:szCs w:val="24"/>
              </w:rPr>
              <w:t>flooding</w:t>
            </w:r>
          </w:p>
        </w:tc>
        <w:tc>
          <w:tcPr>
            <w:tcW w:w="2693" w:type="dxa"/>
          </w:tcPr>
          <w:p w14:paraId="16A74521" w14:textId="3C6D0318" w:rsidR="00B1303F" w:rsidRPr="00F96481" w:rsidRDefault="00B1303F" w:rsidP="00F96481">
            <w:pPr>
              <w:pStyle w:val="TableParagraph"/>
              <w:rPr>
                <w:rFonts w:ascii="Calibri" w:hAnsi="Calibri" w:cs="Calibri"/>
                <w:color w:val="000000"/>
                <w:sz w:val="24"/>
                <w:szCs w:val="24"/>
              </w:rPr>
            </w:pPr>
            <w:r w:rsidRPr="00954233">
              <w:rPr>
                <w:sz w:val="24"/>
                <w:szCs w:val="24"/>
              </w:rPr>
              <w:t>Number of properties at risk of internal flooding</w:t>
            </w:r>
          </w:p>
        </w:tc>
        <w:tc>
          <w:tcPr>
            <w:tcW w:w="1559" w:type="dxa"/>
          </w:tcPr>
          <w:p w14:paraId="2A13C3A7" w14:textId="3D1C964C" w:rsidR="00B1303F" w:rsidRPr="00F96481" w:rsidRDefault="00B1303F" w:rsidP="00F96481">
            <w:pPr>
              <w:pStyle w:val="TableParagraph"/>
              <w:rPr>
                <w:rFonts w:ascii="Calibri" w:hAnsi="Calibri" w:cs="Calibri"/>
                <w:color w:val="000000"/>
                <w:sz w:val="24"/>
                <w:szCs w:val="24"/>
              </w:rPr>
            </w:pPr>
            <w:r w:rsidRPr="00F96481" w:rsidDel="00EE14EA">
              <w:rPr>
                <w:rFonts w:ascii="Calibri" w:hAnsi="Calibri" w:cs="Calibri"/>
                <w:color w:val="000000"/>
                <w:sz w:val="24"/>
                <w:szCs w:val="24"/>
              </w:rPr>
              <w:t>Number</w:t>
            </w:r>
          </w:p>
        </w:tc>
        <w:tc>
          <w:tcPr>
            <w:tcW w:w="7230" w:type="dxa"/>
          </w:tcPr>
          <w:p w14:paraId="5345AE24" w14:textId="0CBEAEA4" w:rsidR="00B1303F" w:rsidRPr="00F96481" w:rsidRDefault="00B1303F" w:rsidP="00F96481">
            <w:pPr>
              <w:pStyle w:val="TableParagraph"/>
              <w:rPr>
                <w:rFonts w:ascii="Calibri" w:hAnsi="Calibri" w:cs="Calibri"/>
                <w:sz w:val="24"/>
                <w:szCs w:val="24"/>
              </w:rPr>
            </w:pPr>
            <w:r w:rsidRPr="00F96481">
              <w:rPr>
                <w:rFonts w:ascii="Calibri" w:hAnsi="Calibri" w:cs="Calibri"/>
                <w:sz w:val="24"/>
                <w:szCs w:val="24"/>
              </w:rPr>
              <w:t>The number of properties at risk of internal sewer flooding incidents per 10,000 sewer connections.</w:t>
            </w:r>
          </w:p>
        </w:tc>
      </w:tr>
      <w:tr w:rsidR="002A3ABC" w:rsidRPr="00845C40" w14:paraId="1EA1E9AF" w14:textId="77777777" w:rsidTr="00954233">
        <w:trPr>
          <w:trHeight w:val="293"/>
        </w:trPr>
        <w:tc>
          <w:tcPr>
            <w:tcW w:w="0" w:type="dxa"/>
          </w:tcPr>
          <w:p w14:paraId="4BA8E79C" w14:textId="0A3E7291" w:rsidR="00B1303F" w:rsidRPr="00F96481" w:rsidRDefault="00B1303F" w:rsidP="00F96481">
            <w:pPr>
              <w:pStyle w:val="TableParagraph"/>
              <w:rPr>
                <w:rFonts w:ascii="Calibri" w:hAnsi="Calibri" w:cs="Calibri"/>
                <w:sz w:val="24"/>
                <w:szCs w:val="24"/>
              </w:rPr>
            </w:pPr>
            <w:r w:rsidRPr="00954233">
              <w:rPr>
                <w:sz w:val="24"/>
                <w:szCs w:val="24"/>
              </w:rPr>
              <w:t>1.26</w:t>
            </w:r>
          </w:p>
        </w:tc>
        <w:tc>
          <w:tcPr>
            <w:tcW w:w="0" w:type="dxa"/>
          </w:tcPr>
          <w:p w14:paraId="29CA37CC" w14:textId="48282A2C" w:rsidR="00B1303F" w:rsidRPr="00F96481" w:rsidRDefault="00B1303F"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External sewer </w:t>
            </w:r>
            <w:r w:rsidRPr="00F96481" w:rsidDel="00EE14EA">
              <w:rPr>
                <w:rFonts w:ascii="Calibri" w:hAnsi="Calibri" w:cs="Calibri"/>
                <w:color w:val="000000"/>
                <w:sz w:val="24"/>
                <w:szCs w:val="24"/>
              </w:rPr>
              <w:t>flooding</w:t>
            </w:r>
          </w:p>
        </w:tc>
        <w:tc>
          <w:tcPr>
            <w:tcW w:w="2693" w:type="dxa"/>
          </w:tcPr>
          <w:p w14:paraId="4DCB44B5" w14:textId="321AF010" w:rsidR="00B1303F" w:rsidRPr="00F96481" w:rsidRDefault="00B1303F" w:rsidP="00F96481">
            <w:pPr>
              <w:pStyle w:val="TableParagraph"/>
              <w:rPr>
                <w:rFonts w:ascii="Calibri" w:hAnsi="Calibri" w:cs="Calibri"/>
                <w:color w:val="000000"/>
                <w:sz w:val="24"/>
                <w:szCs w:val="24"/>
              </w:rPr>
            </w:pPr>
            <w:r w:rsidRPr="00954233">
              <w:rPr>
                <w:sz w:val="24"/>
                <w:szCs w:val="24"/>
              </w:rPr>
              <w:t>Number of external sewer flooding</w:t>
            </w:r>
          </w:p>
        </w:tc>
        <w:tc>
          <w:tcPr>
            <w:tcW w:w="1559" w:type="dxa"/>
          </w:tcPr>
          <w:p w14:paraId="0A17A50E" w14:textId="4E786250" w:rsidR="00B1303F" w:rsidRPr="00F96481" w:rsidRDefault="00B1303F" w:rsidP="00F96481">
            <w:pPr>
              <w:pStyle w:val="TableParagraph"/>
              <w:rPr>
                <w:rFonts w:ascii="Calibri" w:hAnsi="Calibri" w:cs="Calibri"/>
                <w:color w:val="000000"/>
                <w:sz w:val="24"/>
                <w:szCs w:val="24"/>
              </w:rPr>
            </w:pPr>
            <w:r w:rsidRPr="00F96481" w:rsidDel="00EE14EA">
              <w:rPr>
                <w:rFonts w:ascii="Calibri" w:hAnsi="Calibri" w:cs="Calibri"/>
                <w:color w:val="000000"/>
                <w:sz w:val="24"/>
                <w:szCs w:val="24"/>
              </w:rPr>
              <w:t>Number</w:t>
            </w:r>
          </w:p>
        </w:tc>
        <w:tc>
          <w:tcPr>
            <w:tcW w:w="7230" w:type="dxa"/>
          </w:tcPr>
          <w:p w14:paraId="400C7530" w14:textId="77777777" w:rsidR="006A616A" w:rsidRPr="006A616A" w:rsidRDefault="00B1303F" w:rsidP="006A616A">
            <w:pPr>
              <w:pStyle w:val="TableParagraph"/>
              <w:rPr>
                <w:rFonts w:ascii="Calibri" w:hAnsi="Calibri" w:cs="Calibri"/>
                <w:sz w:val="24"/>
                <w:szCs w:val="24"/>
              </w:rPr>
            </w:pPr>
            <w:r w:rsidRPr="00F96481">
              <w:rPr>
                <w:rFonts w:ascii="Calibri" w:hAnsi="Calibri" w:cs="Calibri"/>
                <w:sz w:val="24"/>
                <w:szCs w:val="24"/>
              </w:rPr>
              <w:t xml:space="preserve">The number of external sewer flooding incidents </w:t>
            </w:r>
            <w:r w:rsidR="006A616A" w:rsidRPr="006A616A">
              <w:rPr>
                <w:rFonts w:ascii="Calibri" w:hAnsi="Calibri" w:cs="Calibri"/>
                <w:sz w:val="24"/>
                <w:szCs w:val="24"/>
              </w:rPr>
              <w:t xml:space="preserve">due to </w:t>
            </w:r>
            <w:r w:rsidRPr="00F96481">
              <w:rPr>
                <w:rFonts w:ascii="Calibri" w:hAnsi="Calibri" w:cs="Calibri"/>
                <w:sz w:val="24"/>
                <w:szCs w:val="24"/>
              </w:rPr>
              <w:t>Scottish Water assets</w:t>
            </w:r>
            <w:r w:rsidR="006A616A" w:rsidRPr="006A616A">
              <w:rPr>
                <w:rFonts w:ascii="Calibri" w:hAnsi="Calibri" w:cs="Calibri"/>
                <w:sz w:val="24"/>
                <w:szCs w:val="24"/>
              </w:rPr>
              <w:t>, including incidents where assets were overwhelmed by severe weather events,</w:t>
            </w:r>
            <w:r w:rsidRPr="00F96481">
              <w:rPr>
                <w:rFonts w:ascii="Calibri" w:hAnsi="Calibri" w:cs="Calibri"/>
                <w:sz w:val="24"/>
                <w:szCs w:val="24"/>
              </w:rPr>
              <w:t xml:space="preserve"> per 10,000 sewer connections. This measure includes flooding due to overloaded sewers (hydraulic flooding) and due to other causes (Flooding Other Causes </w:t>
            </w:r>
            <w:r w:rsidR="006A616A" w:rsidRPr="006A616A">
              <w:rPr>
                <w:rFonts w:ascii="Calibri" w:hAnsi="Calibri" w:cs="Calibri"/>
                <w:sz w:val="24"/>
                <w:szCs w:val="24"/>
              </w:rPr>
              <w:t xml:space="preserve"> </w:t>
            </w:r>
            <w:r w:rsidRPr="00F96481">
              <w:rPr>
                <w:rFonts w:ascii="Calibri" w:hAnsi="Calibri" w:cs="Calibri"/>
                <w:sz w:val="24"/>
                <w:szCs w:val="24"/>
              </w:rPr>
              <w:t xml:space="preserve">- FOC). </w:t>
            </w:r>
          </w:p>
          <w:p w14:paraId="38F88143" w14:textId="77777777" w:rsidR="006A616A" w:rsidRPr="006A616A" w:rsidRDefault="006A616A" w:rsidP="006A616A">
            <w:pPr>
              <w:pStyle w:val="TableParagraph"/>
              <w:rPr>
                <w:rFonts w:ascii="Calibri" w:hAnsi="Calibri" w:cs="Calibri"/>
                <w:sz w:val="24"/>
                <w:szCs w:val="24"/>
              </w:rPr>
            </w:pPr>
          </w:p>
          <w:p w14:paraId="5423687C" w14:textId="74E17359" w:rsidR="00C87308" w:rsidRDefault="006A616A" w:rsidP="003C5BB8">
            <w:pPr>
              <w:pStyle w:val="TableParagraph"/>
              <w:rPr>
                <w:rFonts w:ascii="Calibri" w:hAnsi="Calibri" w:cs="Calibri"/>
                <w:sz w:val="24"/>
                <w:szCs w:val="24"/>
              </w:rPr>
            </w:pPr>
            <w:r w:rsidRPr="006A616A">
              <w:rPr>
                <w:rFonts w:ascii="Calibri" w:hAnsi="Calibri" w:cs="Calibri"/>
                <w:sz w:val="24"/>
                <w:szCs w:val="24"/>
              </w:rPr>
              <w:t xml:space="preserve">For the purpose of this </w:t>
            </w:r>
            <w:r w:rsidR="008554C1">
              <w:rPr>
                <w:rFonts w:ascii="Calibri" w:hAnsi="Calibri" w:cs="Calibri"/>
                <w:sz w:val="24"/>
                <w:szCs w:val="24"/>
              </w:rPr>
              <w:t>outcome</w:t>
            </w:r>
            <w:r w:rsidRPr="006A616A">
              <w:rPr>
                <w:rFonts w:ascii="Calibri" w:hAnsi="Calibri" w:cs="Calibri"/>
                <w:sz w:val="24"/>
                <w:szCs w:val="24"/>
              </w:rPr>
              <w:t xml:space="preserve"> </w:t>
            </w:r>
            <w:r>
              <w:rPr>
                <w:rFonts w:ascii="Calibri" w:hAnsi="Calibri" w:cs="Calibri"/>
                <w:sz w:val="24"/>
                <w:szCs w:val="24"/>
              </w:rPr>
              <w:t>measure</w:t>
            </w:r>
            <w:r w:rsidRPr="006A616A">
              <w:rPr>
                <w:rFonts w:ascii="Calibri" w:hAnsi="Calibri" w:cs="Calibri"/>
                <w:sz w:val="24"/>
                <w:szCs w:val="24"/>
              </w:rPr>
              <w:t xml:space="preserve">, a flooding incident means </w:t>
            </w:r>
            <w:r w:rsidRPr="006A616A">
              <w:rPr>
                <w:rFonts w:ascii="Calibri" w:hAnsi="Calibri" w:cs="Calibri"/>
                <w:sz w:val="24"/>
                <w:szCs w:val="24"/>
              </w:rPr>
              <w:lastRenderedPageBreak/>
              <w:t>the total number of areas flooded during each flooding event from a Scottish Water sewer.</w:t>
            </w:r>
            <w:r w:rsidR="00DB3BA8" w:rsidRPr="00F96481">
              <w:rPr>
                <w:rFonts w:ascii="Calibri" w:hAnsi="Calibri" w:cs="Calibri"/>
                <w:sz w:val="24"/>
                <w:szCs w:val="24"/>
              </w:rPr>
              <w:t xml:space="preserve"> </w:t>
            </w:r>
          </w:p>
          <w:p w14:paraId="7293AF3C" w14:textId="77777777" w:rsidR="00C87308" w:rsidRDefault="00C87308" w:rsidP="003C5BB8">
            <w:pPr>
              <w:pStyle w:val="TableParagraph"/>
              <w:rPr>
                <w:rFonts w:ascii="Calibri" w:hAnsi="Calibri" w:cs="Calibri"/>
                <w:sz w:val="24"/>
                <w:szCs w:val="24"/>
              </w:rPr>
            </w:pPr>
          </w:p>
          <w:p w14:paraId="2148E016" w14:textId="7B60825B" w:rsidR="00B1303F" w:rsidRDefault="00B1303F" w:rsidP="003C5BB8">
            <w:pPr>
              <w:pStyle w:val="TableParagraph"/>
              <w:rPr>
                <w:rFonts w:ascii="Calibri" w:hAnsi="Calibri" w:cs="Calibri"/>
                <w:sz w:val="24"/>
                <w:szCs w:val="24"/>
              </w:rPr>
            </w:pPr>
            <w:r w:rsidRPr="00F96481">
              <w:rPr>
                <w:rFonts w:ascii="Calibri" w:hAnsi="Calibri" w:cs="Calibri"/>
                <w:sz w:val="24"/>
                <w:szCs w:val="24"/>
              </w:rPr>
              <w:t xml:space="preserve">It includes </w:t>
            </w:r>
            <w:r w:rsidR="00DB3BA8" w:rsidRPr="003C5BB8">
              <w:rPr>
                <w:rFonts w:ascii="Calibri" w:hAnsi="Calibri" w:cs="Calibri"/>
                <w:sz w:val="24"/>
                <w:szCs w:val="24"/>
              </w:rPr>
              <w:t xml:space="preserve">all areas inside and outside property </w:t>
            </w:r>
            <w:r w:rsidR="00C87308" w:rsidRPr="003C5BB8">
              <w:rPr>
                <w:rFonts w:ascii="Calibri" w:hAnsi="Calibri" w:cs="Calibri"/>
                <w:sz w:val="24"/>
                <w:szCs w:val="24"/>
              </w:rPr>
              <w:t>curtilage</w:t>
            </w:r>
            <w:r w:rsidR="00C87308">
              <w:rPr>
                <w:rFonts w:ascii="Calibri" w:hAnsi="Calibri" w:cs="Calibri"/>
                <w:sz w:val="24"/>
                <w:szCs w:val="24"/>
              </w:rPr>
              <w:t xml:space="preserve"> and areas such as roads, highways, and public amenities</w:t>
            </w:r>
            <w:r w:rsidRPr="00F96481">
              <w:rPr>
                <w:rFonts w:ascii="Calibri" w:hAnsi="Calibri" w:cs="Calibri"/>
                <w:sz w:val="24"/>
                <w:szCs w:val="24"/>
              </w:rPr>
              <w:t>.</w:t>
            </w:r>
          </w:p>
          <w:p w14:paraId="6986637C" w14:textId="77777777" w:rsidR="00991741" w:rsidRDefault="00991741" w:rsidP="003C5BB8">
            <w:pPr>
              <w:pStyle w:val="TableParagraph"/>
              <w:rPr>
                <w:rFonts w:ascii="Calibri" w:hAnsi="Calibri" w:cs="Calibri"/>
                <w:sz w:val="24"/>
                <w:szCs w:val="24"/>
              </w:rPr>
            </w:pPr>
          </w:p>
          <w:p w14:paraId="4823C0A2" w14:textId="5DBFE291" w:rsidR="00B1303F" w:rsidRPr="00F96481" w:rsidRDefault="00F94E2D" w:rsidP="00F96481">
            <w:pPr>
              <w:pStyle w:val="TableParagraph"/>
              <w:rPr>
                <w:rFonts w:ascii="Calibri" w:hAnsi="Calibri" w:cs="Calibri"/>
                <w:sz w:val="24"/>
                <w:szCs w:val="24"/>
              </w:rPr>
            </w:pPr>
            <w:r>
              <w:rPr>
                <w:rFonts w:ascii="Calibri" w:hAnsi="Calibri" w:cs="Calibri"/>
                <w:sz w:val="24"/>
                <w:szCs w:val="24"/>
              </w:rPr>
              <w:t>The f</w:t>
            </w:r>
            <w:r w:rsidR="00991741">
              <w:rPr>
                <w:rFonts w:ascii="Calibri" w:hAnsi="Calibri" w:cs="Calibri"/>
                <w:sz w:val="24"/>
                <w:szCs w:val="24"/>
              </w:rPr>
              <w:t>orecast</w:t>
            </w:r>
            <w:r>
              <w:rPr>
                <w:rFonts w:ascii="Calibri" w:hAnsi="Calibri" w:cs="Calibri"/>
                <w:sz w:val="24"/>
                <w:szCs w:val="24"/>
              </w:rPr>
              <w:t xml:space="preserve"> provided</w:t>
            </w:r>
            <w:r w:rsidR="00991741">
              <w:rPr>
                <w:rFonts w:ascii="Calibri" w:hAnsi="Calibri" w:cs="Calibri"/>
                <w:sz w:val="24"/>
                <w:szCs w:val="24"/>
              </w:rPr>
              <w:t xml:space="preserve"> in the business plan should include flooding incidents due to severe weather.</w:t>
            </w:r>
            <w:r w:rsidR="002167DC">
              <w:rPr>
                <w:rFonts w:ascii="Calibri" w:hAnsi="Calibri" w:cs="Calibri"/>
                <w:sz w:val="24"/>
                <w:szCs w:val="24"/>
              </w:rPr>
              <w:t xml:space="preserve"> </w:t>
            </w:r>
            <w:r w:rsidR="00D04A2D">
              <w:rPr>
                <w:rFonts w:ascii="Calibri" w:hAnsi="Calibri" w:cs="Calibri"/>
                <w:sz w:val="24"/>
                <w:szCs w:val="24"/>
              </w:rPr>
              <w:t xml:space="preserve">Recognising that forecasting flooding incidents due to severe weather events will involve more uncertainty given climate change, Scottish Water may specify its forecast of the number of incidents arising due to severe weather events in its commentary. </w:t>
            </w:r>
          </w:p>
        </w:tc>
      </w:tr>
      <w:tr w:rsidR="002A3ABC" w:rsidRPr="00845C40" w14:paraId="29E3BBF0" w14:textId="77777777" w:rsidTr="00954233">
        <w:trPr>
          <w:trHeight w:val="293"/>
        </w:trPr>
        <w:tc>
          <w:tcPr>
            <w:tcW w:w="0" w:type="dxa"/>
          </w:tcPr>
          <w:p w14:paraId="448EA874" w14:textId="4075E175" w:rsidR="00B1303F" w:rsidRPr="00F96481" w:rsidRDefault="00B1303F" w:rsidP="00F96481">
            <w:pPr>
              <w:pStyle w:val="TableParagraph"/>
              <w:rPr>
                <w:rFonts w:ascii="Calibri" w:hAnsi="Calibri" w:cs="Calibri"/>
                <w:sz w:val="24"/>
                <w:szCs w:val="24"/>
              </w:rPr>
            </w:pPr>
            <w:r w:rsidRPr="00954233">
              <w:rPr>
                <w:sz w:val="24"/>
                <w:szCs w:val="24"/>
              </w:rPr>
              <w:lastRenderedPageBreak/>
              <w:t>1.27</w:t>
            </w:r>
          </w:p>
        </w:tc>
        <w:tc>
          <w:tcPr>
            <w:tcW w:w="1843" w:type="dxa"/>
          </w:tcPr>
          <w:p w14:paraId="2FE147BA" w14:textId="05571DD9" w:rsidR="00B1303F" w:rsidRPr="00F96481" w:rsidRDefault="00B1303F"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External sewer </w:t>
            </w:r>
            <w:r w:rsidRPr="00F96481" w:rsidDel="00EE14EA">
              <w:rPr>
                <w:rFonts w:ascii="Calibri" w:hAnsi="Calibri" w:cs="Calibri"/>
                <w:color w:val="000000"/>
                <w:sz w:val="24"/>
                <w:szCs w:val="24"/>
              </w:rPr>
              <w:t>flooding</w:t>
            </w:r>
          </w:p>
        </w:tc>
        <w:tc>
          <w:tcPr>
            <w:tcW w:w="0" w:type="dxa"/>
          </w:tcPr>
          <w:p w14:paraId="70897F63" w14:textId="7A20C739" w:rsidR="00B1303F" w:rsidRPr="00F96481" w:rsidRDefault="00B1303F" w:rsidP="00F96481">
            <w:pPr>
              <w:pStyle w:val="TableParagraph"/>
              <w:rPr>
                <w:rFonts w:ascii="Calibri" w:hAnsi="Calibri" w:cs="Calibri"/>
                <w:color w:val="000000"/>
                <w:sz w:val="24"/>
                <w:szCs w:val="24"/>
              </w:rPr>
            </w:pPr>
            <w:r w:rsidRPr="00954233">
              <w:rPr>
                <w:sz w:val="24"/>
                <w:szCs w:val="24"/>
              </w:rPr>
              <w:t>Number of properties at risk of external flooding</w:t>
            </w:r>
          </w:p>
        </w:tc>
        <w:tc>
          <w:tcPr>
            <w:tcW w:w="1559" w:type="dxa"/>
          </w:tcPr>
          <w:p w14:paraId="65E8EA7B" w14:textId="5687DB27" w:rsidR="00B1303F" w:rsidRPr="00F96481" w:rsidRDefault="00B1303F" w:rsidP="00F96481">
            <w:pPr>
              <w:pStyle w:val="TableParagraph"/>
              <w:rPr>
                <w:rFonts w:ascii="Calibri" w:hAnsi="Calibri" w:cs="Calibri"/>
                <w:color w:val="000000"/>
                <w:sz w:val="24"/>
                <w:szCs w:val="24"/>
              </w:rPr>
            </w:pPr>
            <w:r w:rsidRPr="00F96481" w:rsidDel="00EE14EA">
              <w:rPr>
                <w:rFonts w:ascii="Calibri" w:hAnsi="Calibri" w:cs="Calibri"/>
                <w:color w:val="000000"/>
                <w:sz w:val="24"/>
                <w:szCs w:val="24"/>
              </w:rPr>
              <w:t>Number</w:t>
            </w:r>
          </w:p>
        </w:tc>
        <w:tc>
          <w:tcPr>
            <w:tcW w:w="7230" w:type="dxa"/>
          </w:tcPr>
          <w:p w14:paraId="337851B8" w14:textId="34EF5457" w:rsidR="00B1303F" w:rsidRPr="00F96481" w:rsidRDefault="00B1303F" w:rsidP="00F96481">
            <w:pPr>
              <w:pStyle w:val="TableParagraph"/>
              <w:rPr>
                <w:rFonts w:ascii="Calibri" w:hAnsi="Calibri" w:cs="Calibri"/>
                <w:sz w:val="24"/>
                <w:szCs w:val="24"/>
              </w:rPr>
            </w:pPr>
            <w:r w:rsidRPr="00F96481">
              <w:rPr>
                <w:rFonts w:ascii="Calibri" w:hAnsi="Calibri" w:cs="Calibri"/>
                <w:sz w:val="24"/>
                <w:szCs w:val="24"/>
              </w:rPr>
              <w:t xml:space="preserve">The number of </w:t>
            </w:r>
            <w:r w:rsidR="009F026E">
              <w:rPr>
                <w:rFonts w:ascii="Calibri" w:hAnsi="Calibri" w:cs="Calibri"/>
                <w:sz w:val="24"/>
                <w:szCs w:val="24"/>
              </w:rPr>
              <w:t>areas</w:t>
            </w:r>
            <w:r w:rsidRPr="00F96481">
              <w:rPr>
                <w:rFonts w:ascii="Calibri" w:hAnsi="Calibri" w:cs="Calibri"/>
                <w:sz w:val="24"/>
                <w:szCs w:val="24"/>
              </w:rPr>
              <w:t xml:space="preserve"> at risk of external sewer flooding incidents per 10,000 sewer connections.</w:t>
            </w:r>
          </w:p>
        </w:tc>
      </w:tr>
      <w:tr w:rsidR="002A3ABC" w:rsidRPr="00845C40" w14:paraId="35D41969" w14:textId="77777777" w:rsidTr="00954233">
        <w:trPr>
          <w:trHeight w:val="293"/>
        </w:trPr>
        <w:tc>
          <w:tcPr>
            <w:tcW w:w="0" w:type="dxa"/>
          </w:tcPr>
          <w:p w14:paraId="79108FCD" w14:textId="5C835A08" w:rsidR="00C57AFD" w:rsidRPr="00F96481" w:rsidRDefault="00C57AFD" w:rsidP="00F96481">
            <w:pPr>
              <w:pStyle w:val="TableParagraph"/>
              <w:rPr>
                <w:rFonts w:ascii="Calibri" w:hAnsi="Calibri" w:cs="Calibri"/>
                <w:sz w:val="24"/>
                <w:szCs w:val="24"/>
              </w:rPr>
            </w:pPr>
            <w:r w:rsidRPr="00F96481">
              <w:rPr>
                <w:rFonts w:ascii="Calibri" w:hAnsi="Calibri" w:cs="Calibri"/>
                <w:sz w:val="24"/>
                <w:szCs w:val="24"/>
              </w:rPr>
              <w:t>1.28</w:t>
            </w:r>
          </w:p>
        </w:tc>
        <w:tc>
          <w:tcPr>
            <w:tcW w:w="0" w:type="dxa"/>
          </w:tcPr>
          <w:p w14:paraId="0B69A516" w14:textId="22E49DD8" w:rsidR="00EE14EA" w:rsidRPr="00F96481" w:rsidRDefault="00EE14EA" w:rsidP="00F96481">
            <w:pPr>
              <w:pStyle w:val="TableParagraph"/>
              <w:rPr>
                <w:rFonts w:ascii="Calibri" w:hAnsi="Calibri" w:cs="Calibri"/>
                <w:color w:val="000000"/>
                <w:sz w:val="24"/>
                <w:szCs w:val="24"/>
              </w:rPr>
            </w:pPr>
            <w:r w:rsidRPr="00F96481">
              <w:rPr>
                <w:rFonts w:ascii="Calibri" w:hAnsi="Calibri" w:cs="Calibri"/>
                <w:color w:val="000000"/>
                <w:sz w:val="24"/>
                <w:szCs w:val="24"/>
              </w:rPr>
              <w:t>Discharge Permit Compliance</w:t>
            </w:r>
          </w:p>
        </w:tc>
        <w:tc>
          <w:tcPr>
            <w:tcW w:w="2693" w:type="dxa"/>
          </w:tcPr>
          <w:p w14:paraId="6EEEE8F9" w14:textId="3621C93C" w:rsidR="00EE14EA" w:rsidRPr="00F96481" w:rsidRDefault="00EE14EA" w:rsidP="00F96481">
            <w:pPr>
              <w:pStyle w:val="TableParagraph"/>
              <w:rPr>
                <w:rFonts w:ascii="Calibri" w:hAnsi="Calibri" w:cs="Calibri"/>
                <w:color w:val="000000"/>
                <w:sz w:val="24"/>
                <w:szCs w:val="24"/>
              </w:rPr>
            </w:pPr>
            <w:r w:rsidRPr="00F96481">
              <w:rPr>
                <w:rFonts w:ascii="Calibri" w:hAnsi="Calibri" w:cs="Calibri"/>
                <w:color w:val="000000"/>
                <w:sz w:val="24"/>
                <w:szCs w:val="24"/>
              </w:rPr>
              <w:t>Percentage compliance with SEPA discharge permits</w:t>
            </w:r>
          </w:p>
        </w:tc>
        <w:tc>
          <w:tcPr>
            <w:tcW w:w="1559" w:type="dxa"/>
          </w:tcPr>
          <w:p w14:paraId="5E6C8A32" w14:textId="00BA0B53" w:rsidR="00EE14EA" w:rsidRPr="00F96481" w:rsidRDefault="00EE14EA" w:rsidP="00F96481">
            <w:pPr>
              <w:pStyle w:val="TableParagraph"/>
              <w:rPr>
                <w:rFonts w:ascii="Calibri" w:hAnsi="Calibri" w:cs="Calibri"/>
                <w:color w:val="000000"/>
                <w:sz w:val="24"/>
                <w:szCs w:val="24"/>
              </w:rPr>
            </w:pPr>
            <w:r w:rsidRPr="00F96481">
              <w:rPr>
                <w:rFonts w:ascii="Calibri" w:hAnsi="Calibri" w:cs="Calibri"/>
                <w:color w:val="000000"/>
                <w:sz w:val="24"/>
                <w:szCs w:val="24"/>
              </w:rPr>
              <w:t>%</w:t>
            </w:r>
          </w:p>
        </w:tc>
        <w:tc>
          <w:tcPr>
            <w:tcW w:w="7230" w:type="dxa"/>
          </w:tcPr>
          <w:p w14:paraId="04FE962E" w14:textId="3B0409B8" w:rsidR="00EE14EA" w:rsidRPr="00F96481" w:rsidRDefault="00EE14EA" w:rsidP="00F96481">
            <w:pPr>
              <w:pStyle w:val="TableParagraph"/>
              <w:rPr>
                <w:rFonts w:ascii="Calibri" w:hAnsi="Calibri" w:cs="Calibri"/>
                <w:sz w:val="24"/>
                <w:szCs w:val="24"/>
              </w:rPr>
            </w:pPr>
            <w:r w:rsidRPr="00F96481">
              <w:rPr>
                <w:rFonts w:ascii="Calibri" w:hAnsi="Calibri" w:cs="Calibri"/>
                <w:sz w:val="24"/>
                <w:szCs w:val="24"/>
              </w:rPr>
              <w:t xml:space="preserve">Percentage of </w:t>
            </w:r>
            <w:r w:rsidR="00A74625">
              <w:rPr>
                <w:rFonts w:ascii="Calibri" w:hAnsi="Calibri" w:cs="Calibri"/>
                <w:sz w:val="24"/>
                <w:szCs w:val="24"/>
              </w:rPr>
              <w:t>w</w:t>
            </w:r>
            <w:r w:rsidRPr="00F96481">
              <w:rPr>
                <w:rFonts w:ascii="Calibri" w:hAnsi="Calibri" w:cs="Calibri"/>
                <w:sz w:val="24"/>
                <w:szCs w:val="24"/>
              </w:rPr>
              <w:t xml:space="preserve">astewater </w:t>
            </w:r>
            <w:r w:rsidR="00A74625">
              <w:rPr>
                <w:rFonts w:ascii="Calibri" w:hAnsi="Calibri" w:cs="Calibri"/>
                <w:sz w:val="24"/>
                <w:szCs w:val="24"/>
              </w:rPr>
              <w:t>t</w:t>
            </w:r>
            <w:r w:rsidRPr="00F96481">
              <w:rPr>
                <w:rFonts w:ascii="Calibri" w:hAnsi="Calibri" w:cs="Calibri"/>
                <w:sz w:val="24"/>
                <w:szCs w:val="24"/>
              </w:rPr>
              <w:t xml:space="preserve">reatment </w:t>
            </w:r>
            <w:r w:rsidR="00A74625">
              <w:rPr>
                <w:rFonts w:ascii="Calibri" w:hAnsi="Calibri" w:cs="Calibri"/>
                <w:sz w:val="24"/>
                <w:szCs w:val="24"/>
              </w:rPr>
              <w:t>w</w:t>
            </w:r>
            <w:r w:rsidRPr="00F96481">
              <w:rPr>
                <w:rFonts w:ascii="Calibri" w:hAnsi="Calibri" w:cs="Calibri"/>
                <w:sz w:val="24"/>
                <w:szCs w:val="24"/>
              </w:rPr>
              <w:t>orks (WwTWs) complying with their Scottish Environment Protection Agency (SEPA) discharge permit requirements.</w:t>
            </w:r>
          </w:p>
        </w:tc>
      </w:tr>
      <w:tr w:rsidR="002A3ABC" w:rsidRPr="00845C40" w14:paraId="2510865F" w14:textId="77777777" w:rsidTr="00954233">
        <w:trPr>
          <w:trHeight w:val="293"/>
        </w:trPr>
        <w:tc>
          <w:tcPr>
            <w:tcW w:w="0" w:type="dxa"/>
          </w:tcPr>
          <w:p w14:paraId="46D5BA9B" w14:textId="24F5A94B" w:rsidR="006E6794" w:rsidRPr="00F96481" w:rsidRDefault="006E6794" w:rsidP="00F96481">
            <w:pPr>
              <w:pStyle w:val="TableParagraph"/>
              <w:rPr>
                <w:rFonts w:ascii="Calibri" w:hAnsi="Calibri" w:cs="Calibri"/>
                <w:sz w:val="24"/>
                <w:szCs w:val="24"/>
              </w:rPr>
            </w:pPr>
            <w:r w:rsidRPr="00954233">
              <w:rPr>
                <w:sz w:val="24"/>
                <w:szCs w:val="24"/>
              </w:rPr>
              <w:t>1.29</w:t>
            </w:r>
          </w:p>
        </w:tc>
        <w:tc>
          <w:tcPr>
            <w:tcW w:w="0" w:type="dxa"/>
          </w:tcPr>
          <w:p w14:paraId="10649405" w14:textId="0CC8A9E8"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Serious pollution incidents (EPI Cat 1/2)</w:t>
            </w:r>
          </w:p>
        </w:tc>
        <w:tc>
          <w:tcPr>
            <w:tcW w:w="2693" w:type="dxa"/>
          </w:tcPr>
          <w:p w14:paraId="7D8F30C5" w14:textId="084F583E"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Number of serious pollution incidents*</w:t>
            </w:r>
          </w:p>
        </w:tc>
        <w:tc>
          <w:tcPr>
            <w:tcW w:w="1559" w:type="dxa"/>
          </w:tcPr>
          <w:p w14:paraId="794EF52B" w14:textId="66F8EBA8"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Number</w:t>
            </w:r>
          </w:p>
        </w:tc>
        <w:tc>
          <w:tcPr>
            <w:tcW w:w="7230" w:type="dxa"/>
          </w:tcPr>
          <w:p w14:paraId="65205959" w14:textId="6D0A823B" w:rsidR="006E6794" w:rsidRPr="00F96481" w:rsidRDefault="006E6794" w:rsidP="00F96481">
            <w:pPr>
              <w:pStyle w:val="TableParagraph"/>
              <w:rPr>
                <w:rFonts w:ascii="Calibri" w:hAnsi="Calibri" w:cs="Calibri"/>
                <w:sz w:val="24"/>
                <w:szCs w:val="24"/>
              </w:rPr>
            </w:pPr>
            <w:r w:rsidRPr="00F96481">
              <w:rPr>
                <w:rFonts w:ascii="Calibri" w:hAnsi="Calibri" w:cs="Calibri"/>
                <w:sz w:val="24"/>
                <w:szCs w:val="24"/>
              </w:rPr>
              <w:t xml:space="preserve">The number of serious environmental pollution incidents (EPIs) categorised as 1 and 2 as set out in the reporting guidance from SEPA during </w:t>
            </w:r>
            <w:r w:rsidR="00E604CE">
              <w:rPr>
                <w:rFonts w:ascii="Calibri" w:hAnsi="Calibri" w:cs="Calibri"/>
                <w:sz w:val="24"/>
                <w:szCs w:val="24"/>
              </w:rPr>
              <w:t xml:space="preserve">the </w:t>
            </w:r>
            <w:r w:rsidRPr="00F96481">
              <w:rPr>
                <w:rFonts w:ascii="Calibri" w:hAnsi="Calibri" w:cs="Calibri"/>
                <w:sz w:val="24"/>
                <w:szCs w:val="24"/>
              </w:rPr>
              <w:t>calendar year</w:t>
            </w:r>
            <w:r w:rsidR="00E604CE">
              <w:rPr>
                <w:rFonts w:ascii="Calibri" w:hAnsi="Calibri" w:cs="Calibri"/>
                <w:sz w:val="24"/>
                <w:szCs w:val="24"/>
              </w:rPr>
              <w:t xml:space="preserve">. This covers </w:t>
            </w:r>
            <w:r w:rsidR="00D3724F">
              <w:rPr>
                <w:rFonts w:ascii="Calibri" w:hAnsi="Calibri" w:cs="Calibri"/>
                <w:sz w:val="24"/>
                <w:szCs w:val="24"/>
              </w:rPr>
              <w:t>EPIs</w:t>
            </w:r>
            <w:r w:rsidR="00E604CE" w:rsidRPr="00F96481">
              <w:rPr>
                <w:rFonts w:ascii="Calibri" w:hAnsi="Calibri" w:cs="Calibri"/>
                <w:sz w:val="24"/>
                <w:szCs w:val="24"/>
              </w:rPr>
              <w:t xml:space="preserve"> </w:t>
            </w:r>
            <w:r w:rsidRPr="00F96481">
              <w:rPr>
                <w:rFonts w:ascii="Calibri" w:hAnsi="Calibri" w:cs="Calibri"/>
                <w:sz w:val="24"/>
                <w:szCs w:val="24"/>
              </w:rPr>
              <w:t>emanating from a discharge or escape of a contaminant from a water company sewerage asset or water supply asset affecting the water environment.</w:t>
            </w:r>
          </w:p>
        </w:tc>
      </w:tr>
      <w:tr w:rsidR="002A3ABC" w:rsidRPr="00845C40" w14:paraId="63247081" w14:textId="77777777" w:rsidTr="00954233">
        <w:trPr>
          <w:trHeight w:val="293"/>
        </w:trPr>
        <w:tc>
          <w:tcPr>
            <w:tcW w:w="0" w:type="dxa"/>
          </w:tcPr>
          <w:p w14:paraId="10C30FB8" w14:textId="7F6C66BA" w:rsidR="006E6794" w:rsidRPr="00F96481" w:rsidRDefault="006E6794" w:rsidP="00F96481">
            <w:pPr>
              <w:pStyle w:val="TableParagraph"/>
              <w:rPr>
                <w:rFonts w:ascii="Calibri" w:hAnsi="Calibri" w:cs="Calibri"/>
                <w:sz w:val="24"/>
                <w:szCs w:val="24"/>
              </w:rPr>
            </w:pPr>
            <w:r w:rsidRPr="00954233">
              <w:rPr>
                <w:sz w:val="24"/>
                <w:szCs w:val="24"/>
              </w:rPr>
              <w:t>1.30</w:t>
            </w:r>
          </w:p>
        </w:tc>
        <w:tc>
          <w:tcPr>
            <w:tcW w:w="0" w:type="dxa"/>
          </w:tcPr>
          <w:p w14:paraId="263EC2D6" w14:textId="5ACA7D6D"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Total pollution incidents (all categories)</w:t>
            </w:r>
          </w:p>
        </w:tc>
        <w:tc>
          <w:tcPr>
            <w:tcW w:w="2693" w:type="dxa"/>
          </w:tcPr>
          <w:p w14:paraId="50C56009" w14:textId="390AC44C"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The total number of pollution incidents from a sewerage asset </w:t>
            </w:r>
            <w:r w:rsidRPr="00F96481">
              <w:rPr>
                <w:rFonts w:ascii="Calibri" w:hAnsi="Calibri" w:cs="Calibri"/>
                <w:color w:val="000000"/>
                <w:sz w:val="24"/>
                <w:szCs w:val="24"/>
              </w:rPr>
              <w:lastRenderedPageBreak/>
              <w:t>affecting the water environment*</w:t>
            </w:r>
          </w:p>
        </w:tc>
        <w:tc>
          <w:tcPr>
            <w:tcW w:w="1559" w:type="dxa"/>
          </w:tcPr>
          <w:p w14:paraId="3F02205F" w14:textId="6D195D5D"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lastRenderedPageBreak/>
              <w:t>Number</w:t>
            </w:r>
          </w:p>
        </w:tc>
        <w:tc>
          <w:tcPr>
            <w:tcW w:w="7230" w:type="dxa"/>
          </w:tcPr>
          <w:p w14:paraId="568C1D0A" w14:textId="4606CB78" w:rsidR="006E6794" w:rsidRDefault="006E6794" w:rsidP="00F96481">
            <w:pPr>
              <w:pStyle w:val="TableParagraph"/>
              <w:rPr>
                <w:rFonts w:ascii="Calibri" w:hAnsi="Calibri" w:cs="Calibri"/>
                <w:sz w:val="24"/>
                <w:szCs w:val="24"/>
              </w:rPr>
            </w:pPr>
            <w:r w:rsidRPr="00F96481">
              <w:rPr>
                <w:rFonts w:ascii="Calibri" w:hAnsi="Calibri" w:cs="Calibri"/>
                <w:sz w:val="24"/>
                <w:szCs w:val="24"/>
              </w:rPr>
              <w:t>Total</w:t>
            </w:r>
            <w:r w:rsidR="00DE1C82">
              <w:rPr>
                <w:rFonts w:ascii="Calibri" w:hAnsi="Calibri" w:cs="Calibri"/>
                <w:sz w:val="24"/>
                <w:szCs w:val="24"/>
              </w:rPr>
              <w:t xml:space="preserve"> number of</w:t>
            </w:r>
            <w:r w:rsidRPr="00F96481">
              <w:rPr>
                <w:rFonts w:ascii="Calibri" w:hAnsi="Calibri" w:cs="Calibri"/>
                <w:sz w:val="24"/>
                <w:szCs w:val="24"/>
              </w:rPr>
              <w:t xml:space="preserve"> pollution incidents are reported as the total number of pollution incidents (categories 1 to 3) in a calendar year</w:t>
            </w:r>
            <w:r w:rsidR="00A424FB">
              <w:rPr>
                <w:rFonts w:ascii="Calibri" w:hAnsi="Calibri" w:cs="Calibri"/>
                <w:sz w:val="24"/>
                <w:szCs w:val="24"/>
              </w:rPr>
              <w:t xml:space="preserve">. This covers </w:t>
            </w:r>
            <w:r w:rsidR="00C2748F">
              <w:rPr>
                <w:rFonts w:ascii="Calibri" w:hAnsi="Calibri" w:cs="Calibri"/>
                <w:sz w:val="24"/>
                <w:szCs w:val="24"/>
              </w:rPr>
              <w:t>pollution incidents</w:t>
            </w:r>
            <w:r w:rsidRPr="00F96481">
              <w:rPr>
                <w:rFonts w:ascii="Calibri" w:hAnsi="Calibri" w:cs="Calibri"/>
                <w:sz w:val="24"/>
                <w:szCs w:val="24"/>
              </w:rPr>
              <w:t xml:space="preserve"> emanating from a discharge or escape of a </w:t>
            </w:r>
            <w:r w:rsidRPr="00F96481">
              <w:rPr>
                <w:rFonts w:ascii="Calibri" w:hAnsi="Calibri" w:cs="Calibri"/>
                <w:sz w:val="24"/>
                <w:szCs w:val="24"/>
              </w:rPr>
              <w:lastRenderedPageBreak/>
              <w:t>contaminant from a sewerage asset affecting the water environment per 10,000km of sewer length from wastewater assets for which Scottish Water is responsible.</w:t>
            </w:r>
          </w:p>
          <w:p w14:paraId="1619C4F8" w14:textId="77777777" w:rsidR="00DE1C82" w:rsidRDefault="00DE1C82" w:rsidP="00F96481">
            <w:pPr>
              <w:pStyle w:val="TableParagraph"/>
              <w:rPr>
                <w:rFonts w:ascii="Calibri" w:hAnsi="Calibri" w:cs="Calibri"/>
                <w:sz w:val="24"/>
                <w:szCs w:val="24"/>
              </w:rPr>
            </w:pPr>
          </w:p>
          <w:p w14:paraId="4FA0B3F4" w14:textId="60165F3B" w:rsidR="006E6794" w:rsidRPr="00F96481" w:rsidRDefault="00DE1C82" w:rsidP="00F96481">
            <w:pPr>
              <w:pStyle w:val="TableParagraph"/>
              <w:rPr>
                <w:rFonts w:ascii="Calibri" w:hAnsi="Calibri" w:cs="Calibri"/>
                <w:sz w:val="24"/>
                <w:szCs w:val="24"/>
              </w:rPr>
            </w:pPr>
            <w:r w:rsidRPr="00F96481">
              <w:rPr>
                <w:rFonts w:ascii="Calibri" w:hAnsi="Calibri" w:cs="Calibri"/>
                <w:sz w:val="24"/>
                <w:szCs w:val="24"/>
              </w:rPr>
              <w:t>Total pollution incidents are defined in the total environmental pollution incidents (EPIs) metric set out in the reporting guidance from SEPA.</w:t>
            </w:r>
          </w:p>
        </w:tc>
      </w:tr>
      <w:tr w:rsidR="002A3ABC" w:rsidRPr="00845C40" w14:paraId="1B1F3AB4" w14:textId="77777777" w:rsidTr="00954233">
        <w:trPr>
          <w:trHeight w:val="293"/>
        </w:trPr>
        <w:tc>
          <w:tcPr>
            <w:tcW w:w="0" w:type="dxa"/>
          </w:tcPr>
          <w:p w14:paraId="26D532A0" w14:textId="37A45562" w:rsidR="006E6794" w:rsidRPr="00F96481" w:rsidRDefault="006E6794" w:rsidP="00F96481">
            <w:pPr>
              <w:pStyle w:val="TableParagraph"/>
              <w:rPr>
                <w:rFonts w:ascii="Calibri" w:hAnsi="Calibri" w:cs="Calibri"/>
                <w:sz w:val="24"/>
                <w:szCs w:val="24"/>
              </w:rPr>
            </w:pPr>
            <w:r w:rsidRPr="00954233">
              <w:rPr>
                <w:sz w:val="24"/>
                <w:szCs w:val="24"/>
              </w:rPr>
              <w:lastRenderedPageBreak/>
              <w:t>1.31</w:t>
            </w:r>
          </w:p>
        </w:tc>
        <w:tc>
          <w:tcPr>
            <w:tcW w:w="1843" w:type="dxa"/>
          </w:tcPr>
          <w:p w14:paraId="5C03F4E5" w14:textId="2903FEC3"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Sludge compliance</w:t>
            </w:r>
          </w:p>
        </w:tc>
        <w:tc>
          <w:tcPr>
            <w:tcW w:w="0" w:type="dxa"/>
          </w:tcPr>
          <w:p w14:paraId="1ED6EE0E" w14:textId="19513FCE"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Percentage unsatisfactory sludge disposal</w:t>
            </w:r>
          </w:p>
        </w:tc>
        <w:tc>
          <w:tcPr>
            <w:tcW w:w="1559" w:type="dxa"/>
          </w:tcPr>
          <w:p w14:paraId="3677420A" w14:textId="5D0987D1" w:rsidR="006E6794" w:rsidRPr="00F96481" w:rsidRDefault="006E6794" w:rsidP="00F96481">
            <w:pPr>
              <w:pStyle w:val="TableParagraph"/>
              <w:rPr>
                <w:rFonts w:ascii="Calibri" w:hAnsi="Calibri" w:cs="Calibri"/>
                <w:color w:val="000000"/>
                <w:sz w:val="24"/>
                <w:szCs w:val="24"/>
              </w:rPr>
            </w:pPr>
            <w:r w:rsidRPr="00F96481">
              <w:rPr>
                <w:rFonts w:ascii="Calibri" w:hAnsi="Calibri" w:cs="Calibri"/>
                <w:color w:val="000000"/>
                <w:sz w:val="24"/>
                <w:szCs w:val="24"/>
              </w:rPr>
              <w:t>%</w:t>
            </w:r>
          </w:p>
        </w:tc>
        <w:tc>
          <w:tcPr>
            <w:tcW w:w="7230" w:type="dxa"/>
          </w:tcPr>
          <w:p w14:paraId="182D40E4" w14:textId="51AC4FCA" w:rsidR="006E6794" w:rsidRPr="00F96481" w:rsidRDefault="006E6794" w:rsidP="00F96481">
            <w:pPr>
              <w:pStyle w:val="TableParagraph"/>
              <w:rPr>
                <w:rFonts w:ascii="Calibri" w:hAnsi="Calibri" w:cs="Calibri"/>
                <w:sz w:val="24"/>
                <w:szCs w:val="24"/>
              </w:rPr>
            </w:pPr>
            <w:r w:rsidRPr="00F96481">
              <w:rPr>
                <w:rFonts w:ascii="Calibri" w:hAnsi="Calibri" w:cs="Calibri"/>
                <w:sz w:val="24"/>
                <w:szCs w:val="24"/>
                <w:lang w:val="en-US"/>
              </w:rPr>
              <w:t xml:space="preserve">The percentage of total sludge disposal that is unsatisfactory. </w:t>
            </w:r>
          </w:p>
        </w:tc>
      </w:tr>
      <w:tr w:rsidR="002A3ABC" w:rsidRPr="00845C40" w14:paraId="54A0B9F4" w14:textId="77777777" w:rsidTr="00954233">
        <w:trPr>
          <w:trHeight w:val="293"/>
        </w:trPr>
        <w:tc>
          <w:tcPr>
            <w:tcW w:w="1276" w:type="dxa"/>
          </w:tcPr>
          <w:p w14:paraId="22858831" w14:textId="366C6E30" w:rsidR="00EE14EA" w:rsidRPr="00F96481" w:rsidRDefault="000546C2" w:rsidP="00954233">
            <w:pPr>
              <w:pStyle w:val="TableParagraph"/>
              <w:rPr>
                <w:rFonts w:ascii="Calibri" w:hAnsi="Calibri" w:cs="Calibri"/>
                <w:sz w:val="24"/>
                <w:szCs w:val="24"/>
              </w:rPr>
            </w:pPr>
            <w:r w:rsidRPr="00F96481">
              <w:rPr>
                <w:rFonts w:ascii="Calibri" w:hAnsi="Calibri" w:cs="Calibri"/>
                <w:sz w:val="24"/>
                <w:szCs w:val="24"/>
              </w:rPr>
              <w:t>1.32</w:t>
            </w:r>
          </w:p>
          <w:p w14:paraId="02BAD2C0" w14:textId="71EA98F8" w:rsidR="000546C2" w:rsidRPr="00F96481" w:rsidRDefault="000546C2" w:rsidP="00F96481">
            <w:pPr>
              <w:pStyle w:val="TableParagraph"/>
              <w:rPr>
                <w:rFonts w:ascii="Calibri" w:hAnsi="Calibri" w:cs="Calibri"/>
                <w:sz w:val="24"/>
                <w:szCs w:val="24"/>
              </w:rPr>
            </w:pPr>
          </w:p>
        </w:tc>
        <w:tc>
          <w:tcPr>
            <w:tcW w:w="0" w:type="dxa"/>
          </w:tcPr>
          <w:p w14:paraId="5433BBCF" w14:textId="62557F31" w:rsidR="00EE14EA" w:rsidRPr="00F96481" w:rsidRDefault="00EE14EA" w:rsidP="00F96481">
            <w:pPr>
              <w:pStyle w:val="TableParagraph"/>
              <w:rPr>
                <w:rFonts w:ascii="Calibri" w:hAnsi="Calibri" w:cs="Calibri"/>
                <w:color w:val="000000"/>
                <w:sz w:val="24"/>
                <w:szCs w:val="24"/>
              </w:rPr>
            </w:pPr>
            <w:r w:rsidRPr="00F96481">
              <w:rPr>
                <w:rFonts w:ascii="Calibri" w:hAnsi="Calibri" w:cs="Calibri"/>
                <w:color w:val="000000"/>
                <w:sz w:val="24"/>
                <w:szCs w:val="24"/>
              </w:rPr>
              <w:t>Sewerage infrastructure discharges</w:t>
            </w:r>
          </w:p>
        </w:tc>
        <w:tc>
          <w:tcPr>
            <w:tcW w:w="0" w:type="dxa"/>
          </w:tcPr>
          <w:p w14:paraId="5FB8C68C" w14:textId="77777777" w:rsidR="00EE14EA" w:rsidRPr="00F96481" w:rsidRDefault="00EE14EA" w:rsidP="00F96481">
            <w:pPr>
              <w:pStyle w:val="TableParagraph"/>
              <w:rPr>
                <w:rFonts w:ascii="Calibri" w:hAnsi="Calibri" w:cs="Calibri"/>
                <w:color w:val="000000"/>
                <w:sz w:val="24"/>
                <w:szCs w:val="24"/>
              </w:rPr>
            </w:pPr>
          </w:p>
        </w:tc>
        <w:tc>
          <w:tcPr>
            <w:tcW w:w="1559" w:type="dxa"/>
          </w:tcPr>
          <w:p w14:paraId="4EA5CB3D" w14:textId="77777777" w:rsidR="00EE14EA" w:rsidRPr="00F96481" w:rsidRDefault="00EE14EA" w:rsidP="00F96481">
            <w:pPr>
              <w:pStyle w:val="TableParagraph"/>
              <w:rPr>
                <w:rFonts w:ascii="Calibri" w:hAnsi="Calibri" w:cs="Calibri"/>
                <w:color w:val="000000"/>
                <w:sz w:val="24"/>
                <w:szCs w:val="24"/>
              </w:rPr>
            </w:pPr>
          </w:p>
        </w:tc>
        <w:tc>
          <w:tcPr>
            <w:tcW w:w="7230" w:type="dxa"/>
          </w:tcPr>
          <w:p w14:paraId="4127BF39" w14:textId="77777777" w:rsidR="00B9149D" w:rsidRDefault="00EE14EA" w:rsidP="00F96481">
            <w:pPr>
              <w:pStyle w:val="TableParagraph"/>
              <w:rPr>
                <w:rFonts w:ascii="Calibri" w:hAnsi="Calibri" w:cs="Calibri"/>
                <w:sz w:val="24"/>
                <w:szCs w:val="24"/>
              </w:rPr>
            </w:pPr>
            <w:r w:rsidRPr="00F96481">
              <w:rPr>
                <w:rFonts w:ascii="Calibri" w:hAnsi="Calibri" w:cs="Calibri"/>
                <w:sz w:val="24"/>
                <w:szCs w:val="24"/>
              </w:rPr>
              <w:t>[Measure(s) to be developed through engagement with Scottish Water and other stakeholders.</w:t>
            </w:r>
          </w:p>
          <w:p w14:paraId="59F73957" w14:textId="77777777" w:rsidR="00970A75" w:rsidRDefault="00970A75" w:rsidP="00F96481">
            <w:pPr>
              <w:pStyle w:val="TableParagraph"/>
              <w:rPr>
                <w:rFonts w:ascii="Calibri" w:hAnsi="Calibri" w:cs="Calibri"/>
                <w:sz w:val="24"/>
                <w:szCs w:val="24"/>
              </w:rPr>
            </w:pPr>
          </w:p>
          <w:p w14:paraId="22B7C4E0" w14:textId="28F979C2" w:rsidR="00970A75" w:rsidRDefault="00AD1876" w:rsidP="00F96481">
            <w:pPr>
              <w:pStyle w:val="TableParagraph"/>
              <w:rPr>
                <w:rFonts w:ascii="Calibri" w:hAnsi="Calibri" w:cs="Calibri"/>
                <w:sz w:val="24"/>
                <w:szCs w:val="24"/>
              </w:rPr>
            </w:pPr>
            <w:r>
              <w:rPr>
                <w:rFonts w:ascii="Calibri" w:hAnsi="Calibri" w:cs="Calibri"/>
                <w:sz w:val="24"/>
                <w:szCs w:val="24"/>
              </w:rPr>
              <w:t xml:space="preserve">The </w:t>
            </w:r>
            <w:r w:rsidR="00970A75">
              <w:rPr>
                <w:rFonts w:ascii="Calibri" w:hAnsi="Calibri" w:cs="Calibri"/>
                <w:sz w:val="24"/>
                <w:szCs w:val="24"/>
              </w:rPr>
              <w:t>measure</w:t>
            </w:r>
            <w:r w:rsidR="00345967">
              <w:rPr>
                <w:rFonts w:ascii="Calibri" w:hAnsi="Calibri" w:cs="Calibri"/>
                <w:sz w:val="24"/>
                <w:szCs w:val="24"/>
              </w:rPr>
              <w:t xml:space="preserve"> or </w:t>
            </w:r>
            <w:r>
              <w:rPr>
                <w:rFonts w:ascii="Calibri" w:hAnsi="Calibri" w:cs="Calibri"/>
                <w:sz w:val="24"/>
                <w:szCs w:val="24"/>
              </w:rPr>
              <w:t xml:space="preserve">series of </w:t>
            </w:r>
            <w:r w:rsidR="00345967">
              <w:rPr>
                <w:rFonts w:ascii="Calibri" w:hAnsi="Calibri" w:cs="Calibri"/>
                <w:sz w:val="24"/>
                <w:szCs w:val="24"/>
              </w:rPr>
              <w:t xml:space="preserve">measures </w:t>
            </w:r>
            <w:r w:rsidR="00970A75">
              <w:rPr>
                <w:rFonts w:ascii="Calibri" w:hAnsi="Calibri" w:cs="Calibri"/>
                <w:sz w:val="24"/>
                <w:szCs w:val="24"/>
              </w:rPr>
              <w:t xml:space="preserve">should </w:t>
            </w:r>
            <w:r w:rsidR="00345967">
              <w:rPr>
                <w:rFonts w:ascii="Calibri" w:hAnsi="Calibri" w:cs="Calibri"/>
                <w:sz w:val="24"/>
                <w:szCs w:val="24"/>
              </w:rPr>
              <w:t>include</w:t>
            </w:r>
            <w:r w:rsidR="00927229">
              <w:rPr>
                <w:rFonts w:ascii="Calibri" w:hAnsi="Calibri" w:cs="Calibri"/>
                <w:sz w:val="24"/>
                <w:szCs w:val="24"/>
              </w:rPr>
              <w:t xml:space="preserve"> discharges relate</w:t>
            </w:r>
            <w:r w:rsidR="000E66F1">
              <w:rPr>
                <w:rFonts w:ascii="Calibri" w:hAnsi="Calibri" w:cs="Calibri"/>
                <w:sz w:val="24"/>
                <w:szCs w:val="24"/>
              </w:rPr>
              <w:t>d</w:t>
            </w:r>
            <w:r w:rsidR="00927229">
              <w:rPr>
                <w:rFonts w:ascii="Calibri" w:hAnsi="Calibri" w:cs="Calibri"/>
                <w:sz w:val="24"/>
                <w:szCs w:val="24"/>
              </w:rPr>
              <w:t xml:space="preserve"> to </w:t>
            </w:r>
            <w:r w:rsidR="007A3938">
              <w:rPr>
                <w:rFonts w:ascii="Calibri" w:hAnsi="Calibri" w:cs="Calibri"/>
                <w:sz w:val="24"/>
                <w:szCs w:val="24"/>
              </w:rPr>
              <w:t xml:space="preserve">intermittent discharges, discharges </w:t>
            </w:r>
            <w:r w:rsidR="00921EA0">
              <w:rPr>
                <w:rFonts w:ascii="Calibri" w:hAnsi="Calibri" w:cs="Calibri"/>
                <w:sz w:val="24"/>
                <w:szCs w:val="24"/>
              </w:rPr>
              <w:t xml:space="preserve">from </w:t>
            </w:r>
            <w:r w:rsidR="00927229">
              <w:rPr>
                <w:rFonts w:ascii="Calibri" w:hAnsi="Calibri" w:cs="Calibri"/>
                <w:sz w:val="24"/>
                <w:szCs w:val="24"/>
              </w:rPr>
              <w:t xml:space="preserve">combined sewer overflows (CSOs), </w:t>
            </w:r>
            <w:r w:rsidR="00E63377">
              <w:rPr>
                <w:rFonts w:ascii="Calibri" w:hAnsi="Calibri" w:cs="Calibri"/>
                <w:sz w:val="24"/>
                <w:szCs w:val="24"/>
              </w:rPr>
              <w:t>emergency overflows</w:t>
            </w:r>
            <w:r w:rsidR="00A9227E">
              <w:rPr>
                <w:rFonts w:ascii="Calibri" w:hAnsi="Calibri" w:cs="Calibri"/>
                <w:sz w:val="24"/>
                <w:szCs w:val="24"/>
              </w:rPr>
              <w:t>,</w:t>
            </w:r>
            <w:r w:rsidR="00E63377" w:rsidDel="00A9227E">
              <w:rPr>
                <w:rFonts w:ascii="Calibri" w:hAnsi="Calibri" w:cs="Calibri"/>
                <w:sz w:val="24"/>
                <w:szCs w:val="24"/>
              </w:rPr>
              <w:t xml:space="preserve"> </w:t>
            </w:r>
            <w:r w:rsidR="0040491C">
              <w:rPr>
                <w:rFonts w:ascii="Calibri" w:hAnsi="Calibri" w:cs="Calibri"/>
                <w:sz w:val="24"/>
                <w:szCs w:val="24"/>
              </w:rPr>
              <w:t xml:space="preserve">settled </w:t>
            </w:r>
            <w:r w:rsidR="00DD3FA2">
              <w:rPr>
                <w:rFonts w:ascii="Calibri" w:hAnsi="Calibri" w:cs="Calibri"/>
                <w:sz w:val="24"/>
                <w:szCs w:val="24"/>
              </w:rPr>
              <w:t xml:space="preserve">storm </w:t>
            </w:r>
            <w:r w:rsidR="00A9227E">
              <w:rPr>
                <w:rFonts w:ascii="Calibri" w:hAnsi="Calibri" w:cs="Calibri"/>
                <w:sz w:val="24"/>
                <w:szCs w:val="24"/>
              </w:rPr>
              <w:t xml:space="preserve">sewage </w:t>
            </w:r>
            <w:r w:rsidR="00DD3FA2">
              <w:rPr>
                <w:rFonts w:ascii="Calibri" w:hAnsi="Calibri" w:cs="Calibri"/>
                <w:sz w:val="24"/>
                <w:szCs w:val="24"/>
              </w:rPr>
              <w:t>over</w:t>
            </w:r>
            <w:r w:rsidR="002F2518">
              <w:rPr>
                <w:rFonts w:ascii="Calibri" w:hAnsi="Calibri" w:cs="Calibri"/>
                <w:sz w:val="24"/>
                <w:szCs w:val="24"/>
              </w:rPr>
              <w:t>flows</w:t>
            </w:r>
            <w:r w:rsidR="00A9227E">
              <w:rPr>
                <w:rFonts w:ascii="Calibri" w:hAnsi="Calibri" w:cs="Calibri"/>
                <w:sz w:val="24"/>
                <w:szCs w:val="24"/>
              </w:rPr>
              <w:t xml:space="preserve"> and</w:t>
            </w:r>
            <w:r w:rsidR="001E4688">
              <w:rPr>
                <w:rFonts w:ascii="Calibri" w:hAnsi="Calibri" w:cs="Calibri"/>
                <w:sz w:val="24"/>
                <w:szCs w:val="24"/>
              </w:rPr>
              <w:t xml:space="preserve"> </w:t>
            </w:r>
            <w:r w:rsidR="00753065">
              <w:rPr>
                <w:rFonts w:ascii="Calibri" w:hAnsi="Calibri" w:cs="Calibri"/>
                <w:sz w:val="24"/>
                <w:szCs w:val="24"/>
              </w:rPr>
              <w:t xml:space="preserve">surface water overflows. </w:t>
            </w:r>
          </w:p>
          <w:p w14:paraId="72EAA1BD" w14:textId="77777777" w:rsidR="00B9149D" w:rsidRDefault="00B9149D" w:rsidP="00F96481">
            <w:pPr>
              <w:pStyle w:val="TableParagraph"/>
              <w:rPr>
                <w:rFonts w:ascii="Calibri" w:hAnsi="Calibri" w:cs="Calibri"/>
                <w:sz w:val="24"/>
                <w:szCs w:val="24"/>
              </w:rPr>
            </w:pPr>
          </w:p>
          <w:p w14:paraId="7BE653AF" w14:textId="6715A6B2" w:rsidR="00F02A99" w:rsidRDefault="003F0FB4" w:rsidP="00F02A99">
            <w:pPr>
              <w:rPr>
                <w:lang w:eastAsia="zh-TW"/>
              </w:rPr>
            </w:pPr>
            <w:r>
              <w:rPr>
                <w:lang w:eastAsia="zh-TW"/>
              </w:rPr>
              <w:t>We expect Scottish Water to develop and propose a measure as part of its business plan</w:t>
            </w:r>
            <w:r w:rsidR="00250EF8">
              <w:rPr>
                <w:lang w:eastAsia="zh-TW"/>
              </w:rPr>
              <w:t xml:space="preserve"> submission</w:t>
            </w:r>
            <w:r>
              <w:rPr>
                <w:lang w:eastAsia="zh-TW"/>
              </w:rPr>
              <w:t xml:space="preserve">. </w:t>
            </w:r>
            <w:r w:rsidR="00F02A99">
              <w:rPr>
                <w:lang w:eastAsia="zh-TW"/>
              </w:rPr>
              <w:t xml:space="preserve">If Scottish Water is unable to develop appropriate measures and forecasts in these areas (e.g. sewerage infrastructure discharges), we may decide to add our own measures as part of our Draft and Final Determination. </w:t>
            </w:r>
          </w:p>
          <w:p w14:paraId="4972CFF5" w14:textId="00E8EDAD" w:rsidR="00EE14EA" w:rsidRPr="00F96481" w:rsidRDefault="00EE14EA" w:rsidP="00F96481">
            <w:pPr>
              <w:pStyle w:val="TableParagraph"/>
              <w:rPr>
                <w:rFonts w:ascii="Calibri" w:hAnsi="Calibri" w:cs="Calibri"/>
                <w:sz w:val="24"/>
                <w:szCs w:val="24"/>
              </w:rPr>
            </w:pPr>
          </w:p>
        </w:tc>
      </w:tr>
      <w:tr w:rsidR="002A3ABC" w:rsidRPr="00845C40" w14:paraId="7AC02289" w14:textId="77777777" w:rsidTr="00954233">
        <w:trPr>
          <w:trHeight w:val="293"/>
        </w:trPr>
        <w:tc>
          <w:tcPr>
            <w:tcW w:w="0" w:type="dxa"/>
          </w:tcPr>
          <w:p w14:paraId="24CA546C" w14:textId="0EF6F0B7" w:rsidR="00FA3EBE" w:rsidRPr="00F96481" w:rsidDel="00492192" w:rsidRDefault="00F702F1" w:rsidP="00F96481">
            <w:pPr>
              <w:pStyle w:val="TableParagraph"/>
              <w:rPr>
                <w:rFonts w:ascii="Calibri" w:hAnsi="Calibri" w:cs="Calibri"/>
                <w:sz w:val="24"/>
                <w:szCs w:val="24"/>
              </w:rPr>
            </w:pPr>
            <w:r w:rsidRPr="00F96481">
              <w:rPr>
                <w:rFonts w:ascii="Calibri" w:hAnsi="Calibri" w:cs="Calibri"/>
                <w:sz w:val="24"/>
                <w:szCs w:val="24"/>
              </w:rPr>
              <w:lastRenderedPageBreak/>
              <w:t>1.33</w:t>
            </w:r>
          </w:p>
        </w:tc>
        <w:tc>
          <w:tcPr>
            <w:tcW w:w="0" w:type="dxa"/>
          </w:tcPr>
          <w:p w14:paraId="01157B3F" w14:textId="75288579"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River water quality </w:t>
            </w:r>
          </w:p>
        </w:tc>
        <w:tc>
          <w:tcPr>
            <w:tcW w:w="0" w:type="dxa"/>
          </w:tcPr>
          <w:p w14:paraId="3025C25B" w14:textId="4F5DF219" w:rsidR="00FA3EBE" w:rsidRPr="00F96481" w:rsidRDefault="00FA3EBE" w:rsidP="00F96481">
            <w:pPr>
              <w:pStyle w:val="TableParagraph"/>
              <w:rPr>
                <w:rFonts w:ascii="Calibri" w:hAnsi="Calibri" w:cs="Calibri"/>
                <w:color w:val="000000"/>
                <w:sz w:val="24"/>
                <w:szCs w:val="24"/>
              </w:rPr>
            </w:pPr>
          </w:p>
        </w:tc>
        <w:tc>
          <w:tcPr>
            <w:tcW w:w="1559" w:type="dxa"/>
          </w:tcPr>
          <w:p w14:paraId="339DE5D1" w14:textId="41A68E01" w:rsidR="00FA3EBE" w:rsidRPr="00F96481" w:rsidRDefault="00FA3EBE" w:rsidP="00F96481">
            <w:pPr>
              <w:pStyle w:val="TableParagraph"/>
              <w:rPr>
                <w:rFonts w:ascii="Calibri" w:hAnsi="Calibri" w:cs="Calibri"/>
                <w:color w:val="000000"/>
                <w:sz w:val="24"/>
                <w:szCs w:val="24"/>
              </w:rPr>
            </w:pPr>
          </w:p>
        </w:tc>
        <w:tc>
          <w:tcPr>
            <w:tcW w:w="7230" w:type="dxa"/>
          </w:tcPr>
          <w:p w14:paraId="4B865037" w14:textId="18BF4EDD" w:rsidR="00FA3EBE" w:rsidRPr="00F96481" w:rsidRDefault="00F702F1" w:rsidP="00F96481">
            <w:pPr>
              <w:pStyle w:val="TableParagraph"/>
              <w:rPr>
                <w:rFonts w:ascii="Calibri" w:hAnsi="Calibri" w:cs="Calibri"/>
                <w:sz w:val="24"/>
                <w:szCs w:val="24"/>
              </w:rPr>
            </w:pPr>
            <w:r w:rsidRPr="00F96481">
              <w:rPr>
                <w:rFonts w:ascii="Calibri" w:hAnsi="Calibri" w:cs="Calibri"/>
                <w:sz w:val="24"/>
                <w:szCs w:val="24"/>
              </w:rPr>
              <w:t>[Measure(s) to be developed through engagement with Scottish Water and other stakeholders.]</w:t>
            </w:r>
          </w:p>
        </w:tc>
      </w:tr>
      <w:tr w:rsidR="002A3ABC" w:rsidRPr="00845C40" w14:paraId="14FB2950" w14:textId="77777777" w:rsidTr="00954233">
        <w:trPr>
          <w:trHeight w:val="293"/>
        </w:trPr>
        <w:tc>
          <w:tcPr>
            <w:tcW w:w="0" w:type="dxa"/>
          </w:tcPr>
          <w:p w14:paraId="43674DEB" w14:textId="7D0268E1" w:rsidR="00137625" w:rsidRPr="00F96481" w:rsidDel="00492192" w:rsidRDefault="00137625" w:rsidP="00F96481">
            <w:pPr>
              <w:pStyle w:val="TableParagraph"/>
              <w:rPr>
                <w:rFonts w:ascii="Calibri" w:hAnsi="Calibri" w:cs="Calibri"/>
                <w:sz w:val="24"/>
                <w:szCs w:val="24"/>
              </w:rPr>
            </w:pPr>
            <w:r w:rsidRPr="00954233">
              <w:rPr>
                <w:sz w:val="24"/>
                <w:szCs w:val="24"/>
              </w:rPr>
              <w:t>1.34</w:t>
            </w:r>
          </w:p>
        </w:tc>
        <w:tc>
          <w:tcPr>
            <w:tcW w:w="0" w:type="dxa"/>
          </w:tcPr>
          <w:p w14:paraId="6D2519B8" w14:textId="5CDD325D" w:rsidR="00137625" w:rsidRPr="00F96481" w:rsidRDefault="00137625" w:rsidP="00F96481">
            <w:pPr>
              <w:pStyle w:val="TableParagraph"/>
              <w:rPr>
                <w:rFonts w:ascii="Calibri" w:hAnsi="Calibri" w:cs="Calibri"/>
                <w:color w:val="000000"/>
                <w:sz w:val="24"/>
                <w:szCs w:val="24"/>
              </w:rPr>
            </w:pPr>
            <w:r w:rsidRPr="00954233">
              <w:rPr>
                <w:sz w:val="24"/>
                <w:szCs w:val="24"/>
              </w:rPr>
              <w:t xml:space="preserve">Net </w:t>
            </w:r>
            <w:r w:rsidR="00DF5CCC">
              <w:rPr>
                <w:sz w:val="24"/>
                <w:szCs w:val="24"/>
              </w:rPr>
              <w:t>Z</w:t>
            </w:r>
            <w:r w:rsidRPr="00954233">
              <w:rPr>
                <w:sz w:val="24"/>
                <w:szCs w:val="24"/>
              </w:rPr>
              <w:t xml:space="preserve">ero </w:t>
            </w:r>
            <w:r w:rsidR="00DF5CCC">
              <w:rPr>
                <w:sz w:val="24"/>
                <w:szCs w:val="24"/>
              </w:rPr>
              <w:t>E</w:t>
            </w:r>
            <w:r w:rsidRPr="00954233">
              <w:rPr>
                <w:sz w:val="24"/>
                <w:szCs w:val="24"/>
              </w:rPr>
              <w:t>missions</w:t>
            </w:r>
          </w:p>
        </w:tc>
        <w:tc>
          <w:tcPr>
            <w:tcW w:w="0" w:type="dxa"/>
          </w:tcPr>
          <w:p w14:paraId="43589085" w14:textId="0A9DBB71" w:rsidR="00137625" w:rsidRPr="00F96481" w:rsidRDefault="00137625" w:rsidP="00F96481">
            <w:pPr>
              <w:pStyle w:val="TableParagraph"/>
              <w:rPr>
                <w:rFonts w:ascii="Calibri" w:hAnsi="Calibri" w:cs="Calibri"/>
                <w:color w:val="000000"/>
                <w:sz w:val="24"/>
                <w:szCs w:val="24"/>
              </w:rPr>
            </w:pPr>
            <w:r w:rsidRPr="00954233">
              <w:rPr>
                <w:sz w:val="24"/>
                <w:szCs w:val="24"/>
              </w:rPr>
              <w:t xml:space="preserve">Net </w:t>
            </w:r>
            <w:r w:rsidR="00595EAC">
              <w:rPr>
                <w:sz w:val="24"/>
                <w:szCs w:val="24"/>
              </w:rPr>
              <w:t>Z</w:t>
            </w:r>
            <w:r w:rsidRPr="00954233">
              <w:rPr>
                <w:sz w:val="24"/>
                <w:szCs w:val="24"/>
              </w:rPr>
              <w:t xml:space="preserve">ero </w:t>
            </w:r>
            <w:r w:rsidR="00595EAC">
              <w:rPr>
                <w:sz w:val="24"/>
                <w:szCs w:val="24"/>
              </w:rPr>
              <w:t>E</w:t>
            </w:r>
            <w:r w:rsidRPr="00954233">
              <w:rPr>
                <w:sz w:val="24"/>
                <w:szCs w:val="24"/>
              </w:rPr>
              <w:t>missions</w:t>
            </w:r>
          </w:p>
        </w:tc>
        <w:tc>
          <w:tcPr>
            <w:tcW w:w="1559" w:type="dxa"/>
          </w:tcPr>
          <w:p w14:paraId="37AD0EB7" w14:textId="68DDB46D" w:rsidR="00137625" w:rsidRPr="00F96481" w:rsidRDefault="00137625" w:rsidP="00F96481">
            <w:pPr>
              <w:pStyle w:val="TableParagraph"/>
              <w:rPr>
                <w:rFonts w:ascii="Calibri" w:hAnsi="Calibri" w:cs="Calibri"/>
                <w:color w:val="000000"/>
                <w:sz w:val="24"/>
                <w:szCs w:val="24"/>
              </w:rPr>
            </w:pPr>
            <w:r w:rsidRPr="00954233">
              <w:rPr>
                <w:sz w:val="24"/>
                <w:szCs w:val="24"/>
              </w:rPr>
              <w:t>tCO2e</w:t>
            </w:r>
          </w:p>
        </w:tc>
        <w:tc>
          <w:tcPr>
            <w:tcW w:w="7230" w:type="dxa"/>
          </w:tcPr>
          <w:p w14:paraId="051A5881" w14:textId="2CE1F5A6" w:rsidR="00137625" w:rsidRPr="00F96481" w:rsidRDefault="001D32AD" w:rsidP="00F96481">
            <w:pPr>
              <w:pStyle w:val="TableParagraph"/>
              <w:rPr>
                <w:rFonts w:ascii="Calibri" w:hAnsi="Calibri" w:cs="Calibri"/>
                <w:sz w:val="24"/>
                <w:szCs w:val="24"/>
              </w:rPr>
            </w:pPr>
            <w:r w:rsidRPr="001D32AD">
              <w:rPr>
                <w:rFonts w:ascii="Calibri" w:hAnsi="Calibri" w:cs="Calibri"/>
                <w:sz w:val="24"/>
                <w:szCs w:val="24"/>
              </w:rPr>
              <w:t xml:space="preserve">Net emissions are </w:t>
            </w:r>
            <w:r w:rsidR="00A82FD7">
              <w:rPr>
                <w:rFonts w:ascii="Calibri" w:hAnsi="Calibri" w:cs="Calibri"/>
                <w:sz w:val="24"/>
                <w:szCs w:val="24"/>
              </w:rPr>
              <w:t>calculated</w:t>
            </w:r>
            <w:r w:rsidRPr="001D32AD">
              <w:rPr>
                <w:rFonts w:ascii="Calibri" w:hAnsi="Calibri" w:cs="Calibri"/>
                <w:sz w:val="24"/>
                <w:szCs w:val="24"/>
              </w:rPr>
              <w:t xml:space="preserve"> as the balance between operational and capital investment emissions, and carbon captured using the latest available data and emission factors in each reporting year.</w:t>
            </w:r>
          </w:p>
        </w:tc>
      </w:tr>
      <w:tr w:rsidR="002A3ABC" w:rsidRPr="00845C40" w14:paraId="6515F034" w14:textId="77777777" w:rsidTr="00954233">
        <w:trPr>
          <w:trHeight w:val="293"/>
        </w:trPr>
        <w:tc>
          <w:tcPr>
            <w:tcW w:w="0" w:type="dxa"/>
          </w:tcPr>
          <w:p w14:paraId="7887DA42" w14:textId="7399AF4D" w:rsidR="00703396" w:rsidRPr="00F96481" w:rsidRDefault="00703396" w:rsidP="00F96481">
            <w:pPr>
              <w:pStyle w:val="TableParagraph"/>
              <w:rPr>
                <w:rFonts w:ascii="Calibri" w:hAnsi="Calibri" w:cs="Calibri"/>
                <w:sz w:val="24"/>
                <w:szCs w:val="24"/>
              </w:rPr>
            </w:pPr>
            <w:r w:rsidRPr="00954233">
              <w:rPr>
                <w:sz w:val="24"/>
                <w:szCs w:val="24"/>
              </w:rPr>
              <w:t>1.35</w:t>
            </w:r>
          </w:p>
        </w:tc>
        <w:tc>
          <w:tcPr>
            <w:tcW w:w="1843" w:type="dxa"/>
          </w:tcPr>
          <w:p w14:paraId="0ECD0E64" w14:textId="3B05F6D7"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Operational emissions</w:t>
            </w:r>
          </w:p>
        </w:tc>
        <w:tc>
          <w:tcPr>
            <w:tcW w:w="0" w:type="dxa"/>
          </w:tcPr>
          <w:p w14:paraId="6BADC1E8" w14:textId="24C84B4A"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Operational emissions </w:t>
            </w:r>
            <w:r w:rsidR="00CB346F">
              <w:rPr>
                <w:rFonts w:ascii="Calibri" w:hAnsi="Calibri" w:cs="Calibri"/>
                <w:color w:val="000000"/>
                <w:sz w:val="24"/>
                <w:szCs w:val="24"/>
              </w:rPr>
              <w:t>(</w:t>
            </w:r>
            <w:r w:rsidRPr="00F96481">
              <w:rPr>
                <w:rFonts w:ascii="Calibri" w:hAnsi="Calibri" w:cs="Calibri"/>
                <w:color w:val="000000"/>
                <w:sz w:val="24"/>
                <w:szCs w:val="24"/>
              </w:rPr>
              <w:t>water</w:t>
            </w:r>
            <w:r w:rsidR="00CB346F">
              <w:rPr>
                <w:rFonts w:ascii="Calibri" w:hAnsi="Calibri" w:cs="Calibri"/>
                <w:color w:val="000000"/>
                <w:sz w:val="24"/>
                <w:szCs w:val="24"/>
              </w:rPr>
              <w:t>)</w:t>
            </w:r>
          </w:p>
        </w:tc>
        <w:tc>
          <w:tcPr>
            <w:tcW w:w="1559" w:type="dxa"/>
          </w:tcPr>
          <w:p w14:paraId="03F4C83D" w14:textId="73F501FD"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tCO2e</w:t>
            </w:r>
          </w:p>
        </w:tc>
        <w:tc>
          <w:tcPr>
            <w:tcW w:w="7230" w:type="dxa"/>
          </w:tcPr>
          <w:p w14:paraId="60B26F73" w14:textId="72203897" w:rsidR="00703396" w:rsidRPr="00F96481" w:rsidRDefault="00703396" w:rsidP="00F96481">
            <w:pPr>
              <w:pStyle w:val="TableParagraph"/>
              <w:rPr>
                <w:rFonts w:ascii="Calibri" w:hAnsi="Calibri" w:cs="Calibri"/>
                <w:sz w:val="24"/>
                <w:szCs w:val="24"/>
              </w:rPr>
            </w:pPr>
            <w:r w:rsidRPr="00F96481">
              <w:rPr>
                <w:rFonts w:ascii="Calibri" w:hAnsi="Calibri" w:cs="Calibri"/>
                <w:sz w:val="24"/>
                <w:szCs w:val="24"/>
              </w:rPr>
              <w:t>Greenhouse gas emissions expressed in tonnes CO</w:t>
            </w:r>
            <w:r w:rsidRPr="00F96481">
              <w:rPr>
                <w:rFonts w:ascii="Calibri" w:hAnsi="Calibri" w:cs="Calibri"/>
                <w:sz w:val="24"/>
                <w:szCs w:val="24"/>
                <w:vertAlign w:val="subscript"/>
              </w:rPr>
              <w:t>2</w:t>
            </w:r>
            <w:r w:rsidRPr="00954233">
              <w:rPr>
                <w:rFonts w:ascii="Calibri" w:hAnsi="Calibri" w:cs="Calibri"/>
                <w:sz w:val="24"/>
                <w:szCs w:val="24"/>
              </w:rPr>
              <w:t>e</w:t>
            </w:r>
            <w:r w:rsidRPr="00F96481">
              <w:rPr>
                <w:rFonts w:ascii="Calibri" w:hAnsi="Calibri" w:cs="Calibri"/>
                <w:sz w:val="24"/>
                <w:szCs w:val="24"/>
              </w:rPr>
              <w:t xml:space="preserve"> (carbon dioxide equivalent) associated with </w:t>
            </w:r>
            <w:r w:rsidR="00AE0AD1">
              <w:rPr>
                <w:rFonts w:ascii="Calibri" w:hAnsi="Calibri" w:cs="Calibri"/>
                <w:sz w:val="24"/>
                <w:szCs w:val="24"/>
              </w:rPr>
              <w:t xml:space="preserve">operating </w:t>
            </w:r>
            <w:r w:rsidRPr="00F96481">
              <w:rPr>
                <w:rFonts w:ascii="Calibri" w:hAnsi="Calibri" w:cs="Calibri"/>
                <w:sz w:val="24"/>
                <w:szCs w:val="24"/>
              </w:rPr>
              <w:t xml:space="preserve">water infrastructure. Relevant emissions are calculated using the </w:t>
            </w:r>
            <w:r w:rsidR="00BF6664">
              <w:rPr>
                <w:rFonts w:ascii="Calibri" w:hAnsi="Calibri" w:cs="Calibri"/>
                <w:sz w:val="24"/>
                <w:szCs w:val="24"/>
              </w:rPr>
              <w:t xml:space="preserve">latest </w:t>
            </w:r>
            <w:r w:rsidRPr="00F96481">
              <w:rPr>
                <w:rFonts w:ascii="Calibri" w:hAnsi="Calibri" w:cs="Calibri"/>
                <w:sz w:val="24"/>
                <w:szCs w:val="24"/>
              </w:rPr>
              <w:t>UK Water Industry Research Ltd (UKWIR) Carbon Accounting Workbook (CAW).</w:t>
            </w:r>
          </w:p>
        </w:tc>
      </w:tr>
      <w:tr w:rsidR="002A3ABC" w:rsidRPr="00845C40" w14:paraId="753E0B62" w14:textId="77777777" w:rsidTr="00954233">
        <w:trPr>
          <w:trHeight w:val="293"/>
        </w:trPr>
        <w:tc>
          <w:tcPr>
            <w:tcW w:w="0" w:type="dxa"/>
          </w:tcPr>
          <w:p w14:paraId="6869C278" w14:textId="5927DAA3" w:rsidR="00703396" w:rsidRPr="00F96481" w:rsidRDefault="00703396" w:rsidP="00F96481">
            <w:pPr>
              <w:pStyle w:val="TableParagraph"/>
              <w:rPr>
                <w:rFonts w:ascii="Calibri" w:hAnsi="Calibri" w:cs="Calibri"/>
                <w:sz w:val="24"/>
                <w:szCs w:val="24"/>
              </w:rPr>
            </w:pPr>
            <w:r w:rsidRPr="00954233">
              <w:rPr>
                <w:sz w:val="24"/>
                <w:szCs w:val="24"/>
              </w:rPr>
              <w:t>1.36</w:t>
            </w:r>
          </w:p>
        </w:tc>
        <w:tc>
          <w:tcPr>
            <w:tcW w:w="0" w:type="dxa"/>
          </w:tcPr>
          <w:p w14:paraId="3C5665FD" w14:textId="531942D9"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Operational emissions</w:t>
            </w:r>
          </w:p>
        </w:tc>
        <w:tc>
          <w:tcPr>
            <w:tcW w:w="2693" w:type="dxa"/>
          </w:tcPr>
          <w:p w14:paraId="0B265E5F" w14:textId="129F1CEA"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Operational emissions </w:t>
            </w:r>
            <w:r w:rsidR="00CB346F">
              <w:rPr>
                <w:rFonts w:ascii="Calibri" w:hAnsi="Calibri" w:cs="Calibri"/>
                <w:color w:val="000000"/>
                <w:sz w:val="24"/>
                <w:szCs w:val="24"/>
              </w:rPr>
              <w:t>(</w:t>
            </w:r>
            <w:r w:rsidRPr="00F96481">
              <w:rPr>
                <w:rFonts w:ascii="Calibri" w:hAnsi="Calibri" w:cs="Calibri"/>
                <w:color w:val="000000"/>
                <w:sz w:val="24"/>
                <w:szCs w:val="24"/>
              </w:rPr>
              <w:t>wastewater</w:t>
            </w:r>
            <w:r w:rsidR="00CB346F">
              <w:rPr>
                <w:rFonts w:ascii="Calibri" w:hAnsi="Calibri" w:cs="Calibri"/>
                <w:color w:val="000000"/>
                <w:sz w:val="24"/>
                <w:szCs w:val="24"/>
              </w:rPr>
              <w:t>)</w:t>
            </w:r>
          </w:p>
          <w:p w14:paraId="59936011" w14:textId="77777777" w:rsidR="00703396" w:rsidRPr="00F96481" w:rsidRDefault="00703396" w:rsidP="00F96481">
            <w:pPr>
              <w:pStyle w:val="TableParagraph"/>
              <w:rPr>
                <w:rFonts w:ascii="Calibri" w:hAnsi="Calibri" w:cs="Calibri"/>
                <w:color w:val="000000"/>
                <w:sz w:val="24"/>
                <w:szCs w:val="24"/>
              </w:rPr>
            </w:pPr>
          </w:p>
        </w:tc>
        <w:tc>
          <w:tcPr>
            <w:tcW w:w="1559" w:type="dxa"/>
          </w:tcPr>
          <w:p w14:paraId="05D95F1F" w14:textId="59FF0654"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tCO2e</w:t>
            </w:r>
          </w:p>
        </w:tc>
        <w:tc>
          <w:tcPr>
            <w:tcW w:w="7230" w:type="dxa"/>
          </w:tcPr>
          <w:p w14:paraId="7F22CDCC" w14:textId="7D250875" w:rsidR="00703396" w:rsidRPr="00F96481" w:rsidRDefault="00703396" w:rsidP="00F96481">
            <w:pPr>
              <w:pStyle w:val="TableParagraph"/>
              <w:rPr>
                <w:rFonts w:ascii="Calibri" w:hAnsi="Calibri" w:cs="Calibri"/>
                <w:sz w:val="24"/>
                <w:szCs w:val="24"/>
              </w:rPr>
            </w:pPr>
            <w:r w:rsidRPr="00F96481">
              <w:rPr>
                <w:rFonts w:ascii="Calibri" w:hAnsi="Calibri" w:cs="Calibri"/>
                <w:sz w:val="24"/>
                <w:szCs w:val="24"/>
              </w:rPr>
              <w:t>Greenhouse gas emissions expressed in tonnes CO</w:t>
            </w:r>
            <w:r w:rsidRPr="00F96481">
              <w:rPr>
                <w:rFonts w:ascii="Calibri" w:hAnsi="Calibri" w:cs="Calibri"/>
                <w:sz w:val="24"/>
                <w:szCs w:val="24"/>
                <w:vertAlign w:val="subscript"/>
              </w:rPr>
              <w:t>2</w:t>
            </w:r>
            <w:r w:rsidRPr="00954233">
              <w:rPr>
                <w:rFonts w:ascii="Calibri" w:hAnsi="Calibri" w:cs="Calibri"/>
                <w:sz w:val="24"/>
                <w:szCs w:val="24"/>
              </w:rPr>
              <w:t>e</w:t>
            </w:r>
            <w:r w:rsidRPr="00F96481">
              <w:rPr>
                <w:rFonts w:ascii="Calibri" w:hAnsi="Calibri" w:cs="Calibri"/>
                <w:sz w:val="24"/>
                <w:szCs w:val="24"/>
              </w:rPr>
              <w:t xml:space="preserve"> (carbon dioxide equivalent) associated with </w:t>
            </w:r>
            <w:r w:rsidR="00625BE1">
              <w:rPr>
                <w:rFonts w:ascii="Calibri" w:hAnsi="Calibri" w:cs="Calibri"/>
                <w:sz w:val="24"/>
                <w:szCs w:val="24"/>
              </w:rPr>
              <w:t xml:space="preserve">operating </w:t>
            </w:r>
            <w:r w:rsidRPr="00F96481">
              <w:rPr>
                <w:rFonts w:ascii="Calibri" w:hAnsi="Calibri" w:cs="Calibri"/>
                <w:sz w:val="24"/>
                <w:szCs w:val="24"/>
              </w:rPr>
              <w:t xml:space="preserve">wastewater infrastructure. Relevant emissions are calculated using the </w:t>
            </w:r>
            <w:r w:rsidR="006F30B1">
              <w:rPr>
                <w:rFonts w:ascii="Calibri" w:hAnsi="Calibri" w:cs="Calibri"/>
                <w:sz w:val="24"/>
                <w:szCs w:val="24"/>
              </w:rPr>
              <w:t>latest</w:t>
            </w:r>
            <w:r w:rsidRPr="00F96481">
              <w:rPr>
                <w:rFonts w:ascii="Calibri" w:hAnsi="Calibri" w:cs="Calibri"/>
                <w:sz w:val="24"/>
                <w:szCs w:val="24"/>
              </w:rPr>
              <w:t xml:space="preserve"> UK Water Industry Research Ltd (UKWIR) Carbon Accounting Workbook (CAW).</w:t>
            </w:r>
          </w:p>
        </w:tc>
      </w:tr>
      <w:tr w:rsidR="002A3ABC" w:rsidRPr="00845C40" w14:paraId="2A58BA95" w14:textId="77777777" w:rsidTr="00954233">
        <w:trPr>
          <w:trHeight w:val="293"/>
        </w:trPr>
        <w:tc>
          <w:tcPr>
            <w:tcW w:w="0" w:type="dxa"/>
          </w:tcPr>
          <w:p w14:paraId="6847AD9A" w14:textId="10C26D56" w:rsidR="00703396" w:rsidRPr="00F96481" w:rsidRDefault="00703396" w:rsidP="00F96481">
            <w:pPr>
              <w:pStyle w:val="TableParagraph"/>
              <w:rPr>
                <w:rFonts w:ascii="Calibri" w:hAnsi="Calibri" w:cs="Calibri"/>
                <w:sz w:val="24"/>
                <w:szCs w:val="24"/>
              </w:rPr>
            </w:pPr>
            <w:r w:rsidRPr="00954233">
              <w:rPr>
                <w:sz w:val="24"/>
                <w:szCs w:val="24"/>
              </w:rPr>
              <w:t>1.37</w:t>
            </w:r>
          </w:p>
        </w:tc>
        <w:tc>
          <w:tcPr>
            <w:tcW w:w="0" w:type="dxa"/>
          </w:tcPr>
          <w:p w14:paraId="20DBE8A7" w14:textId="2B8FD72A"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Operational emissions</w:t>
            </w:r>
          </w:p>
        </w:tc>
        <w:tc>
          <w:tcPr>
            <w:tcW w:w="2693" w:type="dxa"/>
          </w:tcPr>
          <w:p w14:paraId="2F79243D" w14:textId="0F712486" w:rsidR="00703396" w:rsidRPr="00F96481" w:rsidRDefault="00703396" w:rsidP="00F96481">
            <w:pPr>
              <w:pStyle w:val="TableParagraph"/>
              <w:rPr>
                <w:rFonts w:ascii="Calibri" w:hAnsi="Calibri" w:cs="Calibri"/>
                <w:color w:val="000000"/>
                <w:sz w:val="24"/>
                <w:szCs w:val="24"/>
              </w:rPr>
            </w:pPr>
            <w:r w:rsidRPr="00F96481">
              <w:rPr>
                <w:rFonts w:ascii="Calibri" w:hAnsi="Calibri" w:cs="Calibri"/>
                <w:sz w:val="24"/>
                <w:szCs w:val="24"/>
              </w:rPr>
              <w:t>Percentage reduction in operational emissions compared to 2006-07 baseline</w:t>
            </w:r>
          </w:p>
        </w:tc>
        <w:tc>
          <w:tcPr>
            <w:tcW w:w="1559" w:type="dxa"/>
          </w:tcPr>
          <w:p w14:paraId="556FFC45" w14:textId="16227CC9"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w:t>
            </w:r>
          </w:p>
        </w:tc>
        <w:tc>
          <w:tcPr>
            <w:tcW w:w="7230" w:type="dxa"/>
          </w:tcPr>
          <w:p w14:paraId="442DC12D" w14:textId="56936206" w:rsidR="00703396" w:rsidRPr="00F96481" w:rsidRDefault="00703396" w:rsidP="00F96481">
            <w:pPr>
              <w:pStyle w:val="TableParagraph"/>
              <w:rPr>
                <w:rFonts w:ascii="Calibri" w:hAnsi="Calibri" w:cs="Calibri"/>
                <w:sz w:val="24"/>
                <w:szCs w:val="24"/>
              </w:rPr>
            </w:pPr>
            <w:r w:rsidRPr="00F96481">
              <w:rPr>
                <w:rFonts w:ascii="Calibri" w:hAnsi="Calibri" w:cs="Calibri"/>
                <w:sz w:val="24"/>
                <w:szCs w:val="24"/>
              </w:rPr>
              <w:t xml:space="preserve">The percentage reduction in </w:t>
            </w:r>
            <w:r w:rsidR="006D0320">
              <w:rPr>
                <w:rFonts w:ascii="Calibri" w:hAnsi="Calibri" w:cs="Calibri"/>
                <w:sz w:val="24"/>
                <w:szCs w:val="24"/>
              </w:rPr>
              <w:t>g</w:t>
            </w:r>
            <w:r w:rsidRPr="00F96481">
              <w:rPr>
                <w:rFonts w:ascii="Calibri" w:hAnsi="Calibri" w:cs="Calibri"/>
                <w:sz w:val="24"/>
                <w:szCs w:val="24"/>
              </w:rPr>
              <w:t>reenhouse gas emissions expressed in tonnes CO</w:t>
            </w:r>
            <w:r w:rsidRPr="00F96481">
              <w:rPr>
                <w:rFonts w:ascii="Calibri" w:hAnsi="Calibri" w:cs="Calibri"/>
                <w:sz w:val="24"/>
                <w:szCs w:val="24"/>
                <w:vertAlign w:val="subscript"/>
              </w:rPr>
              <w:t>2</w:t>
            </w:r>
            <w:r w:rsidRPr="00954233">
              <w:rPr>
                <w:rFonts w:ascii="Calibri" w:hAnsi="Calibri" w:cs="Calibri"/>
                <w:sz w:val="24"/>
                <w:szCs w:val="24"/>
              </w:rPr>
              <w:t>e</w:t>
            </w:r>
            <w:r w:rsidRPr="00F96481">
              <w:rPr>
                <w:rFonts w:ascii="Calibri" w:hAnsi="Calibri" w:cs="Calibri"/>
                <w:sz w:val="24"/>
                <w:szCs w:val="24"/>
              </w:rPr>
              <w:t xml:space="preserve"> (carbon dioxide equivalent) compared to </w:t>
            </w:r>
            <w:r w:rsidR="00185C1C">
              <w:rPr>
                <w:rFonts w:ascii="Calibri" w:hAnsi="Calibri" w:cs="Calibri"/>
                <w:sz w:val="24"/>
                <w:szCs w:val="24"/>
              </w:rPr>
              <w:t xml:space="preserve">the </w:t>
            </w:r>
            <w:r w:rsidRPr="00F96481">
              <w:rPr>
                <w:rFonts w:ascii="Calibri" w:hAnsi="Calibri" w:cs="Calibri"/>
                <w:sz w:val="24"/>
                <w:szCs w:val="24"/>
              </w:rPr>
              <w:t xml:space="preserve">2006-07 baseline. Relevant emissions are calculated using the </w:t>
            </w:r>
            <w:r w:rsidR="00A51EBD">
              <w:rPr>
                <w:rFonts w:ascii="Calibri" w:hAnsi="Calibri" w:cs="Calibri"/>
                <w:sz w:val="24"/>
                <w:szCs w:val="24"/>
              </w:rPr>
              <w:t xml:space="preserve">latest </w:t>
            </w:r>
            <w:r w:rsidRPr="00F96481">
              <w:rPr>
                <w:rFonts w:ascii="Calibri" w:hAnsi="Calibri" w:cs="Calibri"/>
                <w:sz w:val="24"/>
                <w:szCs w:val="24"/>
              </w:rPr>
              <w:t>UK Water Industry Research Ltd (UKWIR) Carbon Accounting Workbook (CAW).</w:t>
            </w:r>
          </w:p>
        </w:tc>
      </w:tr>
      <w:tr w:rsidR="002A3ABC" w:rsidRPr="00845C40" w14:paraId="617CA4FF" w14:textId="77777777" w:rsidTr="00954233">
        <w:trPr>
          <w:trHeight w:val="293"/>
        </w:trPr>
        <w:tc>
          <w:tcPr>
            <w:tcW w:w="0" w:type="dxa"/>
          </w:tcPr>
          <w:p w14:paraId="28FABACD" w14:textId="6F245333" w:rsidR="00703396" w:rsidRPr="00F96481" w:rsidRDefault="00703396" w:rsidP="00F96481">
            <w:pPr>
              <w:pStyle w:val="TableParagraph"/>
              <w:rPr>
                <w:rFonts w:ascii="Calibri" w:hAnsi="Calibri" w:cs="Calibri"/>
                <w:sz w:val="24"/>
                <w:szCs w:val="24"/>
              </w:rPr>
            </w:pPr>
            <w:r w:rsidRPr="00954233">
              <w:rPr>
                <w:sz w:val="24"/>
                <w:szCs w:val="24"/>
              </w:rPr>
              <w:t>1.38</w:t>
            </w:r>
          </w:p>
        </w:tc>
        <w:tc>
          <w:tcPr>
            <w:tcW w:w="1843" w:type="dxa"/>
          </w:tcPr>
          <w:p w14:paraId="35DD07B1" w14:textId="262274CB"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Operational emissions</w:t>
            </w:r>
          </w:p>
        </w:tc>
        <w:tc>
          <w:tcPr>
            <w:tcW w:w="0" w:type="dxa"/>
          </w:tcPr>
          <w:p w14:paraId="7B7CD422" w14:textId="5F98C642" w:rsidR="00703396" w:rsidRPr="00F96481" w:rsidRDefault="00CD7B8B" w:rsidP="00F96481">
            <w:pPr>
              <w:pStyle w:val="TableParagraph"/>
              <w:rPr>
                <w:rFonts w:ascii="Calibri" w:hAnsi="Calibri" w:cs="Calibri"/>
                <w:color w:val="000000"/>
                <w:sz w:val="24"/>
                <w:szCs w:val="24"/>
              </w:rPr>
            </w:pPr>
            <w:r>
              <w:rPr>
                <w:rFonts w:ascii="Calibri" w:hAnsi="Calibri" w:cs="Calibri"/>
                <w:color w:val="000000"/>
                <w:sz w:val="24"/>
                <w:szCs w:val="24"/>
              </w:rPr>
              <w:t>Operational emissions (net</w:t>
            </w:r>
            <w:r w:rsidR="002D7C17">
              <w:rPr>
                <w:rFonts w:ascii="Calibri" w:hAnsi="Calibri" w:cs="Calibri"/>
                <w:color w:val="000000"/>
                <w:sz w:val="24"/>
                <w:szCs w:val="24"/>
              </w:rPr>
              <w:t xml:space="preserve"> emissions</w:t>
            </w:r>
            <w:r>
              <w:rPr>
                <w:rFonts w:ascii="Calibri" w:hAnsi="Calibri" w:cs="Calibri"/>
                <w:color w:val="000000"/>
                <w:sz w:val="24"/>
                <w:szCs w:val="24"/>
              </w:rPr>
              <w:t>)</w:t>
            </w:r>
          </w:p>
        </w:tc>
        <w:tc>
          <w:tcPr>
            <w:tcW w:w="1559" w:type="dxa"/>
          </w:tcPr>
          <w:p w14:paraId="7EE31D73" w14:textId="506ECC52" w:rsidR="00703396" w:rsidRPr="00F96481" w:rsidRDefault="00703396" w:rsidP="00F96481">
            <w:pPr>
              <w:pStyle w:val="TableParagraph"/>
              <w:rPr>
                <w:rFonts w:ascii="Calibri" w:hAnsi="Calibri" w:cs="Calibri"/>
                <w:color w:val="000000"/>
                <w:sz w:val="24"/>
                <w:szCs w:val="24"/>
              </w:rPr>
            </w:pPr>
            <w:r w:rsidRPr="00F96481">
              <w:rPr>
                <w:rFonts w:ascii="Calibri" w:hAnsi="Calibri" w:cs="Calibri"/>
                <w:color w:val="000000"/>
                <w:sz w:val="24"/>
                <w:szCs w:val="24"/>
              </w:rPr>
              <w:t>tCO2e</w:t>
            </w:r>
          </w:p>
        </w:tc>
        <w:tc>
          <w:tcPr>
            <w:tcW w:w="7230" w:type="dxa"/>
          </w:tcPr>
          <w:p w14:paraId="69EDC3C7" w14:textId="2E3E433C" w:rsidR="00703396" w:rsidRPr="00F96481" w:rsidRDefault="00703396" w:rsidP="00F96481">
            <w:pPr>
              <w:pStyle w:val="TableParagraph"/>
              <w:rPr>
                <w:rFonts w:ascii="Calibri" w:hAnsi="Calibri" w:cs="Calibri"/>
                <w:sz w:val="24"/>
                <w:szCs w:val="24"/>
              </w:rPr>
            </w:pPr>
            <w:r w:rsidRPr="00F96481">
              <w:rPr>
                <w:rFonts w:ascii="Calibri" w:hAnsi="Calibri" w:cs="Calibri"/>
                <w:sz w:val="24"/>
                <w:szCs w:val="24"/>
              </w:rPr>
              <w:t>Greenhouse gas emissions expressed in tonnes CO</w:t>
            </w:r>
            <w:r w:rsidRPr="00F96481">
              <w:rPr>
                <w:rFonts w:ascii="Calibri" w:hAnsi="Calibri" w:cs="Calibri"/>
                <w:sz w:val="24"/>
                <w:szCs w:val="24"/>
                <w:vertAlign w:val="subscript"/>
              </w:rPr>
              <w:t>2</w:t>
            </w:r>
            <w:r w:rsidRPr="00954233">
              <w:rPr>
                <w:rFonts w:ascii="Calibri" w:hAnsi="Calibri" w:cs="Calibri"/>
                <w:sz w:val="24"/>
                <w:szCs w:val="24"/>
              </w:rPr>
              <w:t>e</w:t>
            </w:r>
            <w:r w:rsidRPr="00F96481">
              <w:rPr>
                <w:rFonts w:ascii="Calibri" w:hAnsi="Calibri" w:cs="Calibri"/>
                <w:sz w:val="24"/>
                <w:szCs w:val="24"/>
              </w:rPr>
              <w:t xml:space="preserve"> (carbon dioxide equivalent) net of </w:t>
            </w:r>
            <w:r w:rsidR="002A637E">
              <w:rPr>
                <w:rFonts w:ascii="Calibri" w:hAnsi="Calibri" w:cs="Calibri"/>
                <w:sz w:val="24"/>
                <w:szCs w:val="24"/>
              </w:rPr>
              <w:t>carbon capture, electricity export or other relevant reductions</w:t>
            </w:r>
            <w:r w:rsidRPr="00F96481">
              <w:rPr>
                <w:rFonts w:ascii="Calibri" w:hAnsi="Calibri" w:cs="Calibri"/>
                <w:sz w:val="24"/>
                <w:szCs w:val="24"/>
              </w:rPr>
              <w:t xml:space="preserve">. Relevant emissions are calculated using the </w:t>
            </w:r>
            <w:r w:rsidR="0011744C">
              <w:rPr>
                <w:rFonts w:ascii="Calibri" w:hAnsi="Calibri" w:cs="Calibri"/>
                <w:sz w:val="24"/>
                <w:szCs w:val="24"/>
              </w:rPr>
              <w:t xml:space="preserve">latest </w:t>
            </w:r>
            <w:r w:rsidRPr="00F96481">
              <w:rPr>
                <w:rFonts w:ascii="Calibri" w:hAnsi="Calibri" w:cs="Calibri"/>
                <w:sz w:val="24"/>
                <w:szCs w:val="24"/>
              </w:rPr>
              <w:t>UK Water Industry Research Ltd (UKWIR) Carbon Accounting Workbook (CAW).</w:t>
            </w:r>
            <w:r w:rsidR="00AE0AD1">
              <w:rPr>
                <w:rFonts w:ascii="Calibri" w:hAnsi="Calibri" w:cs="Calibri"/>
                <w:sz w:val="24"/>
                <w:szCs w:val="24"/>
              </w:rPr>
              <w:t xml:space="preserve"> </w:t>
            </w:r>
            <w:r w:rsidR="00AE0AD1" w:rsidRPr="00AE0AD1">
              <w:rPr>
                <w:rFonts w:ascii="Calibri" w:hAnsi="Calibri" w:cs="Calibri"/>
                <w:sz w:val="24"/>
                <w:szCs w:val="24"/>
              </w:rPr>
              <w:t>Carbon capture is assessed using methods agreed for the NZE metric.</w:t>
            </w:r>
          </w:p>
        </w:tc>
      </w:tr>
      <w:tr w:rsidR="002A3ABC" w:rsidRPr="00845C40" w14:paraId="219A409B" w14:textId="77777777" w:rsidTr="00954233">
        <w:trPr>
          <w:trHeight w:val="293"/>
        </w:trPr>
        <w:tc>
          <w:tcPr>
            <w:tcW w:w="0" w:type="dxa"/>
          </w:tcPr>
          <w:p w14:paraId="61B26F13" w14:textId="25A62CD7" w:rsidR="00FA3EBE" w:rsidRPr="00F96481" w:rsidRDefault="00324C07" w:rsidP="00F96481">
            <w:pPr>
              <w:pStyle w:val="TableParagraph"/>
              <w:rPr>
                <w:rFonts w:ascii="Calibri" w:hAnsi="Calibri" w:cs="Calibri"/>
                <w:sz w:val="24"/>
                <w:szCs w:val="24"/>
              </w:rPr>
            </w:pPr>
            <w:r w:rsidRPr="00F96481">
              <w:rPr>
                <w:rFonts w:ascii="Calibri" w:hAnsi="Calibri" w:cs="Calibri"/>
                <w:sz w:val="24"/>
                <w:szCs w:val="24"/>
              </w:rPr>
              <w:t>1.39</w:t>
            </w:r>
          </w:p>
        </w:tc>
        <w:tc>
          <w:tcPr>
            <w:tcW w:w="0" w:type="dxa"/>
          </w:tcPr>
          <w:p w14:paraId="155C0D63" w14:textId="36CBC858"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 xml:space="preserve">Climate Change </w:t>
            </w:r>
            <w:r w:rsidRPr="00F96481">
              <w:rPr>
                <w:rFonts w:ascii="Calibri" w:hAnsi="Calibri" w:cs="Calibri"/>
                <w:color w:val="000000"/>
                <w:sz w:val="24"/>
                <w:szCs w:val="24"/>
              </w:rPr>
              <w:lastRenderedPageBreak/>
              <w:t>Mitigation</w:t>
            </w:r>
          </w:p>
        </w:tc>
        <w:tc>
          <w:tcPr>
            <w:tcW w:w="2693" w:type="dxa"/>
          </w:tcPr>
          <w:p w14:paraId="077A4E82" w14:textId="7312F7FD" w:rsidR="00FA3EBE" w:rsidRPr="00F96481" w:rsidRDefault="004F46F5" w:rsidP="00F96481">
            <w:pPr>
              <w:pStyle w:val="TableParagraph"/>
              <w:rPr>
                <w:rFonts w:ascii="Calibri" w:hAnsi="Calibri" w:cs="Calibri"/>
                <w:color w:val="000000"/>
                <w:sz w:val="24"/>
                <w:szCs w:val="24"/>
              </w:rPr>
            </w:pPr>
            <w:r w:rsidRPr="00F96481">
              <w:rPr>
                <w:rFonts w:ascii="Calibri" w:hAnsi="Calibri" w:cs="Calibri"/>
                <w:color w:val="000000"/>
                <w:sz w:val="24"/>
                <w:szCs w:val="24"/>
              </w:rPr>
              <w:lastRenderedPageBreak/>
              <w:t xml:space="preserve">Investment </w:t>
            </w:r>
            <w:r w:rsidR="00FA3EBE" w:rsidRPr="00F96481">
              <w:rPr>
                <w:rFonts w:ascii="Calibri" w:hAnsi="Calibri" w:cs="Calibri"/>
                <w:color w:val="000000"/>
                <w:sz w:val="24"/>
                <w:szCs w:val="24"/>
              </w:rPr>
              <w:t>emissions</w:t>
            </w:r>
          </w:p>
        </w:tc>
        <w:tc>
          <w:tcPr>
            <w:tcW w:w="1559" w:type="dxa"/>
          </w:tcPr>
          <w:p w14:paraId="7A2285E6" w14:textId="019C4401"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 tCO2e</w:t>
            </w:r>
          </w:p>
        </w:tc>
        <w:tc>
          <w:tcPr>
            <w:tcW w:w="7230" w:type="dxa"/>
          </w:tcPr>
          <w:p w14:paraId="4827D9AE" w14:textId="2C0CF7FE" w:rsidR="006F2D41" w:rsidRPr="006F2D41" w:rsidRDefault="006F2D41" w:rsidP="006F2D41">
            <w:pPr>
              <w:pStyle w:val="TableParagraph"/>
              <w:rPr>
                <w:rFonts w:ascii="Calibri" w:hAnsi="Calibri" w:cs="Calibri"/>
                <w:sz w:val="24"/>
                <w:szCs w:val="24"/>
              </w:rPr>
            </w:pPr>
            <w:r w:rsidRPr="006F2D41">
              <w:rPr>
                <w:rFonts w:ascii="Calibri" w:hAnsi="Calibri" w:cs="Calibri"/>
                <w:sz w:val="24"/>
                <w:szCs w:val="24"/>
              </w:rPr>
              <w:t xml:space="preserve">Measurement of Scottish Water’s investment emissions is calculated by </w:t>
            </w:r>
            <w:r w:rsidRPr="006F2D41">
              <w:rPr>
                <w:rFonts w:ascii="Calibri" w:hAnsi="Calibri" w:cs="Calibri"/>
                <w:sz w:val="24"/>
                <w:szCs w:val="24"/>
              </w:rPr>
              <w:lastRenderedPageBreak/>
              <w:t>taking the carbon intensity figures</w:t>
            </w:r>
            <w:r w:rsidR="00886584">
              <w:rPr>
                <w:rFonts w:ascii="Calibri" w:hAnsi="Calibri" w:cs="Calibri"/>
                <w:sz w:val="24"/>
                <w:szCs w:val="24"/>
              </w:rPr>
              <w:t xml:space="preserve"> </w:t>
            </w:r>
            <w:r w:rsidR="00886584" w:rsidRPr="00A347FD">
              <w:rPr>
                <w:rFonts w:ascii="Calibri" w:hAnsi="Calibri" w:cs="Calibri"/>
                <w:sz w:val="24"/>
                <w:szCs w:val="24"/>
              </w:rPr>
              <w:t>in the year</w:t>
            </w:r>
            <w:r w:rsidRPr="006F2D41">
              <w:rPr>
                <w:rFonts w:ascii="Calibri" w:hAnsi="Calibri" w:cs="Calibri"/>
                <w:sz w:val="24"/>
                <w:szCs w:val="24"/>
              </w:rPr>
              <w:t xml:space="preserve"> and multiplying by the total investment expenditure. This approach provides total investment emission</w:t>
            </w:r>
            <w:r w:rsidR="0031018D">
              <w:rPr>
                <w:rFonts w:ascii="Calibri" w:hAnsi="Calibri" w:cs="Calibri"/>
                <w:sz w:val="24"/>
                <w:szCs w:val="24"/>
              </w:rPr>
              <w:t>s</w:t>
            </w:r>
            <w:r w:rsidRPr="006F2D41">
              <w:rPr>
                <w:rFonts w:ascii="Calibri" w:hAnsi="Calibri" w:cs="Calibri"/>
                <w:sz w:val="24"/>
                <w:szCs w:val="24"/>
              </w:rPr>
              <w:t xml:space="preserve"> as a figure in tCO</w:t>
            </w:r>
            <w:r w:rsidRPr="00954233">
              <w:rPr>
                <w:rFonts w:ascii="Calibri" w:hAnsi="Calibri" w:cs="Calibri"/>
                <w:sz w:val="24"/>
                <w:szCs w:val="24"/>
                <w:vertAlign w:val="subscript"/>
              </w:rPr>
              <w:t>2</w:t>
            </w:r>
            <w:r w:rsidRPr="006F2D41">
              <w:rPr>
                <w:rFonts w:ascii="Calibri" w:hAnsi="Calibri" w:cs="Calibri"/>
                <w:sz w:val="24"/>
                <w:szCs w:val="24"/>
              </w:rPr>
              <w:t>e.</w:t>
            </w:r>
          </w:p>
          <w:p w14:paraId="3BD6CABE" w14:textId="77777777" w:rsidR="006F2D41" w:rsidRPr="006F2D41" w:rsidRDefault="006F2D41" w:rsidP="006F2D41">
            <w:pPr>
              <w:pStyle w:val="TableParagraph"/>
              <w:rPr>
                <w:rFonts w:ascii="Calibri" w:hAnsi="Calibri" w:cs="Calibri"/>
                <w:sz w:val="24"/>
                <w:szCs w:val="24"/>
              </w:rPr>
            </w:pPr>
          </w:p>
          <w:p w14:paraId="3A2CAF65" w14:textId="77777777" w:rsidR="006F2D41" w:rsidRPr="006F2D41" w:rsidRDefault="006F2D41" w:rsidP="006F2D41">
            <w:pPr>
              <w:pStyle w:val="TableParagraph"/>
              <w:rPr>
                <w:rFonts w:ascii="Calibri" w:hAnsi="Calibri" w:cs="Calibri"/>
                <w:sz w:val="24"/>
                <w:szCs w:val="24"/>
              </w:rPr>
            </w:pPr>
            <w:r w:rsidRPr="006F2D41">
              <w:rPr>
                <w:rFonts w:ascii="Calibri" w:hAnsi="Calibri" w:cs="Calibri"/>
                <w:sz w:val="24"/>
                <w:szCs w:val="24"/>
              </w:rPr>
              <w:t>For the purposes of the business plan, this means that:</w:t>
            </w:r>
          </w:p>
          <w:p w14:paraId="5F517D65" w14:textId="77777777" w:rsidR="006F2D41" w:rsidRPr="006F2D41" w:rsidRDefault="006F2D41" w:rsidP="006F2D41">
            <w:pPr>
              <w:pStyle w:val="TableParagraph"/>
              <w:rPr>
                <w:rFonts w:ascii="Calibri" w:hAnsi="Calibri" w:cs="Calibri"/>
                <w:sz w:val="24"/>
                <w:szCs w:val="24"/>
              </w:rPr>
            </w:pPr>
            <w:r w:rsidRPr="006F2D41">
              <w:rPr>
                <w:rFonts w:ascii="Cambria Math" w:hAnsi="Cambria Math" w:cs="Cambria Math"/>
                <w:sz w:val="24"/>
                <w:szCs w:val="24"/>
              </w:rPr>
              <w:t>⦁</w:t>
            </w:r>
            <w:r w:rsidRPr="006F2D41">
              <w:rPr>
                <w:rFonts w:ascii="Calibri" w:hAnsi="Calibri" w:cs="Calibri"/>
                <w:sz w:val="24"/>
                <w:szCs w:val="24"/>
              </w:rPr>
              <w:t xml:space="preserve"> a 2023-24 price base will be used for preparing investment emission forecasts for the draft business plan; and </w:t>
            </w:r>
          </w:p>
          <w:p w14:paraId="1977BCFF" w14:textId="0892A5CA" w:rsidR="00FA3EBE" w:rsidRPr="00F96481" w:rsidRDefault="006F2D41" w:rsidP="00F96481">
            <w:pPr>
              <w:pStyle w:val="TableParagraph"/>
              <w:rPr>
                <w:rFonts w:ascii="Calibri" w:hAnsi="Calibri" w:cs="Calibri"/>
                <w:sz w:val="24"/>
                <w:szCs w:val="24"/>
              </w:rPr>
            </w:pPr>
            <w:r w:rsidRPr="006F2D41">
              <w:rPr>
                <w:rFonts w:ascii="Cambria Math" w:hAnsi="Cambria Math" w:cs="Cambria Math"/>
                <w:sz w:val="24"/>
                <w:szCs w:val="24"/>
              </w:rPr>
              <w:t>⦁</w:t>
            </w:r>
            <w:r w:rsidRPr="006F2D41">
              <w:rPr>
                <w:rFonts w:ascii="Calibri" w:hAnsi="Calibri" w:cs="Calibri"/>
                <w:sz w:val="24"/>
                <w:szCs w:val="24"/>
              </w:rPr>
              <w:t xml:space="preserve"> a 2024-25 price base will be used for preparing investment emission forecasts for the final business plan.</w:t>
            </w:r>
          </w:p>
        </w:tc>
      </w:tr>
      <w:tr w:rsidR="002A3ABC" w:rsidRPr="00845C40" w14:paraId="4843F6B4" w14:textId="77777777" w:rsidTr="00954233">
        <w:trPr>
          <w:trHeight w:val="293"/>
        </w:trPr>
        <w:tc>
          <w:tcPr>
            <w:tcW w:w="0" w:type="dxa"/>
          </w:tcPr>
          <w:p w14:paraId="35AD361A" w14:textId="7CEEFA0A" w:rsidR="00FA3EBE" w:rsidRPr="00F96481" w:rsidRDefault="00B5196D" w:rsidP="00F96481">
            <w:pPr>
              <w:pStyle w:val="TableParagraph"/>
              <w:rPr>
                <w:rFonts w:ascii="Calibri" w:hAnsi="Calibri" w:cs="Calibri"/>
                <w:sz w:val="24"/>
                <w:szCs w:val="24"/>
              </w:rPr>
            </w:pPr>
            <w:r w:rsidRPr="00F96481">
              <w:rPr>
                <w:rFonts w:ascii="Calibri" w:hAnsi="Calibri" w:cs="Calibri"/>
                <w:sz w:val="24"/>
                <w:szCs w:val="24"/>
              </w:rPr>
              <w:lastRenderedPageBreak/>
              <w:t>1.40</w:t>
            </w:r>
          </w:p>
        </w:tc>
        <w:tc>
          <w:tcPr>
            <w:tcW w:w="0" w:type="dxa"/>
          </w:tcPr>
          <w:p w14:paraId="51015B56" w14:textId="0ECFF5CB"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Climate Change Mitigation</w:t>
            </w:r>
          </w:p>
        </w:tc>
        <w:tc>
          <w:tcPr>
            <w:tcW w:w="2693" w:type="dxa"/>
          </w:tcPr>
          <w:p w14:paraId="3C19CE8E" w14:textId="2C13CB41"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Carbon capture</w:t>
            </w:r>
            <w:r w:rsidR="00F94358">
              <w:rPr>
                <w:rFonts w:ascii="Calibri" w:hAnsi="Calibri" w:cs="Calibri"/>
                <w:color w:val="000000"/>
                <w:sz w:val="24"/>
                <w:szCs w:val="24"/>
              </w:rPr>
              <w:t>/sequestration</w:t>
            </w:r>
          </w:p>
        </w:tc>
        <w:tc>
          <w:tcPr>
            <w:tcW w:w="1559" w:type="dxa"/>
          </w:tcPr>
          <w:p w14:paraId="4515EF08" w14:textId="54511E94" w:rsidR="00FA3EBE" w:rsidRPr="00F96481" w:rsidRDefault="00FA3EBE" w:rsidP="00F96481">
            <w:pPr>
              <w:pStyle w:val="TableParagraph"/>
              <w:rPr>
                <w:rFonts w:ascii="Calibri" w:hAnsi="Calibri" w:cs="Calibri"/>
                <w:color w:val="000000"/>
                <w:sz w:val="24"/>
                <w:szCs w:val="24"/>
              </w:rPr>
            </w:pPr>
            <w:r w:rsidRPr="00F96481">
              <w:rPr>
                <w:rFonts w:ascii="Calibri" w:hAnsi="Calibri" w:cs="Calibri"/>
                <w:color w:val="000000"/>
                <w:sz w:val="24"/>
                <w:szCs w:val="24"/>
              </w:rPr>
              <w:t> tCO2e</w:t>
            </w:r>
          </w:p>
        </w:tc>
        <w:tc>
          <w:tcPr>
            <w:tcW w:w="7230" w:type="dxa"/>
          </w:tcPr>
          <w:p w14:paraId="757FF0C0" w14:textId="76FB52A8" w:rsidR="00FA3EBE" w:rsidRPr="00F96481" w:rsidRDefault="00C4589E" w:rsidP="00F96481">
            <w:pPr>
              <w:pStyle w:val="TableParagraph"/>
              <w:rPr>
                <w:rFonts w:ascii="Calibri" w:hAnsi="Calibri" w:cs="Calibri"/>
                <w:sz w:val="24"/>
                <w:szCs w:val="24"/>
              </w:rPr>
            </w:pPr>
            <w:r w:rsidRPr="00C4589E">
              <w:rPr>
                <w:rFonts w:ascii="Calibri" w:hAnsi="Calibri" w:cs="Calibri"/>
                <w:sz w:val="24"/>
                <w:szCs w:val="24"/>
              </w:rPr>
              <w:t>Carbon captured or lost is reported as tonnes CO</w:t>
            </w:r>
            <w:r w:rsidRPr="00954233">
              <w:rPr>
                <w:rFonts w:ascii="Calibri" w:hAnsi="Calibri" w:cs="Calibri"/>
                <w:sz w:val="24"/>
                <w:szCs w:val="24"/>
                <w:vertAlign w:val="subscript"/>
              </w:rPr>
              <w:t>2</w:t>
            </w:r>
            <w:r w:rsidRPr="00E80DDC">
              <w:rPr>
                <w:rFonts w:ascii="Calibri" w:hAnsi="Calibri" w:cs="Calibri"/>
                <w:sz w:val="24"/>
                <w:szCs w:val="24"/>
              </w:rPr>
              <w:t>e</w:t>
            </w:r>
            <w:r w:rsidRPr="00C4589E">
              <w:rPr>
                <w:rFonts w:ascii="Calibri" w:hAnsi="Calibri" w:cs="Calibri"/>
                <w:sz w:val="24"/>
                <w:szCs w:val="24"/>
              </w:rPr>
              <w:t xml:space="preserve"> and expressed as the midpoint of a range given the uncertainty.  </w:t>
            </w:r>
          </w:p>
        </w:tc>
      </w:tr>
      <w:tr w:rsidR="002A3ABC" w:rsidRPr="00845C40" w14:paraId="50844802" w14:textId="77777777" w:rsidTr="00954233">
        <w:trPr>
          <w:trHeight w:val="293"/>
        </w:trPr>
        <w:tc>
          <w:tcPr>
            <w:tcW w:w="0" w:type="dxa"/>
          </w:tcPr>
          <w:p w14:paraId="126F235A" w14:textId="1F4B156F" w:rsidR="00E91948" w:rsidRPr="00F96481" w:rsidDel="00492192" w:rsidRDefault="00E91948" w:rsidP="00F96481">
            <w:pPr>
              <w:pStyle w:val="TableParagraph"/>
              <w:rPr>
                <w:rFonts w:ascii="Calibri" w:hAnsi="Calibri" w:cs="Calibri"/>
                <w:sz w:val="24"/>
                <w:szCs w:val="24"/>
              </w:rPr>
            </w:pPr>
            <w:r w:rsidRPr="00954233">
              <w:rPr>
                <w:sz w:val="24"/>
                <w:szCs w:val="24"/>
              </w:rPr>
              <w:t>1.41</w:t>
            </w:r>
          </w:p>
        </w:tc>
        <w:tc>
          <w:tcPr>
            <w:tcW w:w="0" w:type="dxa"/>
          </w:tcPr>
          <w:p w14:paraId="4CABEC1E" w14:textId="620FD3BE" w:rsidR="00E91948" w:rsidRPr="00F96481" w:rsidRDefault="00E91948" w:rsidP="00F96481">
            <w:pPr>
              <w:pStyle w:val="TableParagraph"/>
              <w:rPr>
                <w:rFonts w:ascii="Calibri" w:hAnsi="Calibri" w:cs="Calibri"/>
                <w:color w:val="000000"/>
                <w:sz w:val="24"/>
                <w:szCs w:val="24"/>
              </w:rPr>
            </w:pPr>
            <w:r w:rsidRPr="00954233">
              <w:rPr>
                <w:sz w:val="24"/>
                <w:szCs w:val="24"/>
              </w:rPr>
              <w:t>Climate Change Mitigation</w:t>
            </w:r>
          </w:p>
        </w:tc>
        <w:tc>
          <w:tcPr>
            <w:tcW w:w="0" w:type="dxa"/>
          </w:tcPr>
          <w:p w14:paraId="7A8E0C1E" w14:textId="395ED91E" w:rsidR="00E91948" w:rsidRPr="00F96481" w:rsidRDefault="00E91948" w:rsidP="00F96481">
            <w:pPr>
              <w:pStyle w:val="TableParagraph"/>
              <w:rPr>
                <w:rFonts w:ascii="Calibri" w:hAnsi="Calibri" w:cs="Calibri"/>
                <w:color w:val="000000"/>
                <w:sz w:val="24"/>
                <w:szCs w:val="24"/>
              </w:rPr>
            </w:pPr>
            <w:r w:rsidRPr="00954233">
              <w:rPr>
                <w:sz w:val="24"/>
                <w:szCs w:val="24"/>
              </w:rPr>
              <w:t>Biodiversity and Nature Based Solutions (interim measure)</w:t>
            </w:r>
          </w:p>
        </w:tc>
        <w:tc>
          <w:tcPr>
            <w:tcW w:w="1559" w:type="dxa"/>
          </w:tcPr>
          <w:p w14:paraId="3673D735" w14:textId="3E79B103" w:rsidR="00E91948" w:rsidRPr="00F96481" w:rsidRDefault="004817E1" w:rsidP="00F96481">
            <w:pPr>
              <w:pStyle w:val="TableParagraph"/>
              <w:rPr>
                <w:rFonts w:ascii="Calibri" w:hAnsi="Calibri" w:cs="Calibri"/>
                <w:color w:val="000000"/>
                <w:sz w:val="24"/>
                <w:szCs w:val="24"/>
              </w:rPr>
            </w:pPr>
            <w:r>
              <w:rPr>
                <w:sz w:val="24"/>
                <w:szCs w:val="24"/>
              </w:rPr>
              <w:t>L</w:t>
            </w:r>
            <w:r w:rsidR="00E91948" w:rsidRPr="00954233">
              <w:rPr>
                <w:sz w:val="24"/>
                <w:szCs w:val="24"/>
              </w:rPr>
              <w:t>and footprint (m2)</w:t>
            </w:r>
          </w:p>
        </w:tc>
        <w:tc>
          <w:tcPr>
            <w:tcW w:w="7230" w:type="dxa"/>
          </w:tcPr>
          <w:p w14:paraId="1513CCEC" w14:textId="234FD410" w:rsidR="00E91948" w:rsidRPr="00F96481" w:rsidRDefault="00316816" w:rsidP="00F96481">
            <w:pPr>
              <w:pStyle w:val="TableParagraph"/>
              <w:rPr>
                <w:rFonts w:ascii="Calibri" w:hAnsi="Calibri" w:cs="Calibri"/>
                <w:sz w:val="24"/>
                <w:szCs w:val="24"/>
              </w:rPr>
            </w:pPr>
            <w:r w:rsidRPr="00316816">
              <w:rPr>
                <w:rFonts w:ascii="Calibri" w:hAnsi="Calibri" w:cs="Calibri"/>
                <w:sz w:val="24"/>
                <w:szCs w:val="24"/>
              </w:rPr>
              <w:t xml:space="preserve">Increase </w:t>
            </w:r>
            <w:r w:rsidR="006C1DBB">
              <w:rPr>
                <w:rFonts w:ascii="Calibri" w:hAnsi="Calibri" w:cs="Calibri"/>
                <w:sz w:val="24"/>
                <w:szCs w:val="24"/>
              </w:rPr>
              <w:t>in</w:t>
            </w:r>
            <w:r w:rsidR="006C1DBB" w:rsidRPr="00316816">
              <w:rPr>
                <w:rFonts w:ascii="Calibri" w:hAnsi="Calibri" w:cs="Calibri"/>
                <w:sz w:val="24"/>
                <w:szCs w:val="24"/>
              </w:rPr>
              <w:t xml:space="preserve"> </w:t>
            </w:r>
            <w:r w:rsidRPr="00316816">
              <w:rPr>
                <w:rFonts w:ascii="Calibri" w:hAnsi="Calibri" w:cs="Calibri"/>
                <w:sz w:val="24"/>
                <w:szCs w:val="24"/>
              </w:rPr>
              <w:t>the cumulative area</w:t>
            </w:r>
            <w:r w:rsidR="0033369B">
              <w:rPr>
                <w:rFonts w:ascii="Calibri" w:hAnsi="Calibri" w:cs="Calibri"/>
                <w:sz w:val="24"/>
                <w:szCs w:val="24"/>
              </w:rPr>
              <w:t xml:space="preserve"> </w:t>
            </w:r>
            <w:r w:rsidR="0033369B" w:rsidRPr="00EE5548">
              <w:rPr>
                <w:rFonts w:ascii="Calibri" w:hAnsi="Calibri" w:cs="Calibri"/>
                <w:sz w:val="24"/>
                <w:szCs w:val="24"/>
              </w:rPr>
              <w:t>of land</w:t>
            </w:r>
            <w:r w:rsidRPr="00316816">
              <w:rPr>
                <w:rFonts w:ascii="Calibri" w:hAnsi="Calibri" w:cs="Calibri"/>
                <w:sz w:val="24"/>
                <w:szCs w:val="24"/>
              </w:rPr>
              <w:t xml:space="preserve"> positively managed for nature by Scottish Water irrespective of ownership.</w:t>
            </w:r>
          </w:p>
        </w:tc>
      </w:tr>
      <w:tr w:rsidR="002A3ABC" w:rsidRPr="00845C40" w14:paraId="317E5A6B" w14:textId="77777777" w:rsidTr="00954233">
        <w:trPr>
          <w:trHeight w:val="293"/>
        </w:trPr>
        <w:tc>
          <w:tcPr>
            <w:tcW w:w="0" w:type="dxa"/>
          </w:tcPr>
          <w:p w14:paraId="4BE7CA78" w14:textId="081F6938" w:rsidR="00E91948" w:rsidRPr="00F96481" w:rsidDel="00492192" w:rsidRDefault="00E91948" w:rsidP="00F96481">
            <w:pPr>
              <w:pStyle w:val="TableParagraph"/>
              <w:rPr>
                <w:rFonts w:ascii="Calibri" w:hAnsi="Calibri" w:cs="Calibri"/>
                <w:sz w:val="24"/>
                <w:szCs w:val="24"/>
              </w:rPr>
            </w:pPr>
            <w:r w:rsidRPr="00954233">
              <w:rPr>
                <w:sz w:val="24"/>
                <w:szCs w:val="24"/>
              </w:rPr>
              <w:t>1.42</w:t>
            </w:r>
          </w:p>
        </w:tc>
        <w:tc>
          <w:tcPr>
            <w:tcW w:w="0" w:type="dxa"/>
          </w:tcPr>
          <w:p w14:paraId="164F3C28" w14:textId="38142C09" w:rsidR="00E91948" w:rsidRPr="00F96481" w:rsidRDefault="00E91948" w:rsidP="00F96481">
            <w:pPr>
              <w:pStyle w:val="TableParagraph"/>
              <w:rPr>
                <w:rFonts w:ascii="Calibri" w:hAnsi="Calibri" w:cs="Calibri"/>
                <w:color w:val="000000"/>
                <w:sz w:val="24"/>
                <w:szCs w:val="24"/>
              </w:rPr>
            </w:pPr>
            <w:r w:rsidRPr="00954233">
              <w:rPr>
                <w:sz w:val="24"/>
                <w:szCs w:val="24"/>
              </w:rPr>
              <w:t>Climate Change Mitigation</w:t>
            </w:r>
          </w:p>
        </w:tc>
        <w:tc>
          <w:tcPr>
            <w:tcW w:w="0" w:type="dxa"/>
          </w:tcPr>
          <w:p w14:paraId="78C386D8" w14:textId="78EA32ED" w:rsidR="00E91948" w:rsidRPr="00F96481" w:rsidRDefault="00E91948" w:rsidP="00F96481">
            <w:pPr>
              <w:pStyle w:val="TableParagraph"/>
              <w:rPr>
                <w:rFonts w:ascii="Calibri" w:hAnsi="Calibri" w:cs="Calibri"/>
                <w:color w:val="000000"/>
                <w:sz w:val="24"/>
                <w:szCs w:val="24"/>
              </w:rPr>
            </w:pPr>
            <w:r w:rsidRPr="00954233">
              <w:rPr>
                <w:sz w:val="24"/>
                <w:szCs w:val="24"/>
              </w:rPr>
              <w:t>Biodiversity and Nature Based Solutions (final measure)</w:t>
            </w:r>
          </w:p>
        </w:tc>
        <w:tc>
          <w:tcPr>
            <w:tcW w:w="1559" w:type="dxa"/>
          </w:tcPr>
          <w:p w14:paraId="00191524" w14:textId="6523A9CB" w:rsidR="00E91948" w:rsidRPr="00F96481" w:rsidRDefault="00E91948" w:rsidP="00F96481">
            <w:pPr>
              <w:pStyle w:val="TableParagraph"/>
              <w:rPr>
                <w:rFonts w:ascii="Calibri" w:hAnsi="Calibri" w:cs="Calibri"/>
                <w:color w:val="000000"/>
                <w:sz w:val="24"/>
                <w:szCs w:val="24"/>
              </w:rPr>
            </w:pPr>
            <w:r w:rsidRPr="00954233">
              <w:rPr>
                <w:sz w:val="24"/>
                <w:szCs w:val="24"/>
              </w:rPr>
              <w:t>Biodiversity net gain</w:t>
            </w:r>
            <w:r w:rsidR="002A3ABC" w:rsidRPr="00954233">
              <w:rPr>
                <w:sz w:val="24"/>
                <w:szCs w:val="24"/>
              </w:rPr>
              <w:t xml:space="preserve"> or </w:t>
            </w:r>
            <w:r w:rsidRPr="00954233">
              <w:rPr>
                <w:sz w:val="24"/>
                <w:szCs w:val="24"/>
              </w:rPr>
              <w:t>improvement</w:t>
            </w:r>
          </w:p>
        </w:tc>
        <w:tc>
          <w:tcPr>
            <w:tcW w:w="7230" w:type="dxa"/>
          </w:tcPr>
          <w:p w14:paraId="5D4CC58A" w14:textId="7491DD71" w:rsidR="00E91948" w:rsidRPr="00F96481" w:rsidRDefault="00892376" w:rsidP="00F96481">
            <w:pPr>
              <w:pStyle w:val="TableParagraph"/>
              <w:rPr>
                <w:rFonts w:ascii="Calibri" w:hAnsi="Calibri" w:cs="Calibri"/>
                <w:sz w:val="24"/>
                <w:szCs w:val="24"/>
              </w:rPr>
            </w:pPr>
            <w:r w:rsidRPr="00954233">
              <w:rPr>
                <w:rFonts w:ascii="Calibri" w:hAnsi="Calibri" w:cs="Calibri"/>
                <w:sz w:val="24"/>
                <w:szCs w:val="24"/>
              </w:rPr>
              <w:t>[</w:t>
            </w:r>
            <w:r w:rsidR="00B95139" w:rsidRPr="00E31D72">
              <w:rPr>
                <w:rFonts w:ascii="Calibri" w:hAnsi="Calibri" w:cs="Calibri"/>
                <w:sz w:val="24"/>
                <w:szCs w:val="24"/>
              </w:rPr>
              <w:t xml:space="preserve">Measure to be developed </w:t>
            </w:r>
            <w:r w:rsidR="00C52264" w:rsidRPr="00954233">
              <w:rPr>
                <w:rFonts w:ascii="Calibri" w:hAnsi="Calibri" w:cs="Calibri"/>
                <w:sz w:val="24"/>
                <w:szCs w:val="24"/>
              </w:rPr>
              <w:t xml:space="preserve">based on discussion of a </w:t>
            </w:r>
            <w:r w:rsidR="00C8186C" w:rsidRPr="00954233">
              <w:rPr>
                <w:rFonts w:ascii="Calibri" w:hAnsi="Calibri" w:cs="Calibri"/>
                <w:sz w:val="24"/>
                <w:szCs w:val="24"/>
              </w:rPr>
              <w:t xml:space="preserve">national </w:t>
            </w:r>
            <w:r w:rsidR="00C52264" w:rsidRPr="00954233">
              <w:rPr>
                <w:rFonts w:ascii="Calibri" w:hAnsi="Calibri" w:cs="Calibri"/>
                <w:sz w:val="24"/>
                <w:szCs w:val="24"/>
              </w:rPr>
              <w:t>meas</w:t>
            </w:r>
            <w:r w:rsidR="000866BD" w:rsidRPr="00954233">
              <w:rPr>
                <w:rFonts w:ascii="Calibri" w:hAnsi="Calibri" w:cs="Calibri"/>
                <w:sz w:val="24"/>
                <w:szCs w:val="24"/>
              </w:rPr>
              <w:t>u</w:t>
            </w:r>
            <w:r w:rsidR="00C52264" w:rsidRPr="00954233">
              <w:rPr>
                <w:rFonts w:ascii="Calibri" w:hAnsi="Calibri" w:cs="Calibri"/>
                <w:sz w:val="24"/>
                <w:szCs w:val="24"/>
              </w:rPr>
              <w:t>re</w:t>
            </w:r>
            <w:r w:rsidR="000866BD" w:rsidRPr="00EE66BE">
              <w:rPr>
                <w:rFonts w:ascii="Calibri" w:hAnsi="Calibri" w:cs="Calibri"/>
                <w:sz w:val="24"/>
                <w:szCs w:val="24"/>
              </w:rPr>
              <w:t xml:space="preserve"> </w:t>
            </w:r>
            <w:r w:rsidR="008744D1" w:rsidRPr="00954233">
              <w:rPr>
                <w:rFonts w:ascii="Calibri" w:hAnsi="Calibri" w:cs="Calibri"/>
                <w:sz w:val="24"/>
                <w:szCs w:val="24"/>
              </w:rPr>
              <w:t>involving</w:t>
            </w:r>
            <w:r w:rsidR="002108F1" w:rsidRPr="00954233">
              <w:rPr>
                <w:rFonts w:ascii="Calibri" w:hAnsi="Calibri" w:cs="Calibri"/>
                <w:sz w:val="24"/>
                <w:szCs w:val="24"/>
              </w:rPr>
              <w:t xml:space="preserve"> Scottish Water,</w:t>
            </w:r>
            <w:r w:rsidR="00AB16CF" w:rsidRPr="00043ABC">
              <w:rPr>
                <w:rFonts w:ascii="Calibri" w:hAnsi="Calibri" w:cs="Calibri"/>
                <w:sz w:val="24"/>
                <w:szCs w:val="24"/>
              </w:rPr>
              <w:t xml:space="preserve"> NatureScot and Scottish Government.</w:t>
            </w:r>
            <w:r w:rsidR="00AB16CF" w:rsidRPr="00DB4032">
              <w:rPr>
                <w:rFonts w:ascii="Calibri" w:hAnsi="Calibri" w:cs="Calibri"/>
                <w:sz w:val="24"/>
                <w:szCs w:val="24"/>
              </w:rPr>
              <w:t xml:space="preserve"> </w:t>
            </w:r>
            <w:r w:rsidR="00902423" w:rsidRPr="00DB4032">
              <w:rPr>
                <w:rFonts w:ascii="Calibri" w:hAnsi="Calibri" w:cs="Calibri"/>
                <w:sz w:val="24"/>
                <w:szCs w:val="24"/>
              </w:rPr>
              <w:t>Biodiversity</w:t>
            </w:r>
            <w:r w:rsidR="00902423" w:rsidRPr="00902423">
              <w:rPr>
                <w:rFonts w:ascii="Calibri" w:hAnsi="Calibri" w:cs="Calibri"/>
                <w:sz w:val="24"/>
                <w:szCs w:val="24"/>
              </w:rPr>
              <w:t xml:space="preserve"> and nature based solutions combined into a Biodiversity net gain unit aligned with NatureScot and Scottish Government. Full definition and unit to be agreed as the development work progresses.</w:t>
            </w:r>
            <w:r>
              <w:rPr>
                <w:rFonts w:ascii="Calibri" w:hAnsi="Calibri" w:cs="Calibri"/>
                <w:sz w:val="24"/>
                <w:szCs w:val="24"/>
              </w:rPr>
              <w:t>]</w:t>
            </w:r>
          </w:p>
        </w:tc>
      </w:tr>
      <w:tr w:rsidR="002A3ABC" w:rsidRPr="00845C40" w14:paraId="591E82D2" w14:textId="77777777" w:rsidTr="00954233">
        <w:trPr>
          <w:trHeight w:val="293"/>
        </w:trPr>
        <w:tc>
          <w:tcPr>
            <w:tcW w:w="0" w:type="dxa"/>
          </w:tcPr>
          <w:p w14:paraId="5142D262" w14:textId="1AE93CE7" w:rsidR="00FB12E8" w:rsidRPr="00F96481" w:rsidRDefault="00F73B4D" w:rsidP="00F96481">
            <w:pPr>
              <w:pStyle w:val="TableParagraph"/>
              <w:rPr>
                <w:rFonts w:ascii="Calibri" w:hAnsi="Calibri" w:cs="Calibri"/>
                <w:sz w:val="24"/>
                <w:szCs w:val="24"/>
              </w:rPr>
            </w:pPr>
            <w:r w:rsidRPr="00F96481">
              <w:rPr>
                <w:rFonts w:ascii="Calibri" w:hAnsi="Calibri" w:cs="Calibri"/>
                <w:sz w:val="24"/>
                <w:szCs w:val="24"/>
              </w:rPr>
              <w:t>1.43</w:t>
            </w:r>
          </w:p>
        </w:tc>
        <w:tc>
          <w:tcPr>
            <w:tcW w:w="1843" w:type="dxa"/>
          </w:tcPr>
          <w:p w14:paraId="0B8DD6F7" w14:textId="54495CD1" w:rsidR="00FB12E8" w:rsidRPr="00F96481" w:rsidRDefault="00FB12E8" w:rsidP="00F96481">
            <w:pPr>
              <w:pStyle w:val="TableParagraph"/>
              <w:rPr>
                <w:rFonts w:ascii="Calibri" w:hAnsi="Calibri" w:cs="Calibri"/>
                <w:color w:val="000000"/>
                <w:sz w:val="24"/>
                <w:szCs w:val="24"/>
              </w:rPr>
            </w:pPr>
            <w:r w:rsidRPr="00F96481">
              <w:rPr>
                <w:rFonts w:ascii="Calibri" w:hAnsi="Calibri" w:cs="Calibri"/>
                <w:color w:val="000000"/>
                <w:sz w:val="24"/>
                <w:szCs w:val="24"/>
              </w:rPr>
              <w:t>Resource recovery</w:t>
            </w:r>
          </w:p>
        </w:tc>
        <w:tc>
          <w:tcPr>
            <w:tcW w:w="0" w:type="dxa"/>
          </w:tcPr>
          <w:p w14:paraId="5B7C81A5" w14:textId="0DD5535E" w:rsidR="00FB12E8" w:rsidRPr="00F96481" w:rsidRDefault="00E175E9" w:rsidP="00F96481">
            <w:pPr>
              <w:pStyle w:val="TableParagraph"/>
              <w:rPr>
                <w:rFonts w:ascii="Calibri" w:hAnsi="Calibri" w:cs="Calibri"/>
                <w:color w:val="000000"/>
                <w:sz w:val="24"/>
                <w:szCs w:val="24"/>
              </w:rPr>
            </w:pPr>
            <w:r w:rsidRPr="00E175E9">
              <w:rPr>
                <w:rFonts w:ascii="Calibri" w:hAnsi="Calibri" w:cs="Calibri"/>
                <w:color w:val="000000"/>
                <w:sz w:val="24"/>
                <w:szCs w:val="24"/>
              </w:rPr>
              <w:t>Resource recovery</w:t>
            </w:r>
          </w:p>
        </w:tc>
        <w:tc>
          <w:tcPr>
            <w:tcW w:w="1559" w:type="dxa"/>
          </w:tcPr>
          <w:p w14:paraId="52866E75" w14:textId="48D506DE" w:rsidR="00FB12E8" w:rsidRPr="00F96481" w:rsidRDefault="00FF7439" w:rsidP="00F96481">
            <w:pPr>
              <w:pStyle w:val="TableParagraph"/>
              <w:rPr>
                <w:rFonts w:ascii="Calibri" w:hAnsi="Calibri" w:cs="Calibri"/>
                <w:color w:val="000000"/>
                <w:sz w:val="24"/>
                <w:szCs w:val="24"/>
              </w:rPr>
            </w:pPr>
            <w:r>
              <w:rPr>
                <w:rFonts w:ascii="Calibri" w:hAnsi="Calibri" w:cs="Calibri"/>
                <w:color w:val="000000"/>
                <w:sz w:val="24"/>
                <w:szCs w:val="24"/>
              </w:rPr>
              <w:t>tCO2e</w:t>
            </w:r>
          </w:p>
        </w:tc>
        <w:tc>
          <w:tcPr>
            <w:tcW w:w="7230" w:type="dxa"/>
          </w:tcPr>
          <w:p w14:paraId="0A485E57" w14:textId="00D21F59" w:rsidR="00FB12E8" w:rsidRPr="00F96481" w:rsidRDefault="00E423E2" w:rsidP="00F96481">
            <w:pPr>
              <w:pStyle w:val="TableParagraph"/>
              <w:rPr>
                <w:rFonts w:ascii="Calibri" w:hAnsi="Calibri" w:cs="Calibri"/>
                <w:sz w:val="24"/>
                <w:szCs w:val="24"/>
              </w:rPr>
            </w:pPr>
            <w:r w:rsidRPr="00E423E2">
              <w:rPr>
                <w:rFonts w:ascii="Calibri" w:hAnsi="Calibri" w:cs="Calibri"/>
                <w:sz w:val="24"/>
                <w:szCs w:val="24"/>
              </w:rPr>
              <w:t>Carbon reduction from resource recovery activities</w:t>
            </w:r>
            <w:r w:rsidRPr="00486BF2">
              <w:rPr>
                <w:rFonts w:ascii="Calibri" w:hAnsi="Calibri" w:cs="Calibri"/>
                <w:sz w:val="24"/>
                <w:szCs w:val="24"/>
              </w:rPr>
              <w:t>.</w:t>
            </w:r>
            <w:r w:rsidR="00C77EA3">
              <w:rPr>
                <w:rFonts w:ascii="Calibri" w:hAnsi="Calibri" w:cs="Calibri"/>
                <w:sz w:val="24"/>
                <w:szCs w:val="24"/>
              </w:rPr>
              <w:t xml:space="preserve"> </w:t>
            </w:r>
            <w:r w:rsidR="00675F81">
              <w:rPr>
                <w:rFonts w:ascii="Calibri" w:hAnsi="Calibri" w:cs="Calibri"/>
                <w:sz w:val="24"/>
                <w:szCs w:val="24"/>
              </w:rPr>
              <w:t>Scottish Water’s</w:t>
            </w:r>
            <w:r w:rsidR="009E05DE">
              <w:rPr>
                <w:rFonts w:ascii="Calibri" w:hAnsi="Calibri" w:cs="Calibri"/>
                <w:sz w:val="24"/>
                <w:szCs w:val="24"/>
              </w:rPr>
              <w:t xml:space="preserve"> ‘</w:t>
            </w:r>
            <w:r w:rsidR="009E05DE" w:rsidRPr="009E05DE">
              <w:rPr>
                <w:rFonts w:ascii="Calibri" w:hAnsi="Calibri" w:cs="Calibri"/>
                <w:sz w:val="24"/>
                <w:szCs w:val="24"/>
              </w:rPr>
              <w:t>S</w:t>
            </w:r>
            <w:r w:rsidR="009E05DE">
              <w:rPr>
                <w:rFonts w:ascii="Calibri" w:hAnsi="Calibri" w:cs="Calibri"/>
                <w:sz w:val="24"/>
                <w:szCs w:val="24"/>
              </w:rPr>
              <w:t>RC</w:t>
            </w:r>
            <w:r w:rsidR="009E05DE" w:rsidRPr="009E05DE">
              <w:rPr>
                <w:rFonts w:ascii="Calibri" w:hAnsi="Calibri" w:cs="Calibri"/>
                <w:sz w:val="24"/>
                <w:szCs w:val="24"/>
              </w:rPr>
              <w:t xml:space="preserve">27 Process </w:t>
            </w:r>
            <w:r w:rsidR="009E05DE">
              <w:rPr>
                <w:rFonts w:ascii="Calibri" w:hAnsi="Calibri" w:cs="Calibri"/>
                <w:sz w:val="24"/>
                <w:szCs w:val="24"/>
              </w:rPr>
              <w:t>f</w:t>
            </w:r>
            <w:r w:rsidR="009E05DE" w:rsidRPr="009E05DE">
              <w:rPr>
                <w:rFonts w:ascii="Calibri" w:hAnsi="Calibri" w:cs="Calibri"/>
                <w:sz w:val="24"/>
                <w:szCs w:val="24"/>
              </w:rPr>
              <w:t>or Climate Mitigation Outcome Measures</w:t>
            </w:r>
            <w:r w:rsidR="009E05DE">
              <w:rPr>
                <w:rFonts w:ascii="Calibri" w:hAnsi="Calibri" w:cs="Calibri"/>
                <w:sz w:val="24"/>
                <w:szCs w:val="24"/>
              </w:rPr>
              <w:t>’ document covers this in more detail.</w:t>
            </w:r>
          </w:p>
        </w:tc>
      </w:tr>
      <w:tr w:rsidR="002A3ABC" w:rsidRPr="00845C40" w14:paraId="59FFDD69" w14:textId="77777777" w:rsidTr="00954233">
        <w:trPr>
          <w:trHeight w:val="293"/>
        </w:trPr>
        <w:tc>
          <w:tcPr>
            <w:tcW w:w="0" w:type="dxa"/>
          </w:tcPr>
          <w:p w14:paraId="1A0A3EFC" w14:textId="36480189" w:rsidR="00FB12E8" w:rsidRPr="00F96481" w:rsidRDefault="00F73B4D" w:rsidP="00F96481">
            <w:pPr>
              <w:pStyle w:val="TableParagraph"/>
              <w:rPr>
                <w:rFonts w:ascii="Calibri" w:hAnsi="Calibri" w:cs="Calibri"/>
                <w:sz w:val="24"/>
                <w:szCs w:val="24"/>
              </w:rPr>
            </w:pPr>
            <w:r w:rsidRPr="00F96481">
              <w:rPr>
                <w:rFonts w:ascii="Calibri" w:hAnsi="Calibri" w:cs="Calibri"/>
                <w:sz w:val="24"/>
                <w:szCs w:val="24"/>
              </w:rPr>
              <w:t>1.44</w:t>
            </w:r>
          </w:p>
        </w:tc>
        <w:tc>
          <w:tcPr>
            <w:tcW w:w="0" w:type="dxa"/>
          </w:tcPr>
          <w:p w14:paraId="161F0724" w14:textId="64DE3FAD" w:rsidR="00FB12E8" w:rsidRPr="00F96481" w:rsidRDefault="00FB12E8" w:rsidP="00F96481">
            <w:pPr>
              <w:pStyle w:val="TableParagraph"/>
              <w:rPr>
                <w:rFonts w:ascii="Calibri" w:hAnsi="Calibri" w:cs="Calibri"/>
                <w:color w:val="000000"/>
                <w:sz w:val="24"/>
                <w:szCs w:val="24"/>
              </w:rPr>
            </w:pPr>
            <w:r w:rsidRPr="00F96481">
              <w:rPr>
                <w:rFonts w:ascii="Calibri" w:hAnsi="Calibri" w:cs="Calibri"/>
                <w:color w:val="000000"/>
                <w:sz w:val="24"/>
                <w:szCs w:val="24"/>
              </w:rPr>
              <w:t>Asset health</w:t>
            </w:r>
          </w:p>
        </w:tc>
        <w:tc>
          <w:tcPr>
            <w:tcW w:w="2693" w:type="dxa"/>
          </w:tcPr>
          <w:p w14:paraId="102355BD" w14:textId="3D3DB66D" w:rsidR="00FB12E8" w:rsidRPr="00F96481" w:rsidRDefault="00FB12E8" w:rsidP="00F96481">
            <w:pPr>
              <w:pStyle w:val="TableParagraph"/>
              <w:rPr>
                <w:rFonts w:ascii="Calibri" w:hAnsi="Calibri" w:cs="Calibri"/>
                <w:color w:val="000000"/>
                <w:sz w:val="24"/>
                <w:szCs w:val="24"/>
              </w:rPr>
            </w:pPr>
            <w:r w:rsidRPr="00F96481" w:rsidDel="00864841">
              <w:rPr>
                <w:rFonts w:ascii="Calibri" w:hAnsi="Calibri" w:cs="Calibri"/>
                <w:color w:val="000000"/>
                <w:sz w:val="24"/>
                <w:szCs w:val="24"/>
              </w:rPr>
              <w:t>Equipment</w:t>
            </w:r>
            <w:r w:rsidRPr="00F96481">
              <w:rPr>
                <w:rFonts w:ascii="Calibri" w:hAnsi="Calibri" w:cs="Calibri"/>
                <w:color w:val="000000"/>
                <w:sz w:val="24"/>
                <w:szCs w:val="24"/>
              </w:rPr>
              <w:t>/asset health index</w:t>
            </w:r>
          </w:p>
        </w:tc>
        <w:tc>
          <w:tcPr>
            <w:tcW w:w="1559" w:type="dxa"/>
          </w:tcPr>
          <w:p w14:paraId="3F61AF65" w14:textId="038C40A1" w:rsidR="00FB12E8" w:rsidRPr="00F96481" w:rsidRDefault="00FB12E8" w:rsidP="00F96481">
            <w:pPr>
              <w:pStyle w:val="TableParagraph"/>
              <w:rPr>
                <w:rFonts w:ascii="Calibri" w:hAnsi="Calibri" w:cs="Calibri"/>
                <w:color w:val="000000"/>
                <w:sz w:val="24"/>
                <w:szCs w:val="24"/>
              </w:rPr>
            </w:pPr>
            <w:r w:rsidRPr="00F96481">
              <w:rPr>
                <w:rFonts w:ascii="Calibri" w:hAnsi="Calibri" w:cs="Calibri"/>
                <w:color w:val="000000"/>
                <w:sz w:val="24"/>
                <w:szCs w:val="24"/>
              </w:rPr>
              <w:t> </w:t>
            </w:r>
          </w:p>
        </w:tc>
        <w:tc>
          <w:tcPr>
            <w:tcW w:w="7230" w:type="dxa"/>
          </w:tcPr>
          <w:p w14:paraId="21927BD4" w14:textId="3698097A" w:rsidR="00FB12E8" w:rsidRPr="00F96481" w:rsidRDefault="00FB12E8" w:rsidP="00F96481">
            <w:pPr>
              <w:pStyle w:val="TableParagraph"/>
              <w:rPr>
                <w:rFonts w:ascii="Calibri" w:hAnsi="Calibri" w:cs="Calibri"/>
                <w:sz w:val="24"/>
                <w:szCs w:val="24"/>
              </w:rPr>
            </w:pPr>
            <w:r w:rsidRPr="00F96481">
              <w:rPr>
                <w:rFonts w:ascii="Calibri" w:hAnsi="Calibri" w:cs="Calibri"/>
                <w:sz w:val="24"/>
                <w:szCs w:val="24"/>
              </w:rPr>
              <w:t>[Measure to be developed through engagement with Scottish Water and other stakeholders.]</w:t>
            </w:r>
          </w:p>
        </w:tc>
      </w:tr>
    </w:tbl>
    <w:p w14:paraId="72F8BC77" w14:textId="77777777" w:rsidR="00EC650E" w:rsidRDefault="00EC650E" w:rsidP="000872E3">
      <w:pPr>
        <w:spacing w:after="160" w:line="259" w:lineRule="auto"/>
        <w:jc w:val="left"/>
        <w:rPr>
          <w:rFonts w:ascii="Calibri" w:hAnsi="Calibri" w:cs="Calibri"/>
        </w:rPr>
      </w:pPr>
    </w:p>
    <w:p w14:paraId="590A8659" w14:textId="795DB9D2" w:rsidR="001A1C7C" w:rsidRPr="00954233" w:rsidRDefault="001A1C7C" w:rsidP="00954233">
      <w:pPr>
        <w:sectPr w:rsidR="001A1C7C" w:rsidRPr="00954233" w:rsidSect="006312CE">
          <w:type w:val="continuous"/>
          <w:pgSz w:w="16838" w:h="11906" w:orient="landscape" w:code="9"/>
          <w:pgMar w:top="1134" w:right="1134" w:bottom="1134" w:left="1134" w:header="567" w:footer="567" w:gutter="0"/>
          <w:cols w:space="708"/>
          <w:docGrid w:linePitch="360"/>
        </w:sectPr>
      </w:pPr>
    </w:p>
    <w:p w14:paraId="2EBD0BC7" w14:textId="150FE685" w:rsidR="00E6436F" w:rsidRPr="00E6436F" w:rsidRDefault="000B1FEA" w:rsidP="00954233">
      <w:pPr>
        <w:pStyle w:val="heading10"/>
        <w:outlineLvl w:val="0"/>
      </w:pPr>
      <w:bookmarkStart w:id="13" w:name="_Toc184736034"/>
      <w:r>
        <w:lastRenderedPageBreak/>
        <w:t>Enhancement and growth o</w:t>
      </w:r>
      <w:r w:rsidDel="00384B9E">
        <w:t>utputs</w:t>
      </w:r>
      <w:bookmarkEnd w:id="13"/>
    </w:p>
    <w:p w14:paraId="433D5BD9" w14:textId="77777777" w:rsidR="00E6436F" w:rsidRPr="00E6436F" w:rsidRDefault="00E6436F" w:rsidP="00620AE0">
      <w:pPr>
        <w:pStyle w:val="heading20"/>
        <w:ind w:left="788" w:hanging="431"/>
        <w:outlineLvl w:val="1"/>
      </w:pPr>
      <w:bookmarkStart w:id="14" w:name="_Toc184736035"/>
      <w:r w:rsidRPr="00E6436F">
        <w:t>Purpose</w:t>
      </w:r>
      <w:bookmarkEnd w:id="14"/>
    </w:p>
    <w:p w14:paraId="3DFE4728" w14:textId="77777777" w:rsidR="00E6436F" w:rsidRDefault="00E6436F" w:rsidP="00E6436F"/>
    <w:p w14:paraId="23F9758A" w14:textId="793C53F3" w:rsidR="00E6436F" w:rsidRPr="00E6436F" w:rsidRDefault="00E6436F" w:rsidP="00E6436F">
      <w:r w:rsidRPr="00E6436F">
        <w:t xml:space="preserve">This table covers Scottish Water’s </w:t>
      </w:r>
      <w:r w:rsidR="008534D8">
        <w:t>enhancement and growth</w:t>
      </w:r>
      <w:r w:rsidRPr="00E6436F">
        <w:t xml:space="preserve"> investment outputs and expenditure</w:t>
      </w:r>
      <w:r w:rsidR="00B508A6">
        <w:t xml:space="preserve"> forecasts</w:t>
      </w:r>
      <w:r w:rsidRPr="00E6436F">
        <w:t xml:space="preserve">. </w:t>
      </w:r>
      <w:r w:rsidR="00C6483D" w:rsidRPr="0030124D">
        <w:t xml:space="preserve">Enhancement investment </w:t>
      </w:r>
      <w:r w:rsidR="00C6483D">
        <w:t>and outputs</w:t>
      </w:r>
      <w:r w:rsidR="00C6483D" w:rsidRPr="0030124D">
        <w:t xml:space="preserve"> </w:t>
      </w:r>
      <w:r w:rsidR="00C6483D">
        <w:t>relate to incremental improvements in service levels, while growth investment and outputs relate</w:t>
      </w:r>
      <w:r w:rsidR="00C6483D" w:rsidRPr="0030124D">
        <w:t xml:space="preserve"> to increasing the supply of water and capacity available to remove wastewater and surface water drainage in response to new demand for these </w:t>
      </w:r>
      <w:r w:rsidR="00C6483D" w:rsidRPr="0098786F">
        <w:t>services</w:t>
      </w:r>
      <w:r w:rsidR="00C6483D" w:rsidRPr="0030124D">
        <w:t xml:space="preserve">. </w:t>
      </w:r>
      <w:r w:rsidRPr="00E6436F">
        <w:t xml:space="preserve">The data required is the </w:t>
      </w:r>
      <w:r w:rsidR="00E76617">
        <w:t>outputs</w:t>
      </w:r>
      <w:r w:rsidRPr="00E6436F">
        <w:t xml:space="preserve"> and the associated expenditure forecast annually over the SRC27 period</w:t>
      </w:r>
      <w:r w:rsidR="008878E0">
        <w:t xml:space="preserve"> and then at an aggregate level for any applicable subsequent control periods</w:t>
      </w:r>
      <w:r w:rsidRPr="00E6436F">
        <w:t>.</w:t>
      </w:r>
      <w:r w:rsidR="00E52C7B">
        <w:t xml:space="preserve"> </w:t>
      </w:r>
      <w:r w:rsidR="00E52C7B" w:rsidRPr="00E52C7B">
        <w:t xml:space="preserve">For alternative </w:t>
      </w:r>
      <w:r w:rsidR="00685B7A">
        <w:t>S</w:t>
      </w:r>
      <w:r w:rsidR="00E52C7B" w:rsidRPr="00E52C7B">
        <w:t xml:space="preserve">cenarios B and C, </w:t>
      </w:r>
      <w:r w:rsidR="00E52C7B">
        <w:t>th</w:t>
      </w:r>
      <w:r w:rsidR="00C21C01">
        <w:t xml:space="preserve">e aggregate outputs and </w:t>
      </w:r>
      <w:r w:rsidR="007E7408">
        <w:t xml:space="preserve">associated expenditure forecast over the SRC27 period </w:t>
      </w:r>
      <w:r w:rsidR="00E52C7B" w:rsidRPr="00E52C7B">
        <w:t>is required.</w:t>
      </w:r>
    </w:p>
    <w:p w14:paraId="341F0394" w14:textId="77777777" w:rsidR="00E6436F" w:rsidRPr="00E6436F" w:rsidRDefault="00E6436F" w:rsidP="00E6436F"/>
    <w:p w14:paraId="408CA489" w14:textId="77777777" w:rsidR="00745DE7" w:rsidRDefault="00E6436F" w:rsidP="00E6436F">
      <w:r w:rsidRPr="00E6436F">
        <w:t>This will allow for assessment of the proposed delivery of enhancement and growth investment and associated outputs with a clear line of sight</w:t>
      </w:r>
      <w:r w:rsidR="00B66B62">
        <w:t xml:space="preserve"> to both:</w:t>
      </w:r>
      <w:r w:rsidRPr="00E6436F">
        <w:t xml:space="preserve"> </w:t>
      </w:r>
    </w:p>
    <w:p w14:paraId="6E6A4AD8" w14:textId="2E4AE3D1" w:rsidR="00745DE7" w:rsidRDefault="00E6436F" w:rsidP="00A41494">
      <w:pPr>
        <w:pStyle w:val="Bullet1"/>
      </w:pPr>
      <w:r w:rsidRPr="00E6436F">
        <w:t>the relevant high</w:t>
      </w:r>
      <w:r w:rsidR="00A6179D">
        <w:t>-</w:t>
      </w:r>
      <w:r w:rsidRPr="00E6436F">
        <w:t>level investment driver</w:t>
      </w:r>
      <w:r w:rsidR="00D567BB">
        <w:t>,</w:t>
      </w:r>
      <w:r w:rsidRPr="00E6436F">
        <w:t xml:space="preserve"> e.g. legislative </w:t>
      </w:r>
      <w:r w:rsidR="00B36627">
        <w:t>need</w:t>
      </w:r>
      <w:r w:rsidR="00B66B62">
        <w:t>;</w:t>
      </w:r>
      <w:r w:rsidR="00263601">
        <w:t xml:space="preserve"> </w:t>
      </w:r>
      <w:r w:rsidR="00E55AD7">
        <w:t xml:space="preserve">and </w:t>
      </w:r>
    </w:p>
    <w:p w14:paraId="24D91371" w14:textId="552B2524" w:rsidR="00E6436F" w:rsidRPr="00E6436F" w:rsidRDefault="00263601" w:rsidP="00A41494">
      <w:pPr>
        <w:pStyle w:val="Bullet1"/>
      </w:pPr>
      <w:r>
        <w:t>the long</w:t>
      </w:r>
      <w:r w:rsidR="0013568D">
        <w:t>er</w:t>
      </w:r>
      <w:r w:rsidR="00A6179D">
        <w:t>-</w:t>
      </w:r>
      <w:r w:rsidR="0013568D">
        <w:t>ter</w:t>
      </w:r>
      <w:r w:rsidR="005352AC">
        <w:t xml:space="preserve">m </w:t>
      </w:r>
      <w:r w:rsidR="0042430C">
        <w:t>plan</w:t>
      </w:r>
      <w:r w:rsidR="00B95A4E">
        <w:t xml:space="preserve"> and context</w:t>
      </w:r>
      <w:r w:rsidR="00F75343">
        <w:t xml:space="preserve"> set out in the sector vision</w:t>
      </w:r>
      <w:r w:rsidR="00E6436F" w:rsidRPr="00E6436F">
        <w:t>.</w:t>
      </w:r>
    </w:p>
    <w:p w14:paraId="36CBA540" w14:textId="77777777" w:rsidR="00E6436F" w:rsidRDefault="00E6436F" w:rsidP="00E6436F"/>
    <w:p w14:paraId="5104C584" w14:textId="0E3ED35F" w:rsidR="00AB0F00" w:rsidRPr="00E6436F" w:rsidRDefault="00AB0F00" w:rsidP="00E6436F">
      <w:r>
        <w:t xml:space="preserve">It will also </w:t>
      </w:r>
      <w:r w:rsidR="005D7959">
        <w:t xml:space="preserve">inform the baseline </w:t>
      </w:r>
      <w:r w:rsidR="0038693A">
        <w:t xml:space="preserve">that </w:t>
      </w:r>
      <w:r w:rsidR="00F964D4">
        <w:t xml:space="preserve">WICS will assess Scottish Water’s performance against </w:t>
      </w:r>
      <w:r w:rsidR="00166224">
        <w:t>over the SRC27 period</w:t>
      </w:r>
      <w:r w:rsidR="007C07EF">
        <w:t xml:space="preserve"> (and that Scottish Water will report against)</w:t>
      </w:r>
      <w:r w:rsidR="00166224">
        <w:t>.</w:t>
      </w:r>
    </w:p>
    <w:p w14:paraId="0E08CA86" w14:textId="77777777" w:rsidR="00EA68BA" w:rsidRDefault="00EA68BA" w:rsidP="00E6436F"/>
    <w:p w14:paraId="34A8C96E" w14:textId="75023E3A" w:rsidR="00EA68BA" w:rsidRPr="00E6436F" w:rsidRDefault="001D577A" w:rsidP="00E6436F">
      <w:r w:rsidRPr="0030124D">
        <w:rPr>
          <w:lang w:eastAsia="zh-TW"/>
        </w:rPr>
        <w:t>Scottish Water currently defines its investment proposals on a rolling basis through the S</w:t>
      </w:r>
      <w:r w:rsidR="00423081">
        <w:rPr>
          <w:lang w:eastAsia="zh-TW"/>
        </w:rPr>
        <w:t xml:space="preserve">cottish </w:t>
      </w:r>
      <w:r w:rsidRPr="0030124D">
        <w:rPr>
          <w:lang w:eastAsia="zh-TW"/>
        </w:rPr>
        <w:t>G</w:t>
      </w:r>
      <w:r w:rsidR="00423081">
        <w:rPr>
          <w:lang w:eastAsia="zh-TW"/>
        </w:rPr>
        <w:t xml:space="preserve">overnment </w:t>
      </w:r>
      <w:r w:rsidRPr="0030124D">
        <w:rPr>
          <w:lang w:eastAsia="zh-TW"/>
        </w:rPr>
        <w:t>I</w:t>
      </w:r>
      <w:r w:rsidR="00423081">
        <w:rPr>
          <w:lang w:eastAsia="zh-TW"/>
        </w:rPr>
        <w:t xml:space="preserve">nvestment </w:t>
      </w:r>
      <w:r w:rsidRPr="0030124D">
        <w:rPr>
          <w:lang w:eastAsia="zh-TW"/>
        </w:rPr>
        <w:t>G</w:t>
      </w:r>
      <w:r w:rsidR="00423081">
        <w:rPr>
          <w:lang w:eastAsia="zh-TW"/>
        </w:rPr>
        <w:t>roup</w:t>
      </w:r>
      <w:r w:rsidR="00AC49AE">
        <w:rPr>
          <w:lang w:eastAsia="zh-TW"/>
        </w:rPr>
        <w:t xml:space="preserve"> (SGIG)</w:t>
      </w:r>
      <w:r w:rsidRPr="0030124D">
        <w:rPr>
          <w:lang w:eastAsia="zh-TW"/>
        </w:rPr>
        <w:t xml:space="preserve">. </w:t>
      </w:r>
      <w:r w:rsidR="00FE4B72">
        <w:rPr>
          <w:lang w:eastAsia="zh-TW"/>
        </w:rPr>
        <w:t xml:space="preserve">It is </w:t>
      </w:r>
      <w:r w:rsidRPr="0030124D">
        <w:rPr>
          <w:lang w:eastAsia="zh-TW"/>
        </w:rPr>
        <w:t>recognise</w:t>
      </w:r>
      <w:r w:rsidR="00FE4B72">
        <w:rPr>
          <w:lang w:eastAsia="zh-TW"/>
        </w:rPr>
        <w:t>d</w:t>
      </w:r>
      <w:r w:rsidRPr="0030124D">
        <w:rPr>
          <w:lang w:eastAsia="zh-TW"/>
        </w:rPr>
        <w:t xml:space="preserve"> that when Scottish Water publishes its business plan in February 2026, </w:t>
      </w:r>
      <w:r w:rsidR="00FE4B72">
        <w:rPr>
          <w:lang w:eastAsia="zh-TW"/>
        </w:rPr>
        <w:t>its investment proposals will be at different stages of maturity, and these proposals may change as its</w:t>
      </w:r>
      <w:r w:rsidR="00D9525F">
        <w:rPr>
          <w:lang w:eastAsia="zh-TW"/>
        </w:rPr>
        <w:t xml:space="preserve"> investment progresses through the </w:t>
      </w:r>
      <w:r w:rsidR="002E42FC">
        <w:rPr>
          <w:lang w:eastAsia="zh-TW"/>
        </w:rPr>
        <w:t>S</w:t>
      </w:r>
      <w:r w:rsidR="00674EDC">
        <w:rPr>
          <w:lang w:eastAsia="zh-TW"/>
        </w:rPr>
        <w:t>GIG</w:t>
      </w:r>
      <w:r w:rsidR="00AC49AE">
        <w:rPr>
          <w:lang w:eastAsia="zh-TW"/>
        </w:rPr>
        <w:t xml:space="preserve"> process.</w:t>
      </w:r>
    </w:p>
    <w:p w14:paraId="0F3C1BC4" w14:textId="77777777" w:rsidR="00A97563" w:rsidRPr="00E6436F" w:rsidRDefault="00A97563" w:rsidP="00E6436F"/>
    <w:p w14:paraId="3D8F61DD" w14:textId="77777777" w:rsidR="00E6436F" w:rsidRPr="00E6436F" w:rsidRDefault="00E6436F" w:rsidP="00620AE0">
      <w:pPr>
        <w:pStyle w:val="heading20"/>
        <w:ind w:left="788" w:hanging="431"/>
        <w:outlineLvl w:val="1"/>
      </w:pPr>
      <w:bookmarkStart w:id="15" w:name="_Ref183443679"/>
      <w:bookmarkStart w:id="16" w:name="_Toc184736036"/>
      <w:r w:rsidRPr="00E6436F">
        <w:t>Guidance</w:t>
      </w:r>
      <w:bookmarkEnd w:id="15"/>
      <w:bookmarkEnd w:id="16"/>
    </w:p>
    <w:p w14:paraId="40AA3E6A" w14:textId="77777777" w:rsidR="00E6436F" w:rsidRPr="00E6436F" w:rsidRDefault="00E6436F" w:rsidP="00E6436F"/>
    <w:p w14:paraId="4B6546E9" w14:textId="3AF047F8" w:rsidR="00E6436F" w:rsidRDefault="00E6436F" w:rsidP="00E6436F">
      <w:r w:rsidRPr="00E6436F">
        <w:t>Each line is an input. Scottish Water should report expenditure data in 2024</w:t>
      </w:r>
      <w:r w:rsidR="008474EA">
        <w:t>-</w:t>
      </w:r>
      <w:r w:rsidRPr="00E6436F">
        <w:t xml:space="preserve">25 price base. The units of expenditure are £m to 3 decimal places. </w:t>
      </w:r>
      <w:r w:rsidR="00A61F77">
        <w:t>The expend</w:t>
      </w:r>
      <w:r w:rsidR="00A179E2">
        <w:t xml:space="preserve">iture forecasts in this table should be inclusive of risk allowances. </w:t>
      </w:r>
      <w:r w:rsidR="00007152">
        <w:t xml:space="preserve">Units for </w:t>
      </w:r>
      <w:r w:rsidRPr="00E6436F">
        <w:t>each output are given in the definition</w:t>
      </w:r>
      <w:r w:rsidR="001730EA">
        <w:t>s</w:t>
      </w:r>
      <w:r w:rsidRPr="00E6436F">
        <w:t xml:space="preserve"> below.</w:t>
      </w:r>
    </w:p>
    <w:p w14:paraId="7E23DBB1" w14:textId="77777777" w:rsidR="00E6436F" w:rsidRDefault="00E6436F" w:rsidP="00E6436F"/>
    <w:p w14:paraId="5032FA14" w14:textId="041A0E18" w:rsidR="006E4427" w:rsidRDefault="001F72F3" w:rsidP="00E6436F">
      <w:r>
        <w:t xml:space="preserve">Where </w:t>
      </w:r>
      <w:r w:rsidR="00E61CAD">
        <w:t>Scottish Water</w:t>
      </w:r>
      <w:r w:rsidR="008F6707" w:rsidDel="0028693F">
        <w:t xml:space="preserve"> </w:t>
      </w:r>
      <w:r w:rsidR="0028693F">
        <w:t xml:space="preserve">considers </w:t>
      </w:r>
      <w:r w:rsidR="008F6707">
        <w:t>projects and associated</w:t>
      </w:r>
      <w:r w:rsidR="005A150E">
        <w:t xml:space="preserve"> outputs </w:t>
      </w:r>
      <w:r w:rsidR="00766F8E">
        <w:t xml:space="preserve">will </w:t>
      </w:r>
      <w:r w:rsidR="00FC4BCD">
        <w:t xml:space="preserve">span more than one </w:t>
      </w:r>
      <w:r w:rsidR="00264D50">
        <w:t xml:space="preserve">regulatory </w:t>
      </w:r>
      <w:r w:rsidR="00FC4BCD">
        <w:t xml:space="preserve">control period, it </w:t>
      </w:r>
      <w:r w:rsidR="00E61CAD">
        <w:t xml:space="preserve">should report </w:t>
      </w:r>
      <w:r w:rsidR="003B1975">
        <w:t xml:space="preserve">forecast </w:t>
      </w:r>
      <w:r w:rsidR="00E61CAD">
        <w:t>e</w:t>
      </w:r>
      <w:r w:rsidR="006E4427">
        <w:t xml:space="preserve">xpenditure and </w:t>
      </w:r>
      <w:r w:rsidR="003B1975">
        <w:t xml:space="preserve">expected </w:t>
      </w:r>
      <w:r w:rsidR="006E4427">
        <w:t>outputs</w:t>
      </w:r>
      <w:r w:rsidR="00E61CAD">
        <w:t xml:space="preserve"> </w:t>
      </w:r>
      <w:r w:rsidR="003B1975">
        <w:t xml:space="preserve">for each year of </w:t>
      </w:r>
      <w:r w:rsidR="00BC3DD8">
        <w:t>the SRC</w:t>
      </w:r>
      <w:r w:rsidR="004A3AFC">
        <w:t>27 period</w:t>
      </w:r>
      <w:r w:rsidR="00FC4BCD">
        <w:t xml:space="preserve"> (and </w:t>
      </w:r>
      <w:r w:rsidR="00F5573B">
        <w:t>in total for SRC27</w:t>
      </w:r>
      <w:r w:rsidR="00FC4BCD">
        <w:t xml:space="preserve">) and then </w:t>
      </w:r>
      <w:r w:rsidR="00B711A8">
        <w:t xml:space="preserve">at an aggregate level for </w:t>
      </w:r>
      <w:r w:rsidR="0030742E">
        <w:t xml:space="preserve">subsequent regulatory </w:t>
      </w:r>
      <w:r w:rsidR="00B711A8">
        <w:t xml:space="preserve">control periods out to the end of </w:t>
      </w:r>
      <w:r w:rsidR="003B12CC">
        <w:t>SRC45</w:t>
      </w:r>
      <w:r w:rsidR="0053320A">
        <w:t xml:space="preserve">. The </w:t>
      </w:r>
      <w:r w:rsidR="00B46248">
        <w:t>‘Total’ column captures the cumulative position over applicable periods.</w:t>
      </w:r>
    </w:p>
    <w:p w14:paraId="313F6DBB" w14:textId="77777777" w:rsidR="00A00386" w:rsidRDefault="00A00386" w:rsidP="00E6436F"/>
    <w:p w14:paraId="12554886" w14:textId="0C935BE1" w:rsidR="00A00386" w:rsidRDefault="00A00386" w:rsidP="009857D6">
      <w:r>
        <w:t>Scottish Water should only report outputs</w:t>
      </w:r>
      <w:r w:rsidR="00783247">
        <w:t xml:space="preserve"> </w:t>
      </w:r>
      <w:r w:rsidR="009857D6">
        <w:t>in the year they come into beneficial use for customers or the environment.</w:t>
      </w:r>
    </w:p>
    <w:p w14:paraId="0F32898D" w14:textId="77777777" w:rsidR="00482664" w:rsidRDefault="00482664" w:rsidP="00E6436F"/>
    <w:p w14:paraId="57A933C9" w14:textId="6656B5A2" w:rsidR="00482664" w:rsidRDefault="0042255A" w:rsidP="00E6436F">
      <w:r>
        <w:t>Tables 2 and 3</w:t>
      </w:r>
      <w:r w:rsidR="00AC1A3E">
        <w:t>a</w:t>
      </w:r>
      <w:r>
        <w:t xml:space="preserve"> are </w:t>
      </w:r>
      <w:r w:rsidR="00547D48">
        <w:t xml:space="preserve">intended to </w:t>
      </w:r>
      <w:r w:rsidR="00CF5217">
        <w:t>be a</w:t>
      </w:r>
      <w:r w:rsidR="00547D48">
        <w:t xml:space="preserve"> </w:t>
      </w:r>
      <w:r w:rsidR="00353E4C">
        <w:t xml:space="preserve">subset </w:t>
      </w:r>
      <w:r w:rsidR="00CF5217">
        <w:t xml:space="preserve">of </w:t>
      </w:r>
      <w:r w:rsidR="00697027">
        <w:t xml:space="preserve">the </w:t>
      </w:r>
      <w:r w:rsidR="009D7564">
        <w:t>project</w:t>
      </w:r>
      <w:r w:rsidR="00070738">
        <w:t xml:space="preserve"> </w:t>
      </w:r>
      <w:r w:rsidR="00DE39B7">
        <w:t xml:space="preserve">and programme </w:t>
      </w:r>
      <w:r w:rsidR="00547D48">
        <w:t>expenditure</w:t>
      </w:r>
      <w:r w:rsidR="00644ACC">
        <w:t xml:space="preserve"> captured in table </w:t>
      </w:r>
      <w:r w:rsidR="00DE39B7">
        <w:t>5</w:t>
      </w:r>
      <w:r w:rsidR="001B3EDC">
        <w:t xml:space="preserve">. </w:t>
      </w:r>
      <w:r w:rsidR="0075054E">
        <w:t xml:space="preserve">To the best of its ability, Scottish Water should ensure </w:t>
      </w:r>
      <w:r w:rsidR="005F2BEE" w:rsidRPr="005F2BEE">
        <w:t xml:space="preserve">that the majority of enhancement and growth outputs and expenditure are captured in the existing named lines in table 2. If there is </w:t>
      </w:r>
      <w:r w:rsidR="0075054E">
        <w:t>remaining</w:t>
      </w:r>
      <w:r w:rsidR="005F2BEE" w:rsidRPr="005F2BEE">
        <w:t xml:space="preserve"> expenditure in table 5 which cannot be attributed to named output lines in table 2 and there is </w:t>
      </w:r>
      <w:r w:rsidR="000A64C7">
        <w:t xml:space="preserve">a </w:t>
      </w:r>
      <w:r w:rsidR="005F2BEE" w:rsidRPr="005F2BEE">
        <w:t xml:space="preserve">misalignment in the total enhancement and growth expenditure between the two tables, then Scottish Water should use the “Other enhancement </w:t>
      </w:r>
      <w:r w:rsidR="003A1A89">
        <w:t>expenditure</w:t>
      </w:r>
      <w:r w:rsidR="005F2BEE" w:rsidRPr="005F2BEE">
        <w:t xml:space="preserve">” and “Other growth </w:t>
      </w:r>
      <w:r w:rsidR="003A1A89">
        <w:t>expenditure</w:t>
      </w:r>
      <w:r w:rsidR="005F2BEE" w:rsidRPr="005F2BEE">
        <w:t>” lines in table 2 to capture that difference</w:t>
      </w:r>
      <w:r w:rsidR="00E83020">
        <w:t>.</w:t>
      </w:r>
      <w:r w:rsidR="005F2BEE">
        <w:t xml:space="preserve"> We would expect that less than 20% of the total enhancement and growth expenditure </w:t>
      </w:r>
      <w:r w:rsidR="00C64D0C">
        <w:t xml:space="preserve">will be </w:t>
      </w:r>
      <w:r w:rsidR="005F2BEE">
        <w:t>captured in these lines</w:t>
      </w:r>
      <w:r w:rsidR="00F251AF">
        <w:t xml:space="preserve"> based on the lines carried forward from </w:t>
      </w:r>
      <w:r w:rsidR="00020BAF">
        <w:t>the Annual Return 2024 (</w:t>
      </w:r>
      <w:r w:rsidR="00F251AF">
        <w:t>AR24</w:t>
      </w:r>
      <w:r w:rsidR="00020BAF">
        <w:t>)</w:t>
      </w:r>
      <w:r w:rsidR="005F2BEE">
        <w:t>.</w:t>
      </w:r>
      <w:r w:rsidR="00E83020">
        <w:t xml:space="preserve"> Scottish Water should then </w:t>
      </w:r>
      <w:r w:rsidR="00EB0919">
        <w:t xml:space="preserve">explain the </w:t>
      </w:r>
      <w:r w:rsidR="00E83020">
        <w:t>composition</w:t>
      </w:r>
      <w:r w:rsidR="00EB0919">
        <w:t xml:space="preserve"> of th</w:t>
      </w:r>
      <w:r w:rsidR="009D6CCC">
        <w:t>ese</w:t>
      </w:r>
      <w:r w:rsidR="00EB0919">
        <w:t xml:space="preserve"> line</w:t>
      </w:r>
      <w:r w:rsidR="009D6CCC">
        <w:t>s</w:t>
      </w:r>
      <w:r w:rsidR="00EB0919">
        <w:t xml:space="preserve"> in its commentary</w:t>
      </w:r>
      <w:r w:rsidR="00202F63">
        <w:t xml:space="preserve"> (including </w:t>
      </w:r>
      <w:r w:rsidR="002F229F">
        <w:t xml:space="preserve">associated outputs and </w:t>
      </w:r>
      <w:r w:rsidR="00202F63">
        <w:t xml:space="preserve">why such balancing </w:t>
      </w:r>
      <w:r w:rsidR="006046E0">
        <w:t xml:space="preserve">items do not align </w:t>
      </w:r>
      <w:r w:rsidR="00020BAF">
        <w:t>with</w:t>
      </w:r>
      <w:r w:rsidR="006046E0">
        <w:t xml:space="preserve"> the criteria noted immediately above for inclusion in this table)</w:t>
      </w:r>
      <w:r w:rsidR="00EB0919">
        <w:t>.</w:t>
      </w:r>
      <w:r w:rsidR="006E64C6">
        <w:t xml:space="preserve"> </w:t>
      </w:r>
    </w:p>
    <w:p w14:paraId="4086830F" w14:textId="77777777" w:rsidR="006E64C6" w:rsidRDefault="006E64C6" w:rsidP="00E6436F"/>
    <w:p w14:paraId="1A31C9D8" w14:textId="420CE57B" w:rsidR="006E64C6" w:rsidRDefault="008E56DB" w:rsidP="00E6436F">
      <w:r>
        <w:t xml:space="preserve">The </w:t>
      </w:r>
      <w:r w:rsidR="002056CD">
        <w:t>outputs and associated expenditure</w:t>
      </w:r>
      <w:r>
        <w:t xml:space="preserve"> in </w:t>
      </w:r>
      <w:r w:rsidR="0086568B" w:rsidDel="00F446B4">
        <w:t>t</w:t>
      </w:r>
      <w:r w:rsidDel="00F446B4">
        <w:t>able 2 should be directly calculated from</w:t>
      </w:r>
      <w:r w:rsidR="002056CD" w:rsidDel="00F446B4">
        <w:t xml:space="preserve"> the projects and programmes of work in</w:t>
      </w:r>
      <w:r w:rsidDel="00F446B4">
        <w:t xml:space="preserve"> </w:t>
      </w:r>
      <w:r w:rsidR="0086568B" w:rsidDel="00F446B4">
        <w:t>t</w:t>
      </w:r>
      <w:r w:rsidDel="00F446B4">
        <w:t xml:space="preserve">able </w:t>
      </w:r>
      <w:r w:rsidR="00422409" w:rsidDel="00F446B4">
        <w:t>5</w:t>
      </w:r>
      <w:r w:rsidR="002056CD" w:rsidDel="00F446B4">
        <w:t xml:space="preserve">. </w:t>
      </w:r>
      <w:r w:rsidR="00F446B4">
        <w:t>The relationships between tables 2, 3</w:t>
      </w:r>
      <w:r w:rsidR="007B096E">
        <w:t>a</w:t>
      </w:r>
      <w:r w:rsidR="00F446B4">
        <w:t>,</w:t>
      </w:r>
      <w:r w:rsidR="0086568B">
        <w:t xml:space="preserve"> and </w:t>
      </w:r>
      <w:r w:rsidR="00422409">
        <w:t>5</w:t>
      </w:r>
      <w:r w:rsidR="0086568B">
        <w:t xml:space="preserve"> are shown in the diagram below.</w:t>
      </w:r>
    </w:p>
    <w:p w14:paraId="221BF9AA" w14:textId="77777777" w:rsidR="0071370D" w:rsidRDefault="0071370D" w:rsidP="00E6436F"/>
    <w:p w14:paraId="3D2D8D9F" w14:textId="09936AF7" w:rsidR="0071370D" w:rsidRDefault="005B3378" w:rsidP="00E6436F">
      <w:r>
        <w:rPr>
          <w:noProof/>
        </w:rPr>
        <w:drawing>
          <wp:inline distT="0" distB="0" distL="0" distR="0" wp14:anchorId="417B1B39" wp14:editId="17003449">
            <wp:extent cx="6122504" cy="2453286"/>
            <wp:effectExtent l="0" t="0" r="0" b="4445"/>
            <wp:docPr id="293982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588" cy="2464539"/>
                    </a:xfrm>
                    <a:prstGeom prst="rect">
                      <a:avLst/>
                    </a:prstGeom>
                    <a:noFill/>
                  </pic:spPr>
                </pic:pic>
              </a:graphicData>
            </a:graphic>
          </wp:inline>
        </w:drawing>
      </w:r>
      <w:r w:rsidR="00373588" w:rsidDel="00373588">
        <w:rPr>
          <w:noProof/>
        </w:rPr>
        <w:t xml:space="preserve"> </w:t>
      </w:r>
    </w:p>
    <w:p w14:paraId="7A7E98E7" w14:textId="77777777" w:rsidR="008222AD" w:rsidRDefault="008222AD" w:rsidP="00E6436F"/>
    <w:p w14:paraId="317FAB22" w14:textId="4CF46D8F" w:rsidR="00467FD9" w:rsidRDefault="00B57FB4" w:rsidP="00E6436F">
      <w:r w:rsidRPr="00711CC5">
        <w:t>An investment driver is a primary reason for investment, linking workload and output to achieve a defined standard of service.</w:t>
      </w:r>
      <w:r>
        <w:t xml:space="preserve"> </w:t>
      </w:r>
      <w:r w:rsidR="00664FBD" w:rsidRPr="00BF6D0A">
        <w:t>In it</w:t>
      </w:r>
      <w:r w:rsidR="005E3589" w:rsidRPr="00BF6D0A">
        <w:t>s</w:t>
      </w:r>
      <w:r w:rsidR="00664FBD" w:rsidRPr="00BF6D0A">
        <w:t xml:space="preserve"> table commentary, Scottish Water should set out </w:t>
      </w:r>
      <w:r w:rsidR="00536E7C" w:rsidRPr="00BF6D0A">
        <w:t xml:space="preserve">if </w:t>
      </w:r>
      <w:r w:rsidR="00FE0292" w:rsidRPr="00BF6D0A">
        <w:t xml:space="preserve">it has directly allocated </w:t>
      </w:r>
      <w:r w:rsidR="00536E7C" w:rsidRPr="00BF6D0A">
        <w:t xml:space="preserve">the </w:t>
      </w:r>
      <w:r w:rsidR="00664FBD" w:rsidRPr="00BF6D0A">
        <w:t>expenditure associa</w:t>
      </w:r>
      <w:r w:rsidR="00536E7C" w:rsidRPr="00BF6D0A">
        <w:t xml:space="preserve">ted with </w:t>
      </w:r>
      <w:r w:rsidR="00FE0292" w:rsidRPr="00BF6D0A">
        <w:t>the output</w:t>
      </w:r>
      <w:r w:rsidR="007D02C9">
        <w:t>, if it has had to allocate costs indirectly,</w:t>
      </w:r>
      <w:r w:rsidR="00E1044C" w:rsidRPr="00BF6D0A">
        <w:t xml:space="preserve"> or if costs reflect a mix of direct and allocated costs</w:t>
      </w:r>
      <w:r w:rsidR="000F7570" w:rsidRPr="00BF6D0A">
        <w:t xml:space="preserve">. </w:t>
      </w:r>
      <w:r w:rsidR="00F75E13" w:rsidRPr="00BF6D0A">
        <w:t>I</w:t>
      </w:r>
      <w:r w:rsidR="004156F3" w:rsidRPr="00BF6D0A">
        <w:t>t should also set out the basis on which</w:t>
      </w:r>
      <w:r w:rsidR="00B9623E" w:rsidRPr="00BF6D0A">
        <w:t xml:space="preserve"> it has – and </w:t>
      </w:r>
      <w:r w:rsidR="00EE1783">
        <w:t>rationale for – allocated costs (i</w:t>
      </w:r>
      <w:r w:rsidR="00CD186C">
        <w:t>.</w:t>
      </w:r>
      <w:r w:rsidR="00EE1783">
        <w:t>e</w:t>
      </w:r>
      <w:r w:rsidR="00CD186C">
        <w:t>.</w:t>
      </w:r>
      <w:r w:rsidR="00EE1783">
        <w:t>,</w:t>
      </w:r>
      <w:r w:rsidR="004156F3" w:rsidRPr="00BF6D0A">
        <w:t xml:space="preserve"> the drivers it used). </w:t>
      </w:r>
      <w:r w:rsidR="005724D8" w:rsidRPr="00BF6D0A">
        <w:t>Scottish Water may need to provide such commentary where, for example,</w:t>
      </w:r>
      <w:r w:rsidR="009302E8" w:rsidRPr="00BF6D0A">
        <w:t xml:space="preserve"> </w:t>
      </w:r>
      <w:r w:rsidR="000414B3" w:rsidRPr="00BF6D0A">
        <w:t xml:space="preserve">a project delivers multiple </w:t>
      </w:r>
      <w:r w:rsidR="005724D8" w:rsidRPr="00BF6D0A">
        <w:t xml:space="preserve">enhancement or growth </w:t>
      </w:r>
      <w:r w:rsidR="000414B3" w:rsidRPr="00BF6D0A">
        <w:t>outputs</w:t>
      </w:r>
      <w:r w:rsidR="005724D8" w:rsidRPr="00BF6D0A">
        <w:t>.</w:t>
      </w:r>
      <w:r w:rsidR="00B43250" w:rsidRPr="00BF6D0A">
        <w:t xml:space="preserve"> </w:t>
      </w:r>
      <w:r w:rsidR="001D0FF4" w:rsidRPr="00BF6D0A">
        <w:t xml:space="preserve">Where outputs </w:t>
      </w:r>
      <w:r w:rsidR="002415C4" w:rsidRPr="00BF6D0A">
        <w:t xml:space="preserve">and expenditure </w:t>
      </w:r>
      <w:r w:rsidR="00F446B4">
        <w:t>must</w:t>
      </w:r>
      <w:r w:rsidR="001D0FF4" w:rsidRPr="00BF6D0A">
        <w:t xml:space="preserve"> be allocated between maintenance and enhancement, Scottish Water should again set out </w:t>
      </w:r>
      <w:r w:rsidR="00B9623E" w:rsidRPr="00BF6D0A">
        <w:t xml:space="preserve">and justify the driver in </w:t>
      </w:r>
      <w:r w:rsidR="003E2C44">
        <w:t>the</w:t>
      </w:r>
      <w:r w:rsidR="00B9623E" w:rsidRPr="00BF6D0A">
        <w:t xml:space="preserve"> table commentary.</w:t>
      </w:r>
      <w:r w:rsidR="00711CC5">
        <w:t xml:space="preserve"> </w:t>
      </w:r>
    </w:p>
    <w:p w14:paraId="70E4C3FD" w14:textId="77777777" w:rsidR="00467FD9" w:rsidRDefault="00467FD9" w:rsidP="00E6436F"/>
    <w:p w14:paraId="65C43D43" w14:textId="2A2F6A67" w:rsidR="00D14085" w:rsidRDefault="007176DA" w:rsidP="00D14085">
      <w:r>
        <w:t>Responding</w:t>
      </w:r>
      <w:r w:rsidR="00A5322B">
        <w:t xml:space="preserve"> to </w:t>
      </w:r>
      <w:r w:rsidR="00B7764E">
        <w:t xml:space="preserve">the </w:t>
      </w:r>
      <w:r w:rsidR="00A5322B">
        <w:t xml:space="preserve">effects of climate change should be fully embedded in how Scottish Water develops its investment programme. As such, Scottish Water should invest in a way that mitigates </w:t>
      </w:r>
      <w:r w:rsidR="00A5322B">
        <w:lastRenderedPageBreak/>
        <w:t xml:space="preserve">the carbon emitted from investment (responding to the mitigation challenge) and </w:t>
      </w:r>
      <w:r w:rsidR="00A5322B" w:rsidDel="007176DA">
        <w:t>future</w:t>
      </w:r>
      <w:r>
        <w:t xml:space="preserve">-proofs its services to the effects of a changing climate (responding to </w:t>
      </w:r>
      <w:r w:rsidR="00A5322B">
        <w:t xml:space="preserve">the adaptation challenge). </w:t>
      </w:r>
      <w:r w:rsidR="00525D50">
        <w:t>T</w:t>
      </w:r>
      <w:r w:rsidR="00A5322B">
        <w:t>here may be some areas of the investment programme where the sole driver or purpose for the investment is related to climate change – e.g. responding to flash flooding and improving resilience to power interruptions. In these cases, Scottish Water could include climate change as a distinct category of the enhancement investment programme.</w:t>
      </w:r>
      <w:r w:rsidR="00C03D12">
        <w:t xml:space="preserve"> However, this needs to relate to </w:t>
      </w:r>
      <w:r w:rsidR="002E1C3C">
        <w:t>an</w:t>
      </w:r>
      <w:r w:rsidR="00C03D12">
        <w:t xml:space="preserve"> incremental improvement </w:t>
      </w:r>
      <w:r w:rsidR="00B21373">
        <w:t>in resilience</w:t>
      </w:r>
      <w:r w:rsidR="00B7764E">
        <w:t xml:space="preserve"> in the system</w:t>
      </w:r>
      <w:r w:rsidR="00FB0EC3">
        <w:t xml:space="preserve"> – </w:t>
      </w:r>
      <w:r w:rsidR="00AB21D3">
        <w:t>restoring</w:t>
      </w:r>
      <w:r w:rsidR="00FB0EC3">
        <w:t xml:space="preserve"> resilience</w:t>
      </w:r>
      <w:r w:rsidR="00AB21D3">
        <w:t xml:space="preserve"> to its original level</w:t>
      </w:r>
      <w:r w:rsidR="00FB0EC3">
        <w:t xml:space="preserve"> </w:t>
      </w:r>
      <w:r w:rsidR="007D39F4">
        <w:t>through</w:t>
      </w:r>
      <w:r w:rsidR="009D599C">
        <w:t xml:space="preserve"> replacing an </w:t>
      </w:r>
      <w:r>
        <w:t xml:space="preserve">ageing </w:t>
      </w:r>
      <w:r w:rsidR="006F3FA7">
        <w:t>asset should be considered asset replacement.</w:t>
      </w:r>
    </w:p>
    <w:p w14:paraId="00A962BC" w14:textId="77777777" w:rsidR="00317389" w:rsidRDefault="00317389" w:rsidP="00D14085"/>
    <w:p w14:paraId="52139A43" w14:textId="7C03868F" w:rsidR="00443F09" w:rsidRDefault="002972F1" w:rsidP="00D14085">
      <w:r>
        <w:t xml:space="preserve">The population equivalent should be calculated </w:t>
      </w:r>
      <w:r w:rsidR="004208F2">
        <w:t>assuming</w:t>
      </w:r>
      <w:r>
        <w:t xml:space="preserve"> that the resident connected population contributes</w:t>
      </w:r>
      <w:r w:rsidR="00404064" w:rsidRPr="003B0101">
        <w:t xml:space="preserve"> 60g BOD</w:t>
      </w:r>
      <w:r w:rsidR="00404064" w:rsidRPr="003B0101">
        <w:rPr>
          <w:vertAlign w:val="subscript"/>
        </w:rPr>
        <w:t>5</w:t>
      </w:r>
      <w:r w:rsidR="00404064" w:rsidRPr="003B0101">
        <w:t>/head/day</w:t>
      </w:r>
      <w:r w:rsidR="003252B4">
        <w:t>.</w:t>
      </w:r>
    </w:p>
    <w:p w14:paraId="26FD17D4" w14:textId="77777777" w:rsidR="006C5072" w:rsidRDefault="006C5072" w:rsidP="00D14085"/>
    <w:p w14:paraId="63611A89" w14:textId="30F4F4AE" w:rsidR="006C5072" w:rsidRDefault="006C5072" w:rsidP="00D14085">
      <w:r>
        <w:t xml:space="preserve">Outputs </w:t>
      </w:r>
      <w:r w:rsidR="00252D34">
        <w:t>that Scottish Water sh</w:t>
      </w:r>
      <w:r w:rsidR="00525D50">
        <w:t>all</w:t>
      </w:r>
      <w:r w:rsidR="00252D34">
        <w:t xml:space="preserve"> not substitute </w:t>
      </w:r>
      <w:r w:rsidR="00525D50">
        <w:t>are</w:t>
      </w:r>
      <w:r w:rsidR="00252D34">
        <w:t xml:space="preserve"> marked with an asterisk in table 2 and in the definitions below. These outcomes are required for benchmarking </w:t>
      </w:r>
      <w:r w:rsidR="001410AD">
        <w:t>Scottish Water’s performance</w:t>
      </w:r>
      <w:r w:rsidR="00252D34">
        <w:t>.</w:t>
      </w:r>
    </w:p>
    <w:p w14:paraId="179DC353" w14:textId="77777777" w:rsidR="00443F09" w:rsidRDefault="00443F09" w:rsidP="00D14085"/>
    <w:p w14:paraId="72C58D28" w14:textId="1FD709C0" w:rsidR="00E6436F" w:rsidRDefault="00E6436F" w:rsidP="00D14085">
      <w:r>
        <w:br w:type="page"/>
      </w:r>
    </w:p>
    <w:p w14:paraId="6F2EE918" w14:textId="77777777" w:rsidR="00620AE0" w:rsidRDefault="00620AE0" w:rsidP="008459A2">
      <w:pPr>
        <w:pStyle w:val="heading20"/>
        <w:sectPr w:rsidR="00620AE0" w:rsidSect="006312CE">
          <w:pgSz w:w="11906" w:h="16838" w:code="9"/>
          <w:pgMar w:top="1134" w:right="1134" w:bottom="1134" w:left="1134" w:header="567" w:footer="567" w:gutter="0"/>
          <w:cols w:space="708"/>
          <w:docGrid w:linePitch="360"/>
        </w:sectPr>
      </w:pPr>
    </w:p>
    <w:p w14:paraId="72748B3B" w14:textId="7A4C0455" w:rsidR="008459A2" w:rsidRDefault="008459A2" w:rsidP="00620AE0">
      <w:pPr>
        <w:pStyle w:val="heading20"/>
        <w:ind w:left="788" w:hanging="431"/>
        <w:outlineLvl w:val="1"/>
      </w:pPr>
      <w:bookmarkStart w:id="17" w:name="_Toc184736037"/>
      <w:r>
        <w:lastRenderedPageBreak/>
        <w:t>Definitions</w:t>
      </w:r>
      <w:bookmarkEnd w:id="17"/>
    </w:p>
    <w:p w14:paraId="66C05269" w14:textId="77777777" w:rsidR="008459A2" w:rsidRDefault="008459A2" w:rsidP="00E6436F"/>
    <w:p w14:paraId="210B3B6B" w14:textId="0CB79970" w:rsidR="00CD205B" w:rsidRDefault="00CD205B" w:rsidP="00E6436F">
      <w:r>
        <w:t xml:space="preserve">For the purpose of these definitions, a ‘scheme’ covers both programmes of work and projects. </w:t>
      </w:r>
    </w:p>
    <w:p w14:paraId="74C5387D" w14:textId="77777777" w:rsidR="00CD205B" w:rsidRDefault="00CD205B" w:rsidP="00E6436F"/>
    <w:p w14:paraId="5E294E42" w14:textId="3410ED49" w:rsidR="008459A2" w:rsidRPr="00D113D4" w:rsidRDefault="00E6436F" w:rsidP="003121E8">
      <w:pPr>
        <w:pStyle w:val="SMALLHEADINGALLCAPS"/>
      </w:pPr>
      <w:r w:rsidRPr="00E6436F">
        <w:t xml:space="preserve"> </w:t>
      </w:r>
      <w:r w:rsidR="00D113D4" w:rsidRPr="00D113D4">
        <w:t xml:space="preserve">Enhancement and Growth </w:t>
      </w:r>
      <w:r w:rsidR="00D113D4">
        <w:t xml:space="preserve">Outputs and Investment </w:t>
      </w:r>
      <w:r w:rsidR="00D113D4" w:rsidRPr="00D113D4">
        <w:t>Data</w:t>
      </w:r>
    </w:p>
    <w:tbl>
      <w:tblPr>
        <w:tblStyle w:val="Blueline"/>
        <w:tblW w:w="0" w:type="auto"/>
        <w:tblLook w:val="04A0" w:firstRow="1" w:lastRow="0" w:firstColumn="1" w:lastColumn="0" w:noHBand="0" w:noVBand="1"/>
      </w:tblPr>
      <w:tblGrid>
        <w:gridCol w:w="1446"/>
        <w:gridCol w:w="11440"/>
        <w:gridCol w:w="1684"/>
      </w:tblGrid>
      <w:tr w:rsidR="00784072" w:rsidRPr="0036004E" w14:paraId="0D44BA91"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EEC0A11" w14:textId="77777777" w:rsidR="00CA36E1" w:rsidRPr="009974A4" w:rsidRDefault="00CA36E1" w:rsidP="004A282D">
            <w:pPr>
              <w:pStyle w:val="BodyText"/>
              <w:rPr>
                <w:rFonts w:ascii="Calibri" w:hAnsi="Calibri" w:cs="Calibri"/>
              </w:rPr>
            </w:pPr>
            <w:r w:rsidRPr="009974A4">
              <w:rPr>
                <w:rFonts w:ascii="Calibri" w:hAnsi="Calibri" w:cs="Calibri"/>
              </w:rPr>
              <w:t>Column Title</w:t>
            </w:r>
          </w:p>
        </w:tc>
        <w:tc>
          <w:tcPr>
            <w:tcW w:w="0" w:type="auto"/>
            <w:vAlign w:val="center"/>
          </w:tcPr>
          <w:p w14:paraId="304B07A4" w14:textId="77777777" w:rsidR="00CA36E1" w:rsidRPr="009974A4" w:rsidRDefault="00CA36E1" w:rsidP="004A282D">
            <w:pPr>
              <w:pStyle w:val="BodyText"/>
              <w:rPr>
                <w:rFonts w:ascii="Calibri" w:hAnsi="Calibri" w:cs="Calibri"/>
              </w:rPr>
            </w:pPr>
            <w:r w:rsidRPr="009974A4">
              <w:rPr>
                <w:rFonts w:ascii="Calibri" w:hAnsi="Calibri" w:cs="Calibri"/>
              </w:rPr>
              <w:t>Description</w:t>
            </w:r>
          </w:p>
        </w:tc>
        <w:tc>
          <w:tcPr>
            <w:tcW w:w="0" w:type="auto"/>
            <w:vAlign w:val="center"/>
          </w:tcPr>
          <w:p w14:paraId="4970F3C5" w14:textId="77777777" w:rsidR="00CA36E1" w:rsidRPr="009974A4" w:rsidRDefault="00CA36E1" w:rsidP="004A282D">
            <w:pPr>
              <w:pStyle w:val="BodyText"/>
              <w:rPr>
                <w:rFonts w:ascii="Calibri" w:hAnsi="Calibri" w:cs="Calibri"/>
              </w:rPr>
            </w:pPr>
            <w:r w:rsidRPr="009974A4">
              <w:rPr>
                <w:rFonts w:ascii="Calibri" w:hAnsi="Calibri" w:cs="Calibri"/>
              </w:rPr>
              <w:t>Units</w:t>
            </w:r>
          </w:p>
        </w:tc>
      </w:tr>
      <w:tr w:rsidR="00784072" w:rsidRPr="0036004E" w14:paraId="264590FE" w14:textId="77777777" w:rsidTr="00A00CC6">
        <w:tc>
          <w:tcPr>
            <w:tcW w:w="0" w:type="auto"/>
          </w:tcPr>
          <w:p w14:paraId="7F2B411D" w14:textId="7F2CF263" w:rsidR="00CA36E1" w:rsidRPr="009974A4" w:rsidRDefault="00160212">
            <w:pPr>
              <w:pStyle w:val="BodyText"/>
              <w:rPr>
                <w:rFonts w:ascii="Calibri" w:hAnsi="Calibri" w:cs="Calibri"/>
              </w:rPr>
            </w:pPr>
            <w:r w:rsidRPr="009974A4">
              <w:rPr>
                <w:rFonts w:ascii="Calibri" w:hAnsi="Calibri" w:cs="Calibri"/>
              </w:rPr>
              <w:t xml:space="preserve">Output </w:t>
            </w:r>
            <w:r w:rsidR="000B3E49" w:rsidRPr="009974A4">
              <w:rPr>
                <w:rFonts w:ascii="Calibri" w:hAnsi="Calibri" w:cs="Calibri"/>
              </w:rPr>
              <w:t>area</w:t>
            </w:r>
          </w:p>
        </w:tc>
        <w:tc>
          <w:tcPr>
            <w:tcW w:w="0" w:type="auto"/>
          </w:tcPr>
          <w:p w14:paraId="396E022D" w14:textId="08B9396F" w:rsidR="00CA36E1" w:rsidRPr="009974A4" w:rsidRDefault="006923A7" w:rsidP="00D07A1C">
            <w:pPr>
              <w:pStyle w:val="BodyText"/>
              <w:spacing w:before="0" w:after="60"/>
              <w:rPr>
                <w:rFonts w:ascii="Calibri" w:hAnsi="Calibri" w:cs="Calibri"/>
              </w:rPr>
            </w:pPr>
            <w:r w:rsidRPr="009974A4">
              <w:rPr>
                <w:rFonts w:ascii="Calibri" w:hAnsi="Calibri" w:cs="Calibri"/>
              </w:rPr>
              <w:t>Pre-populated</w:t>
            </w:r>
            <w:r w:rsidR="00CE7FE4" w:rsidRPr="009974A4">
              <w:rPr>
                <w:rFonts w:ascii="Calibri" w:hAnsi="Calibri" w:cs="Calibri"/>
              </w:rPr>
              <w:t xml:space="preserve">. </w:t>
            </w:r>
            <w:r w:rsidRPr="009974A4">
              <w:rPr>
                <w:rFonts w:ascii="Calibri" w:hAnsi="Calibri" w:cs="Calibri"/>
              </w:rPr>
              <w:t xml:space="preserve">Output </w:t>
            </w:r>
            <w:r w:rsidR="000B3E49" w:rsidRPr="009974A4">
              <w:rPr>
                <w:rFonts w:ascii="Calibri" w:hAnsi="Calibri" w:cs="Calibri"/>
              </w:rPr>
              <w:t>area</w:t>
            </w:r>
            <w:r w:rsidRPr="009974A4">
              <w:rPr>
                <w:rFonts w:ascii="Calibri" w:hAnsi="Calibri" w:cs="Calibri"/>
              </w:rPr>
              <w:t xml:space="preserve"> associated with the output.</w:t>
            </w:r>
          </w:p>
        </w:tc>
        <w:tc>
          <w:tcPr>
            <w:tcW w:w="0" w:type="auto"/>
          </w:tcPr>
          <w:p w14:paraId="4C564FF0" w14:textId="77777777" w:rsidR="00CA36E1" w:rsidRPr="009974A4" w:rsidRDefault="00CA36E1">
            <w:pPr>
              <w:pStyle w:val="BodyText"/>
              <w:rPr>
                <w:rFonts w:ascii="Calibri" w:hAnsi="Calibri" w:cs="Calibri"/>
              </w:rPr>
            </w:pPr>
            <w:r w:rsidRPr="009974A4">
              <w:rPr>
                <w:rFonts w:ascii="Calibri" w:hAnsi="Calibri" w:cs="Calibri"/>
              </w:rPr>
              <w:t>N/A</w:t>
            </w:r>
          </w:p>
        </w:tc>
      </w:tr>
      <w:tr w:rsidR="00784072" w:rsidRPr="0036004E" w14:paraId="49898A4D" w14:textId="77777777" w:rsidTr="00A00CC6">
        <w:tc>
          <w:tcPr>
            <w:tcW w:w="0" w:type="auto"/>
          </w:tcPr>
          <w:p w14:paraId="5EB0F074" w14:textId="596D400F" w:rsidR="00CA36E1" w:rsidRPr="009974A4" w:rsidRDefault="00160212">
            <w:pPr>
              <w:pStyle w:val="BodyText"/>
              <w:rPr>
                <w:rFonts w:ascii="Calibri" w:hAnsi="Calibri" w:cs="Calibri"/>
              </w:rPr>
            </w:pPr>
            <w:r w:rsidRPr="009974A4">
              <w:rPr>
                <w:rFonts w:ascii="Calibri" w:hAnsi="Calibri" w:cs="Calibri"/>
              </w:rPr>
              <w:t>Output</w:t>
            </w:r>
            <w:r w:rsidR="000B3E49" w:rsidRPr="009974A4">
              <w:rPr>
                <w:rFonts w:ascii="Calibri" w:hAnsi="Calibri" w:cs="Calibri"/>
              </w:rPr>
              <w:t xml:space="preserve"> category</w:t>
            </w:r>
          </w:p>
        </w:tc>
        <w:tc>
          <w:tcPr>
            <w:tcW w:w="0" w:type="auto"/>
          </w:tcPr>
          <w:p w14:paraId="45057AD1" w14:textId="59DD8821" w:rsidR="00CA36E1" w:rsidRPr="009974A4" w:rsidRDefault="000309F7" w:rsidP="00D07A1C">
            <w:pPr>
              <w:pStyle w:val="BodyText"/>
              <w:spacing w:before="0" w:after="60"/>
              <w:rPr>
                <w:rFonts w:ascii="Calibri" w:hAnsi="Calibri" w:cs="Calibri"/>
              </w:rPr>
            </w:pPr>
            <w:r w:rsidRPr="009974A4">
              <w:rPr>
                <w:rFonts w:ascii="Calibri" w:hAnsi="Calibri" w:cs="Calibri"/>
              </w:rPr>
              <w:t xml:space="preserve">Pre-populated. </w:t>
            </w:r>
            <w:r w:rsidR="00942D73" w:rsidRPr="009974A4">
              <w:rPr>
                <w:rFonts w:ascii="Calibri" w:hAnsi="Calibri" w:cs="Calibri"/>
              </w:rPr>
              <w:t>Description</w:t>
            </w:r>
            <w:r w:rsidR="00981EA7" w:rsidRPr="009974A4">
              <w:rPr>
                <w:rFonts w:ascii="Calibri" w:hAnsi="Calibri" w:cs="Calibri"/>
              </w:rPr>
              <w:t xml:space="preserve"> of the </w:t>
            </w:r>
            <w:r w:rsidR="006103FF" w:rsidRPr="009974A4">
              <w:rPr>
                <w:rFonts w:ascii="Calibri" w:hAnsi="Calibri" w:cs="Calibri"/>
              </w:rPr>
              <w:t>output category</w:t>
            </w:r>
            <w:r w:rsidR="00942D73" w:rsidRPr="009974A4">
              <w:rPr>
                <w:rFonts w:ascii="Calibri" w:hAnsi="Calibri" w:cs="Calibri"/>
              </w:rPr>
              <w:t>.</w:t>
            </w:r>
          </w:p>
        </w:tc>
        <w:tc>
          <w:tcPr>
            <w:tcW w:w="0" w:type="auto"/>
          </w:tcPr>
          <w:p w14:paraId="7E45743F" w14:textId="193954E1" w:rsidR="00CA36E1" w:rsidRPr="009974A4" w:rsidRDefault="004A6910">
            <w:pPr>
              <w:pStyle w:val="BodyText"/>
              <w:rPr>
                <w:rFonts w:ascii="Calibri" w:hAnsi="Calibri" w:cs="Calibri"/>
              </w:rPr>
            </w:pPr>
            <w:r w:rsidRPr="009974A4">
              <w:rPr>
                <w:rFonts w:ascii="Calibri" w:hAnsi="Calibri" w:cs="Calibri"/>
              </w:rPr>
              <w:t>N/A</w:t>
            </w:r>
          </w:p>
        </w:tc>
      </w:tr>
      <w:tr w:rsidR="00784072" w:rsidRPr="0036004E" w14:paraId="504BB386" w14:textId="77777777" w:rsidTr="00A00CC6">
        <w:tc>
          <w:tcPr>
            <w:tcW w:w="0" w:type="auto"/>
          </w:tcPr>
          <w:p w14:paraId="0A4DC53C" w14:textId="0588DA4D" w:rsidR="00DB27E1" w:rsidRPr="009974A4" w:rsidRDefault="00F3242A">
            <w:pPr>
              <w:pStyle w:val="BodyText"/>
              <w:rPr>
                <w:rFonts w:ascii="Calibri" w:hAnsi="Calibri" w:cs="Calibri"/>
              </w:rPr>
            </w:pPr>
            <w:r w:rsidRPr="009974A4">
              <w:rPr>
                <w:rFonts w:ascii="Calibri" w:hAnsi="Calibri" w:cs="Calibri"/>
              </w:rPr>
              <w:t>U</w:t>
            </w:r>
            <w:r w:rsidR="00FB3B16" w:rsidRPr="009974A4">
              <w:rPr>
                <w:rFonts w:ascii="Calibri" w:hAnsi="Calibri" w:cs="Calibri"/>
              </w:rPr>
              <w:t>nit</w:t>
            </w:r>
          </w:p>
        </w:tc>
        <w:tc>
          <w:tcPr>
            <w:tcW w:w="0" w:type="auto"/>
          </w:tcPr>
          <w:p w14:paraId="649447F7" w14:textId="6371F43B" w:rsidR="00DB27E1" w:rsidRPr="009974A4" w:rsidRDefault="000309F7" w:rsidP="00D07A1C">
            <w:pPr>
              <w:pStyle w:val="BodyText"/>
              <w:spacing w:before="0" w:after="60"/>
              <w:rPr>
                <w:rFonts w:ascii="Calibri" w:hAnsi="Calibri" w:cs="Calibri"/>
              </w:rPr>
            </w:pPr>
            <w:r w:rsidRPr="009974A4">
              <w:rPr>
                <w:rFonts w:ascii="Calibri" w:hAnsi="Calibri" w:cs="Calibri"/>
              </w:rPr>
              <w:t xml:space="preserve">Pre-populated. </w:t>
            </w:r>
            <w:r w:rsidR="00FB5B1C" w:rsidRPr="009974A4">
              <w:rPr>
                <w:rFonts w:ascii="Calibri" w:hAnsi="Calibri" w:cs="Calibri"/>
              </w:rPr>
              <w:t xml:space="preserve">The standard of measure of </w:t>
            </w:r>
            <w:r w:rsidR="000B295B" w:rsidRPr="009974A4">
              <w:rPr>
                <w:rFonts w:ascii="Calibri" w:hAnsi="Calibri" w:cs="Calibri"/>
              </w:rPr>
              <w:t>output</w:t>
            </w:r>
            <w:r w:rsidR="006F6B78" w:rsidRPr="009974A4">
              <w:rPr>
                <w:rFonts w:ascii="Calibri" w:hAnsi="Calibri" w:cs="Calibri"/>
              </w:rPr>
              <w:t>.</w:t>
            </w:r>
          </w:p>
        </w:tc>
        <w:tc>
          <w:tcPr>
            <w:tcW w:w="0" w:type="auto"/>
          </w:tcPr>
          <w:p w14:paraId="2799BF46" w14:textId="17508881" w:rsidR="00DB27E1" w:rsidRPr="009974A4" w:rsidRDefault="009006DB">
            <w:pPr>
              <w:pStyle w:val="BodyText"/>
              <w:rPr>
                <w:rFonts w:ascii="Calibri" w:hAnsi="Calibri" w:cs="Calibri"/>
              </w:rPr>
            </w:pPr>
            <w:r w:rsidRPr="009974A4">
              <w:rPr>
                <w:rFonts w:ascii="Calibri" w:hAnsi="Calibri" w:cs="Calibri"/>
              </w:rPr>
              <w:t>N/A</w:t>
            </w:r>
          </w:p>
        </w:tc>
      </w:tr>
      <w:tr w:rsidR="00784072" w:rsidRPr="0036004E" w14:paraId="1A7EBEC4" w14:textId="77777777" w:rsidTr="00A00CC6">
        <w:tc>
          <w:tcPr>
            <w:tcW w:w="0" w:type="auto"/>
          </w:tcPr>
          <w:p w14:paraId="030DCCD2" w14:textId="079156CA" w:rsidR="00DB27E1" w:rsidRPr="009974A4" w:rsidRDefault="00FB3B16">
            <w:pPr>
              <w:pStyle w:val="BodyText"/>
              <w:rPr>
                <w:rFonts w:ascii="Calibri" w:hAnsi="Calibri" w:cs="Calibri"/>
              </w:rPr>
            </w:pPr>
            <w:r w:rsidRPr="009974A4">
              <w:rPr>
                <w:rFonts w:ascii="Calibri" w:hAnsi="Calibri" w:cs="Calibri"/>
              </w:rPr>
              <w:t>Related outcomes</w:t>
            </w:r>
          </w:p>
        </w:tc>
        <w:tc>
          <w:tcPr>
            <w:tcW w:w="0" w:type="auto"/>
          </w:tcPr>
          <w:p w14:paraId="43773E2D" w14:textId="1831EC94" w:rsidR="00DB27E1" w:rsidRPr="009974A4" w:rsidRDefault="00DF117F" w:rsidP="00D07A1C">
            <w:pPr>
              <w:pStyle w:val="BodyText"/>
              <w:spacing w:before="0" w:after="60"/>
              <w:rPr>
                <w:rFonts w:ascii="Calibri" w:hAnsi="Calibri" w:cs="Calibri"/>
              </w:rPr>
            </w:pPr>
            <w:r w:rsidRPr="009974A4">
              <w:rPr>
                <w:rFonts w:ascii="Calibri" w:hAnsi="Calibri" w:cs="Calibri"/>
              </w:rPr>
              <w:t>Main o</w:t>
            </w:r>
            <w:r w:rsidR="00960C02" w:rsidRPr="009974A4">
              <w:rPr>
                <w:rFonts w:ascii="Calibri" w:hAnsi="Calibri" w:cs="Calibri"/>
              </w:rPr>
              <w:t xml:space="preserve">utcome </w:t>
            </w:r>
            <w:r w:rsidR="007B10A3" w:rsidRPr="009974A4">
              <w:rPr>
                <w:rFonts w:ascii="Calibri" w:hAnsi="Calibri" w:cs="Calibri"/>
              </w:rPr>
              <w:t xml:space="preserve">in table 1 that </w:t>
            </w:r>
            <w:r w:rsidR="00960C02" w:rsidRPr="009974A4">
              <w:rPr>
                <w:rFonts w:ascii="Calibri" w:hAnsi="Calibri" w:cs="Calibri"/>
              </w:rPr>
              <w:t xml:space="preserve">the </w:t>
            </w:r>
            <w:r w:rsidR="00FE3CEB" w:rsidRPr="009974A4">
              <w:rPr>
                <w:rFonts w:ascii="Calibri" w:hAnsi="Calibri" w:cs="Calibri"/>
              </w:rPr>
              <w:t xml:space="preserve">output has been mapped to. </w:t>
            </w:r>
            <w:r w:rsidR="003810A7" w:rsidRPr="009974A4">
              <w:rPr>
                <w:rFonts w:ascii="Calibri" w:hAnsi="Calibri" w:cs="Calibri"/>
              </w:rPr>
              <w:t xml:space="preserve">Where </w:t>
            </w:r>
            <w:r w:rsidR="00FE3CEB" w:rsidRPr="009974A4">
              <w:rPr>
                <w:rFonts w:ascii="Calibri" w:hAnsi="Calibri" w:cs="Calibri"/>
              </w:rPr>
              <w:t xml:space="preserve">an output </w:t>
            </w:r>
            <w:r w:rsidR="003810A7" w:rsidRPr="009974A4">
              <w:rPr>
                <w:rFonts w:ascii="Calibri" w:hAnsi="Calibri" w:cs="Calibri"/>
              </w:rPr>
              <w:t xml:space="preserve">may </w:t>
            </w:r>
            <w:r w:rsidR="00FE3CEB" w:rsidRPr="009974A4">
              <w:rPr>
                <w:rFonts w:ascii="Calibri" w:hAnsi="Calibri" w:cs="Calibri"/>
              </w:rPr>
              <w:t xml:space="preserve">contribute towards more than one </w:t>
            </w:r>
            <w:r w:rsidR="003810A7" w:rsidRPr="009974A4">
              <w:rPr>
                <w:rFonts w:ascii="Calibri" w:hAnsi="Calibri" w:cs="Calibri"/>
              </w:rPr>
              <w:t>outcome</w:t>
            </w:r>
            <w:r w:rsidR="00FE3CEB" w:rsidRPr="009974A4">
              <w:rPr>
                <w:rFonts w:ascii="Calibri" w:hAnsi="Calibri" w:cs="Calibri"/>
              </w:rPr>
              <w:t xml:space="preserve">, outputs </w:t>
            </w:r>
            <w:r w:rsidR="001B617C" w:rsidRPr="009974A4">
              <w:rPr>
                <w:rFonts w:ascii="Calibri" w:hAnsi="Calibri" w:cs="Calibri"/>
              </w:rPr>
              <w:t>should be</w:t>
            </w:r>
            <w:r w:rsidR="00FE3CEB" w:rsidRPr="009974A4">
              <w:rPr>
                <w:rFonts w:ascii="Calibri" w:hAnsi="Calibri" w:cs="Calibri"/>
              </w:rPr>
              <w:t xml:space="preserve"> mapped to the main outcome they contribute to</w:t>
            </w:r>
            <w:r w:rsidR="000309F7" w:rsidRPr="009974A4">
              <w:rPr>
                <w:rFonts w:ascii="Calibri" w:hAnsi="Calibri" w:cs="Calibri"/>
              </w:rPr>
              <w:t>.</w:t>
            </w:r>
          </w:p>
        </w:tc>
        <w:tc>
          <w:tcPr>
            <w:tcW w:w="0" w:type="auto"/>
          </w:tcPr>
          <w:p w14:paraId="50990C6E" w14:textId="74345826" w:rsidR="00DB27E1" w:rsidRPr="009974A4" w:rsidRDefault="00CC36C3">
            <w:pPr>
              <w:pStyle w:val="BodyText"/>
              <w:rPr>
                <w:rFonts w:ascii="Calibri" w:hAnsi="Calibri" w:cs="Calibri"/>
              </w:rPr>
            </w:pPr>
            <w:r w:rsidRPr="009974A4">
              <w:rPr>
                <w:rFonts w:ascii="Calibri" w:hAnsi="Calibri" w:cs="Calibri"/>
              </w:rPr>
              <w:t>N/A</w:t>
            </w:r>
          </w:p>
        </w:tc>
      </w:tr>
      <w:tr w:rsidR="00784072" w:rsidRPr="0036004E" w14:paraId="1BE97822" w14:textId="77777777" w:rsidTr="00A00CC6">
        <w:tc>
          <w:tcPr>
            <w:tcW w:w="0" w:type="auto"/>
          </w:tcPr>
          <w:p w14:paraId="18F289F7" w14:textId="00C37B04" w:rsidR="00DB27E1" w:rsidRPr="009974A4" w:rsidRDefault="001336AA">
            <w:pPr>
              <w:pStyle w:val="BodyText"/>
              <w:rPr>
                <w:rFonts w:ascii="Calibri" w:hAnsi="Calibri" w:cs="Calibri"/>
              </w:rPr>
            </w:pPr>
            <w:r w:rsidRPr="009974A4">
              <w:rPr>
                <w:rFonts w:ascii="Calibri" w:hAnsi="Calibri" w:cs="Calibri"/>
              </w:rPr>
              <w:t>Service</w:t>
            </w:r>
          </w:p>
        </w:tc>
        <w:tc>
          <w:tcPr>
            <w:tcW w:w="0" w:type="auto"/>
          </w:tcPr>
          <w:p w14:paraId="2BA37FE1" w14:textId="652EF402" w:rsidR="00DB27E1" w:rsidRPr="009974A4" w:rsidRDefault="005E10AC" w:rsidP="00D07A1C">
            <w:pPr>
              <w:pStyle w:val="BodyText"/>
              <w:spacing w:before="0" w:after="60"/>
              <w:rPr>
                <w:rFonts w:ascii="Calibri" w:hAnsi="Calibri" w:cs="Calibri"/>
              </w:rPr>
            </w:pPr>
            <w:r w:rsidRPr="009974A4">
              <w:rPr>
                <w:rFonts w:ascii="Calibri" w:hAnsi="Calibri" w:cs="Calibri"/>
              </w:rPr>
              <w:t>The broad service the output is associated with. Entries should be limited to Water</w:t>
            </w:r>
            <w:r w:rsidR="00ED2458" w:rsidRPr="009974A4">
              <w:rPr>
                <w:rFonts w:ascii="Calibri" w:hAnsi="Calibri" w:cs="Calibri"/>
              </w:rPr>
              <w:t>; Foul Sewage &amp; Surface Water Shared</w:t>
            </w:r>
            <w:r w:rsidR="009A4BBD" w:rsidRPr="009974A4">
              <w:rPr>
                <w:rFonts w:ascii="Calibri" w:hAnsi="Calibri" w:cs="Calibri"/>
              </w:rPr>
              <w:t>;</w:t>
            </w:r>
            <w:r w:rsidRPr="009974A4">
              <w:rPr>
                <w:rFonts w:ascii="Calibri" w:hAnsi="Calibri" w:cs="Calibri"/>
              </w:rPr>
              <w:t xml:space="preserve"> </w:t>
            </w:r>
            <w:r w:rsidR="009A4BBD" w:rsidRPr="009974A4">
              <w:rPr>
                <w:rFonts w:ascii="Calibri" w:hAnsi="Calibri" w:cs="Calibri"/>
              </w:rPr>
              <w:t>Foul Sewage Only; Surface Water Only</w:t>
            </w:r>
            <w:r w:rsidRPr="009974A4">
              <w:rPr>
                <w:rFonts w:ascii="Calibri" w:hAnsi="Calibri" w:cs="Calibri"/>
              </w:rPr>
              <w:t xml:space="preserve">; or </w:t>
            </w:r>
            <w:r w:rsidR="009A4BBD" w:rsidRPr="009974A4">
              <w:rPr>
                <w:rFonts w:ascii="Calibri" w:hAnsi="Calibri" w:cs="Calibri"/>
              </w:rPr>
              <w:t>Water &amp; Wastewater Shared</w:t>
            </w:r>
            <w:r w:rsidRPr="009974A4">
              <w:rPr>
                <w:rFonts w:ascii="Calibri" w:hAnsi="Calibri" w:cs="Calibri"/>
              </w:rPr>
              <w:t>.</w:t>
            </w:r>
          </w:p>
        </w:tc>
        <w:tc>
          <w:tcPr>
            <w:tcW w:w="0" w:type="auto"/>
          </w:tcPr>
          <w:p w14:paraId="3A6DA897" w14:textId="3C9398B7" w:rsidR="00DB27E1" w:rsidRPr="009974A4" w:rsidRDefault="004A6910">
            <w:pPr>
              <w:pStyle w:val="BodyText"/>
              <w:rPr>
                <w:rFonts w:ascii="Calibri" w:hAnsi="Calibri" w:cs="Calibri"/>
              </w:rPr>
            </w:pPr>
            <w:r w:rsidRPr="009974A4">
              <w:rPr>
                <w:rFonts w:ascii="Calibri" w:hAnsi="Calibri" w:cs="Calibri"/>
              </w:rPr>
              <w:t>N/A</w:t>
            </w:r>
          </w:p>
        </w:tc>
      </w:tr>
      <w:tr w:rsidR="00784072" w:rsidRPr="0036004E" w14:paraId="1FE99DA7" w14:textId="77777777" w:rsidTr="00A00CC6">
        <w:tc>
          <w:tcPr>
            <w:tcW w:w="0" w:type="auto"/>
          </w:tcPr>
          <w:p w14:paraId="21FB1E22" w14:textId="56AF56E8" w:rsidR="001336AA" w:rsidRPr="009974A4" w:rsidRDefault="001336AA">
            <w:pPr>
              <w:pStyle w:val="BodyText"/>
              <w:rPr>
                <w:rFonts w:ascii="Calibri" w:hAnsi="Calibri" w:cs="Calibri"/>
              </w:rPr>
            </w:pPr>
            <w:r w:rsidRPr="009974A4">
              <w:rPr>
                <w:rFonts w:ascii="Calibri" w:hAnsi="Calibri" w:cs="Calibri"/>
              </w:rPr>
              <w:t>Forecast output</w:t>
            </w:r>
          </w:p>
        </w:tc>
        <w:tc>
          <w:tcPr>
            <w:tcW w:w="0" w:type="auto"/>
          </w:tcPr>
          <w:p w14:paraId="1EA16C7F" w14:textId="121238BB" w:rsidR="001336AA" w:rsidRPr="009974A4" w:rsidRDefault="004D2F07" w:rsidP="00D07A1C">
            <w:pPr>
              <w:pStyle w:val="BodyText"/>
              <w:spacing w:before="0" w:after="60"/>
              <w:rPr>
                <w:rFonts w:ascii="Calibri" w:hAnsi="Calibri" w:cs="Calibri"/>
              </w:rPr>
            </w:pPr>
            <w:r w:rsidRPr="009974A4">
              <w:rPr>
                <w:rFonts w:ascii="Calibri" w:hAnsi="Calibri" w:cs="Calibri"/>
              </w:rPr>
              <w:t xml:space="preserve">The tangible deliverables </w:t>
            </w:r>
            <w:r w:rsidR="00B52ED5" w:rsidRPr="009974A4">
              <w:rPr>
                <w:rFonts w:ascii="Calibri" w:hAnsi="Calibri" w:cs="Calibri"/>
              </w:rPr>
              <w:t>in</w:t>
            </w:r>
            <w:r w:rsidR="000D058C" w:rsidRPr="009974A4">
              <w:rPr>
                <w:rFonts w:ascii="Calibri" w:hAnsi="Calibri" w:cs="Calibri"/>
              </w:rPr>
              <w:t xml:space="preserve"> each year of the </w:t>
            </w:r>
            <w:r w:rsidR="00784072" w:rsidRPr="009974A4">
              <w:rPr>
                <w:rFonts w:ascii="Calibri" w:hAnsi="Calibri" w:cs="Calibri"/>
              </w:rPr>
              <w:t xml:space="preserve">regulatory </w:t>
            </w:r>
            <w:r w:rsidR="000D058C" w:rsidRPr="009974A4">
              <w:rPr>
                <w:rFonts w:ascii="Calibri" w:hAnsi="Calibri" w:cs="Calibri"/>
              </w:rPr>
              <w:t>control period for SRC27</w:t>
            </w:r>
            <w:r w:rsidR="002D4527">
              <w:rPr>
                <w:rFonts w:ascii="Calibri" w:hAnsi="Calibri" w:cs="Calibri"/>
              </w:rPr>
              <w:t xml:space="preserve">, </w:t>
            </w:r>
            <w:r w:rsidR="000D058C" w:rsidRPr="009974A4">
              <w:rPr>
                <w:rFonts w:ascii="Calibri" w:hAnsi="Calibri" w:cs="Calibri"/>
              </w:rPr>
              <w:t xml:space="preserve">and then </w:t>
            </w:r>
            <w:r w:rsidR="00906678" w:rsidRPr="009974A4">
              <w:rPr>
                <w:rFonts w:ascii="Calibri" w:hAnsi="Calibri" w:cs="Calibri"/>
              </w:rPr>
              <w:t xml:space="preserve">aggregated </w:t>
            </w:r>
            <w:r w:rsidR="00B52ED5" w:rsidRPr="009974A4">
              <w:rPr>
                <w:rFonts w:ascii="Calibri" w:hAnsi="Calibri" w:cs="Calibri"/>
              </w:rPr>
              <w:t xml:space="preserve">for each subsequent regulatory </w:t>
            </w:r>
            <w:r w:rsidR="00906678" w:rsidRPr="009974A4">
              <w:rPr>
                <w:rFonts w:ascii="Calibri" w:hAnsi="Calibri" w:cs="Calibri"/>
              </w:rPr>
              <w:t xml:space="preserve">control period </w:t>
            </w:r>
            <w:r w:rsidR="00F355DA" w:rsidRPr="009974A4">
              <w:rPr>
                <w:rFonts w:ascii="Calibri" w:hAnsi="Calibri" w:cs="Calibri"/>
              </w:rPr>
              <w:t>post SRC27</w:t>
            </w:r>
            <w:r w:rsidR="007236D4">
              <w:rPr>
                <w:rFonts w:ascii="Calibri" w:hAnsi="Calibri" w:cs="Calibri"/>
              </w:rPr>
              <w:t>.</w:t>
            </w:r>
            <w:r w:rsidR="00663D63">
              <w:rPr>
                <w:rFonts w:ascii="Calibri" w:hAnsi="Calibri" w:cs="Calibri"/>
              </w:rPr>
              <w:t xml:space="preserve"> </w:t>
            </w:r>
            <w:r w:rsidR="00C722CB">
              <w:rPr>
                <w:rFonts w:ascii="Calibri" w:hAnsi="Calibri" w:cs="Calibri"/>
              </w:rPr>
              <w:t>Scottish Water shall also provide the</w:t>
            </w:r>
            <w:r w:rsidR="00852B86">
              <w:rPr>
                <w:rFonts w:ascii="Calibri" w:hAnsi="Calibri" w:cs="Calibri"/>
              </w:rPr>
              <w:t xml:space="preserve"> aggregate </w:t>
            </w:r>
            <w:r w:rsidR="007236D4">
              <w:rPr>
                <w:rFonts w:ascii="Calibri" w:hAnsi="Calibri" w:cs="Calibri"/>
              </w:rPr>
              <w:t>outputs</w:t>
            </w:r>
            <w:r w:rsidR="00852B86">
              <w:rPr>
                <w:rFonts w:ascii="Calibri" w:hAnsi="Calibri" w:cs="Calibri"/>
              </w:rPr>
              <w:t xml:space="preserve"> for SRC27 for </w:t>
            </w:r>
            <w:r w:rsidR="00826B62">
              <w:rPr>
                <w:rFonts w:ascii="Calibri" w:hAnsi="Calibri" w:cs="Calibri"/>
              </w:rPr>
              <w:t xml:space="preserve">alternative </w:t>
            </w:r>
            <w:r w:rsidR="00685B7A">
              <w:rPr>
                <w:rFonts w:ascii="Calibri" w:hAnsi="Calibri" w:cs="Calibri"/>
              </w:rPr>
              <w:t>S</w:t>
            </w:r>
            <w:r w:rsidR="000612F1">
              <w:rPr>
                <w:rFonts w:ascii="Calibri" w:hAnsi="Calibri" w:cs="Calibri"/>
              </w:rPr>
              <w:t xml:space="preserve">cenarios B and </w:t>
            </w:r>
            <w:r w:rsidR="00BE3DBE">
              <w:rPr>
                <w:rFonts w:ascii="Calibri" w:hAnsi="Calibri" w:cs="Calibri"/>
              </w:rPr>
              <w:t>C</w:t>
            </w:r>
            <w:r w:rsidR="00852B86">
              <w:rPr>
                <w:rFonts w:ascii="Calibri" w:hAnsi="Calibri" w:cs="Calibri"/>
              </w:rPr>
              <w:t xml:space="preserve"> respectively.</w:t>
            </w:r>
          </w:p>
          <w:p w14:paraId="39BFC41C" w14:textId="08D56575" w:rsidR="00F355DA" w:rsidRPr="009974A4" w:rsidRDefault="00F355DA" w:rsidP="00D07A1C">
            <w:pPr>
              <w:pStyle w:val="BodyText"/>
              <w:spacing w:before="0" w:after="60"/>
              <w:rPr>
                <w:rFonts w:ascii="Calibri" w:hAnsi="Calibri" w:cs="Calibri"/>
              </w:rPr>
            </w:pPr>
            <w:r w:rsidRPr="009974A4">
              <w:rPr>
                <w:rFonts w:ascii="Calibri" w:hAnsi="Calibri" w:cs="Calibri"/>
              </w:rPr>
              <w:t xml:space="preserve">Outputs should be reported </w:t>
            </w:r>
            <w:r w:rsidR="00B52ED5" w:rsidRPr="009974A4">
              <w:rPr>
                <w:rFonts w:ascii="Calibri" w:hAnsi="Calibri" w:cs="Calibri"/>
              </w:rPr>
              <w:t xml:space="preserve">for </w:t>
            </w:r>
            <w:r w:rsidR="00EA78A0">
              <w:rPr>
                <w:rFonts w:ascii="Calibri" w:hAnsi="Calibri" w:cs="Calibri"/>
              </w:rPr>
              <w:t xml:space="preserve">each </w:t>
            </w:r>
            <w:r w:rsidRPr="009974A4">
              <w:rPr>
                <w:rFonts w:ascii="Calibri" w:hAnsi="Calibri" w:cs="Calibri"/>
              </w:rPr>
              <w:t>year rather than cumulatively</w:t>
            </w:r>
            <w:r w:rsidR="00355238" w:rsidRPr="009974A4">
              <w:rPr>
                <w:rFonts w:ascii="Calibri" w:hAnsi="Calibri" w:cs="Calibri"/>
              </w:rPr>
              <w:t>.</w:t>
            </w:r>
          </w:p>
        </w:tc>
        <w:tc>
          <w:tcPr>
            <w:tcW w:w="0" w:type="auto"/>
          </w:tcPr>
          <w:p w14:paraId="0CD34423" w14:textId="084683AD" w:rsidR="001336AA" w:rsidRPr="009974A4" w:rsidRDefault="004A6910">
            <w:pPr>
              <w:pStyle w:val="BodyText"/>
              <w:rPr>
                <w:rFonts w:ascii="Calibri" w:hAnsi="Calibri" w:cs="Calibri"/>
              </w:rPr>
            </w:pPr>
            <w:r w:rsidRPr="009974A4">
              <w:rPr>
                <w:rFonts w:ascii="Calibri" w:hAnsi="Calibri" w:cs="Calibri"/>
              </w:rPr>
              <w:t>As per ‘Proposed units’</w:t>
            </w:r>
          </w:p>
        </w:tc>
      </w:tr>
      <w:tr w:rsidR="00784072" w:rsidRPr="0036004E" w14:paraId="72F196A1" w14:textId="77777777" w:rsidTr="00A00CC6">
        <w:tc>
          <w:tcPr>
            <w:tcW w:w="0" w:type="auto"/>
          </w:tcPr>
          <w:p w14:paraId="695E5B9A" w14:textId="1486A010" w:rsidR="001336AA" w:rsidRPr="009974A4" w:rsidRDefault="00354C1D">
            <w:pPr>
              <w:pStyle w:val="BodyText"/>
              <w:rPr>
                <w:rFonts w:ascii="Calibri" w:hAnsi="Calibri" w:cs="Calibri"/>
              </w:rPr>
            </w:pPr>
            <w:r w:rsidRPr="009974A4">
              <w:rPr>
                <w:rFonts w:ascii="Calibri" w:hAnsi="Calibri" w:cs="Calibri"/>
              </w:rPr>
              <w:t>Cap</w:t>
            </w:r>
            <w:r w:rsidR="00E346C2" w:rsidRPr="009974A4">
              <w:rPr>
                <w:rFonts w:ascii="Calibri" w:hAnsi="Calibri" w:cs="Calibri"/>
              </w:rPr>
              <w:t>ex</w:t>
            </w:r>
            <w:r w:rsidR="005F0757" w:rsidRPr="009974A4">
              <w:rPr>
                <w:rFonts w:ascii="Calibri" w:hAnsi="Calibri" w:cs="Calibri"/>
              </w:rPr>
              <w:t xml:space="preserve"> £m</w:t>
            </w:r>
          </w:p>
        </w:tc>
        <w:tc>
          <w:tcPr>
            <w:tcW w:w="0" w:type="auto"/>
          </w:tcPr>
          <w:p w14:paraId="553D160F" w14:textId="6A28FA97" w:rsidR="00355238" w:rsidRPr="009974A4" w:rsidRDefault="00565BDE" w:rsidP="00D07A1C">
            <w:pPr>
              <w:pStyle w:val="BodyText"/>
              <w:spacing w:before="0" w:after="60"/>
              <w:rPr>
                <w:rFonts w:ascii="Calibri" w:hAnsi="Calibri" w:cs="Calibri"/>
              </w:rPr>
            </w:pPr>
            <w:r w:rsidRPr="009974A4">
              <w:rPr>
                <w:rFonts w:ascii="Calibri" w:hAnsi="Calibri" w:cs="Calibri"/>
              </w:rPr>
              <w:t>The</w:t>
            </w:r>
            <w:r w:rsidRPr="009974A4" w:rsidDel="00605CCA">
              <w:rPr>
                <w:rFonts w:ascii="Calibri" w:hAnsi="Calibri" w:cs="Calibri"/>
              </w:rPr>
              <w:t xml:space="preserve"> </w:t>
            </w:r>
            <w:r w:rsidRPr="009974A4">
              <w:rPr>
                <w:rFonts w:ascii="Calibri" w:hAnsi="Calibri" w:cs="Calibri"/>
              </w:rPr>
              <w:t xml:space="preserve">enhancement and growth investment </w:t>
            </w:r>
            <w:r w:rsidR="00B52ED5" w:rsidRPr="009974A4">
              <w:rPr>
                <w:rFonts w:ascii="Calibri" w:hAnsi="Calibri" w:cs="Calibri"/>
              </w:rPr>
              <w:t xml:space="preserve">expenditure associated with </w:t>
            </w:r>
            <w:r w:rsidR="001D0E87" w:rsidRPr="009974A4">
              <w:rPr>
                <w:rFonts w:ascii="Calibri" w:hAnsi="Calibri" w:cs="Calibri"/>
              </w:rPr>
              <w:t>deliver</w:t>
            </w:r>
            <w:r w:rsidR="001D0E87">
              <w:rPr>
                <w:rFonts w:ascii="Calibri" w:hAnsi="Calibri" w:cs="Calibri"/>
              </w:rPr>
              <w:t>ing</w:t>
            </w:r>
            <w:r w:rsidR="001D0E87" w:rsidRPr="009974A4">
              <w:rPr>
                <w:rFonts w:ascii="Calibri" w:hAnsi="Calibri" w:cs="Calibri"/>
              </w:rPr>
              <w:t xml:space="preserve"> </w:t>
            </w:r>
            <w:r w:rsidRPr="009974A4">
              <w:rPr>
                <w:rFonts w:ascii="Calibri" w:hAnsi="Calibri" w:cs="Calibri"/>
              </w:rPr>
              <w:t>the specified outputs</w:t>
            </w:r>
            <w:r w:rsidR="00355238" w:rsidRPr="009974A4">
              <w:rPr>
                <w:rFonts w:ascii="Calibri" w:hAnsi="Calibri" w:cs="Calibri"/>
              </w:rPr>
              <w:t xml:space="preserve"> profiled </w:t>
            </w:r>
            <w:r w:rsidR="00B52ED5" w:rsidRPr="009974A4">
              <w:rPr>
                <w:rFonts w:ascii="Calibri" w:hAnsi="Calibri" w:cs="Calibri"/>
              </w:rPr>
              <w:t xml:space="preserve">in </w:t>
            </w:r>
            <w:r w:rsidR="00355238" w:rsidRPr="009974A4">
              <w:rPr>
                <w:rFonts w:ascii="Calibri" w:hAnsi="Calibri" w:cs="Calibri"/>
              </w:rPr>
              <w:t xml:space="preserve">each year of the </w:t>
            </w:r>
            <w:r w:rsidR="00DD3129" w:rsidRPr="009974A4">
              <w:rPr>
                <w:rFonts w:ascii="Calibri" w:hAnsi="Calibri" w:cs="Calibri"/>
              </w:rPr>
              <w:t>regulatory</w:t>
            </w:r>
            <w:r w:rsidR="00784072" w:rsidRPr="009974A4">
              <w:rPr>
                <w:rFonts w:ascii="Calibri" w:hAnsi="Calibri" w:cs="Calibri"/>
              </w:rPr>
              <w:t xml:space="preserve"> </w:t>
            </w:r>
            <w:r w:rsidR="00355238" w:rsidRPr="009974A4">
              <w:rPr>
                <w:rFonts w:ascii="Calibri" w:hAnsi="Calibri" w:cs="Calibri"/>
              </w:rPr>
              <w:t>control period for SRC27</w:t>
            </w:r>
            <w:r w:rsidR="007479AC">
              <w:rPr>
                <w:rFonts w:ascii="Calibri" w:hAnsi="Calibri" w:cs="Calibri"/>
              </w:rPr>
              <w:t>,</w:t>
            </w:r>
            <w:r w:rsidR="00355238" w:rsidRPr="009974A4">
              <w:rPr>
                <w:rFonts w:ascii="Calibri" w:hAnsi="Calibri" w:cs="Calibri"/>
              </w:rPr>
              <w:t xml:space="preserve"> and then aggregated </w:t>
            </w:r>
            <w:r w:rsidR="00D0668F" w:rsidRPr="009974A4">
              <w:rPr>
                <w:rFonts w:ascii="Calibri" w:hAnsi="Calibri" w:cs="Calibri"/>
              </w:rPr>
              <w:t xml:space="preserve">for each subsequent regulatory </w:t>
            </w:r>
            <w:r w:rsidR="00355238" w:rsidRPr="009974A4">
              <w:rPr>
                <w:rFonts w:ascii="Calibri" w:hAnsi="Calibri" w:cs="Calibri"/>
              </w:rPr>
              <w:t>control period post SRC27</w:t>
            </w:r>
            <w:r w:rsidR="00E20BF2">
              <w:rPr>
                <w:rFonts w:ascii="Calibri" w:hAnsi="Calibri" w:cs="Calibri"/>
              </w:rPr>
              <w:t>.</w:t>
            </w:r>
            <w:r w:rsidR="007479AC">
              <w:rPr>
                <w:rFonts w:ascii="Calibri" w:hAnsi="Calibri" w:cs="Calibri"/>
              </w:rPr>
              <w:t xml:space="preserve"> </w:t>
            </w:r>
            <w:r w:rsidR="00E20BF2">
              <w:rPr>
                <w:rFonts w:ascii="Calibri" w:hAnsi="Calibri" w:cs="Calibri"/>
              </w:rPr>
              <w:t xml:space="preserve">Scottish Water shall also provide the aggregate expenditure for SRC27 for alternative </w:t>
            </w:r>
            <w:r w:rsidR="00685B7A">
              <w:rPr>
                <w:rFonts w:ascii="Calibri" w:hAnsi="Calibri" w:cs="Calibri"/>
              </w:rPr>
              <w:t>S</w:t>
            </w:r>
            <w:r w:rsidR="00E20BF2">
              <w:rPr>
                <w:rFonts w:ascii="Calibri" w:hAnsi="Calibri" w:cs="Calibri"/>
              </w:rPr>
              <w:t xml:space="preserve">cenarios </w:t>
            </w:r>
            <w:r w:rsidR="00E20BF2">
              <w:rPr>
                <w:rFonts w:ascii="Calibri" w:hAnsi="Calibri" w:cs="Calibri"/>
              </w:rPr>
              <w:lastRenderedPageBreak/>
              <w:t>B and C respectively.</w:t>
            </w:r>
          </w:p>
          <w:p w14:paraId="63ED1FC6" w14:textId="23C04861" w:rsidR="001336AA" w:rsidRPr="009974A4" w:rsidRDefault="00355238" w:rsidP="00D07A1C">
            <w:pPr>
              <w:pStyle w:val="BodyText"/>
              <w:spacing w:before="0" w:after="60"/>
              <w:rPr>
                <w:rFonts w:ascii="Calibri" w:hAnsi="Calibri" w:cs="Calibri"/>
              </w:rPr>
            </w:pPr>
            <w:r w:rsidRPr="009974A4">
              <w:rPr>
                <w:rFonts w:ascii="Calibri" w:hAnsi="Calibri" w:cs="Calibri"/>
              </w:rPr>
              <w:t xml:space="preserve">Expenditure should be reported </w:t>
            </w:r>
            <w:r w:rsidR="00B52ED5" w:rsidRPr="009974A4">
              <w:rPr>
                <w:rFonts w:ascii="Calibri" w:hAnsi="Calibri" w:cs="Calibri"/>
              </w:rPr>
              <w:t xml:space="preserve">for each </w:t>
            </w:r>
            <w:r w:rsidRPr="009974A4">
              <w:rPr>
                <w:rFonts w:ascii="Calibri" w:hAnsi="Calibri" w:cs="Calibri"/>
              </w:rPr>
              <w:t>year rather than cumulatively.</w:t>
            </w:r>
          </w:p>
        </w:tc>
        <w:tc>
          <w:tcPr>
            <w:tcW w:w="0" w:type="auto"/>
          </w:tcPr>
          <w:p w14:paraId="1AE8E04C" w14:textId="03C6429E" w:rsidR="001336AA" w:rsidRPr="009974A4" w:rsidRDefault="004A6910">
            <w:pPr>
              <w:pStyle w:val="BodyText"/>
              <w:rPr>
                <w:rFonts w:ascii="Calibri" w:hAnsi="Calibri" w:cs="Calibri"/>
              </w:rPr>
            </w:pPr>
            <w:r w:rsidRPr="009974A4">
              <w:rPr>
                <w:rFonts w:ascii="Calibri" w:hAnsi="Calibri" w:cs="Calibri"/>
              </w:rPr>
              <w:lastRenderedPageBreak/>
              <w:t>£m in 2024</w:t>
            </w:r>
            <w:r w:rsidR="008474EA" w:rsidRPr="009974A4">
              <w:rPr>
                <w:rFonts w:ascii="Calibri" w:hAnsi="Calibri" w:cs="Calibri"/>
              </w:rPr>
              <w:t>-</w:t>
            </w:r>
            <w:r w:rsidRPr="009974A4">
              <w:rPr>
                <w:rFonts w:ascii="Calibri" w:hAnsi="Calibri" w:cs="Calibri"/>
              </w:rPr>
              <w:t>25 price base</w:t>
            </w:r>
          </w:p>
        </w:tc>
      </w:tr>
    </w:tbl>
    <w:p w14:paraId="108DF5EC" w14:textId="77777777" w:rsidR="00CA36E1" w:rsidRPr="00E4133D" w:rsidRDefault="00CA36E1" w:rsidP="00E6436F"/>
    <w:p w14:paraId="0C1077C5" w14:textId="77777777" w:rsidR="00E4133D" w:rsidRPr="00E4133D" w:rsidRDefault="00E4133D" w:rsidP="00E6436F"/>
    <w:p w14:paraId="67E64638" w14:textId="55742928" w:rsidR="00D710CE" w:rsidRPr="00D113D4" w:rsidRDefault="00D113D4" w:rsidP="00954233">
      <w:pPr>
        <w:pStyle w:val="SMALLHEADINGALLCAPS"/>
        <w:spacing w:after="0"/>
        <w:rPr>
          <w:b w:val="0"/>
          <w:u w:val="single"/>
        </w:rPr>
      </w:pPr>
      <w:r w:rsidRPr="00D113D4">
        <w:t>Outputs Definitions</w:t>
      </w:r>
    </w:p>
    <w:tbl>
      <w:tblPr>
        <w:tblStyle w:val="Blueline"/>
        <w:tblW w:w="5000" w:type="pct"/>
        <w:tblLook w:val="04A0" w:firstRow="1" w:lastRow="0" w:firstColumn="1" w:lastColumn="0" w:noHBand="0" w:noVBand="1"/>
      </w:tblPr>
      <w:tblGrid>
        <w:gridCol w:w="1225"/>
        <w:gridCol w:w="3027"/>
        <w:gridCol w:w="8505"/>
        <w:gridCol w:w="1813"/>
      </w:tblGrid>
      <w:tr w:rsidR="001B400B" w:rsidRPr="002E7A00" w14:paraId="383CE159" w14:textId="15D71F3D" w:rsidTr="001C2041">
        <w:trPr>
          <w:cnfStyle w:val="100000000000" w:firstRow="1" w:lastRow="0" w:firstColumn="0" w:lastColumn="0" w:oddVBand="0" w:evenVBand="0" w:oddHBand="0" w:evenHBand="0" w:firstRowFirstColumn="0" w:firstRowLastColumn="0" w:lastRowFirstColumn="0" w:lastRowLastColumn="0"/>
          <w:tblHeader/>
        </w:trPr>
        <w:tc>
          <w:tcPr>
            <w:tcW w:w="420" w:type="pct"/>
            <w:vAlign w:val="center"/>
          </w:tcPr>
          <w:p w14:paraId="49061FC7" w14:textId="5FBCD4ED" w:rsidR="001B400B" w:rsidRPr="00203EFD" w:rsidRDefault="001B400B" w:rsidP="005B1D2F">
            <w:pPr>
              <w:pStyle w:val="BodyText"/>
              <w:spacing w:before="0" w:afterLines="60" w:after="144"/>
              <w:rPr>
                <w:rFonts w:ascii="Calibri" w:hAnsi="Calibri" w:cs="Calibri"/>
              </w:rPr>
            </w:pPr>
            <w:r w:rsidRPr="00203EFD">
              <w:rPr>
                <w:rFonts w:ascii="Calibri" w:hAnsi="Calibri" w:cs="Calibri"/>
              </w:rPr>
              <w:t>Reference</w:t>
            </w:r>
          </w:p>
        </w:tc>
        <w:tc>
          <w:tcPr>
            <w:tcW w:w="1039" w:type="pct"/>
            <w:vAlign w:val="center"/>
          </w:tcPr>
          <w:p w14:paraId="0AFDE120" w14:textId="41226293" w:rsidR="001B400B" w:rsidRPr="00203EFD" w:rsidRDefault="0041576F" w:rsidP="005B1D2F">
            <w:pPr>
              <w:pStyle w:val="BodyText"/>
              <w:spacing w:before="0" w:afterLines="60" w:after="144"/>
              <w:rPr>
                <w:rFonts w:ascii="Calibri" w:hAnsi="Calibri" w:cs="Calibri"/>
              </w:rPr>
            </w:pPr>
            <w:r>
              <w:rPr>
                <w:rFonts w:ascii="Calibri" w:hAnsi="Calibri" w:cs="Calibri"/>
              </w:rPr>
              <w:t>Output category</w:t>
            </w:r>
          </w:p>
        </w:tc>
        <w:tc>
          <w:tcPr>
            <w:tcW w:w="2919" w:type="pct"/>
            <w:vAlign w:val="center"/>
          </w:tcPr>
          <w:p w14:paraId="48B23535" w14:textId="77777777" w:rsidR="001B400B" w:rsidRPr="00203EFD" w:rsidRDefault="001B400B" w:rsidP="005B1D2F">
            <w:pPr>
              <w:pStyle w:val="BodyText"/>
              <w:spacing w:before="0" w:afterLines="60" w:after="144"/>
              <w:rPr>
                <w:rFonts w:ascii="Calibri" w:hAnsi="Calibri" w:cs="Calibri"/>
              </w:rPr>
            </w:pPr>
            <w:r w:rsidRPr="00203EFD">
              <w:rPr>
                <w:rFonts w:ascii="Calibri" w:hAnsi="Calibri" w:cs="Calibri"/>
              </w:rPr>
              <w:t>Definition</w:t>
            </w:r>
          </w:p>
        </w:tc>
        <w:tc>
          <w:tcPr>
            <w:tcW w:w="622" w:type="pct"/>
            <w:vAlign w:val="center"/>
          </w:tcPr>
          <w:p w14:paraId="136D7C57" w14:textId="0F8E958C" w:rsidR="001B400B" w:rsidRPr="00203EFD" w:rsidRDefault="001B400B" w:rsidP="005B1D2F">
            <w:pPr>
              <w:pStyle w:val="BodyText"/>
              <w:spacing w:before="0" w:afterLines="60" w:after="144"/>
              <w:rPr>
                <w:rFonts w:ascii="Calibri" w:hAnsi="Calibri" w:cs="Calibri"/>
              </w:rPr>
            </w:pPr>
            <w:r w:rsidRPr="00203EFD">
              <w:rPr>
                <w:rFonts w:ascii="Calibri" w:hAnsi="Calibri" w:cs="Calibri"/>
              </w:rPr>
              <w:t>Units</w:t>
            </w:r>
          </w:p>
        </w:tc>
      </w:tr>
      <w:tr w:rsidR="001B400B" w:rsidRPr="002E7A00" w14:paraId="1519D423" w14:textId="18781FE7" w:rsidTr="001C2041">
        <w:trPr>
          <w:trHeight w:val="861"/>
        </w:trPr>
        <w:tc>
          <w:tcPr>
            <w:tcW w:w="420" w:type="pct"/>
          </w:tcPr>
          <w:p w14:paraId="129DE588" w14:textId="12E8C724"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w:t>
            </w:r>
          </w:p>
        </w:tc>
        <w:tc>
          <w:tcPr>
            <w:tcW w:w="1039" w:type="pct"/>
          </w:tcPr>
          <w:p w14:paraId="4E7B4FD9" w14:textId="310A5D8F"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Increase in Part 4 capacity at WTW</w:t>
            </w:r>
          </w:p>
        </w:tc>
        <w:tc>
          <w:tcPr>
            <w:tcW w:w="2919" w:type="pct"/>
          </w:tcPr>
          <w:p w14:paraId="6BB30F92" w14:textId="41899C73" w:rsidR="001B400B" w:rsidRPr="002E7A00" w:rsidRDefault="001B400B" w:rsidP="00D07A1C">
            <w:pPr>
              <w:pStyle w:val="TableParagraph"/>
              <w:spacing w:afterLines="60" w:after="144"/>
              <w:rPr>
                <w:rFonts w:asciiTheme="majorHAnsi" w:hAnsiTheme="majorHAnsi" w:cstheme="majorHAnsi"/>
                <w:color w:val="000000"/>
                <w:sz w:val="24"/>
                <w:szCs w:val="24"/>
              </w:rPr>
            </w:pPr>
            <w:r w:rsidRPr="002E7A00">
              <w:rPr>
                <w:rFonts w:asciiTheme="majorHAnsi" w:hAnsiTheme="majorHAnsi" w:cstheme="majorHAnsi"/>
                <w:color w:val="000000"/>
                <w:sz w:val="24"/>
                <w:szCs w:val="24"/>
              </w:rPr>
              <w:t xml:space="preserve">Outputs and expenditure associated with </w:t>
            </w:r>
            <w:r w:rsidRPr="00EA0FB5">
              <w:rPr>
                <w:rFonts w:ascii="Calibri" w:hAnsi="Calibri" w:cs="Calibri"/>
                <w:sz w:val="24"/>
                <w:szCs w:val="24"/>
              </w:rPr>
              <w:t xml:space="preserve">mega-litres per day </w:t>
            </w:r>
            <w:r>
              <w:rPr>
                <w:rFonts w:ascii="Calibri" w:hAnsi="Calibri" w:cs="Calibri"/>
                <w:sz w:val="24"/>
                <w:szCs w:val="24"/>
              </w:rPr>
              <w:t>(</w:t>
            </w:r>
            <w:r w:rsidRPr="002E7A00">
              <w:rPr>
                <w:rFonts w:asciiTheme="majorHAnsi" w:hAnsiTheme="majorHAnsi" w:cstheme="majorHAnsi"/>
                <w:color w:val="000000"/>
                <w:sz w:val="24"/>
                <w:szCs w:val="24"/>
              </w:rPr>
              <w:t>Ml/d) increases at (water treatment works) WTW to meet additional strategic capacity.</w:t>
            </w:r>
          </w:p>
        </w:tc>
        <w:tc>
          <w:tcPr>
            <w:tcW w:w="622" w:type="pct"/>
          </w:tcPr>
          <w:p w14:paraId="45987A4D" w14:textId="37777DD2"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2F2A507C" w14:textId="0F2B94EE" w:rsidTr="001C2041">
        <w:trPr>
          <w:trHeight w:val="807"/>
        </w:trPr>
        <w:tc>
          <w:tcPr>
            <w:tcW w:w="420" w:type="pct"/>
          </w:tcPr>
          <w:p w14:paraId="1AEBEE07" w14:textId="7754B1DE"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2.2</w:t>
            </w:r>
          </w:p>
        </w:tc>
        <w:tc>
          <w:tcPr>
            <w:tcW w:w="1039" w:type="pct"/>
          </w:tcPr>
          <w:p w14:paraId="68173591" w14:textId="75B410EF"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Increase in Part 4 capacity to meet wastewater growth requirements</w:t>
            </w:r>
          </w:p>
        </w:tc>
        <w:tc>
          <w:tcPr>
            <w:tcW w:w="2919" w:type="pct"/>
          </w:tcPr>
          <w:p w14:paraId="5D6EF043" w14:textId="3C72E30A" w:rsidR="001B400B" w:rsidRPr="002E7A00" w:rsidRDefault="001B400B" w:rsidP="00D07A1C">
            <w:pPr>
              <w:pStyle w:val="TableParagraph"/>
              <w:spacing w:afterLines="60" w:after="144"/>
              <w:rPr>
                <w:rFonts w:asciiTheme="majorHAnsi" w:hAnsiTheme="majorHAnsi" w:cstheme="majorHAnsi"/>
                <w:color w:val="000000"/>
                <w:sz w:val="24"/>
                <w:szCs w:val="24"/>
              </w:rPr>
            </w:pPr>
            <w:r w:rsidRPr="002E7A00">
              <w:rPr>
                <w:rFonts w:asciiTheme="majorHAnsi" w:hAnsiTheme="majorHAnsi" w:cstheme="majorHAnsi"/>
                <w:color w:val="000000"/>
                <w:sz w:val="24"/>
                <w:szCs w:val="24"/>
              </w:rPr>
              <w:t>Outputs and expenditure associated with increases in population equivalent (p.e) capacity for removing and treating both foul sewage and surface water to meet additional strategic capacity.</w:t>
            </w:r>
          </w:p>
        </w:tc>
        <w:tc>
          <w:tcPr>
            <w:tcW w:w="622" w:type="pct"/>
          </w:tcPr>
          <w:p w14:paraId="49857FBE" w14:textId="7E22A3F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4AC792C8" w14:textId="7E915862" w:rsidTr="001C2041">
        <w:tc>
          <w:tcPr>
            <w:tcW w:w="420" w:type="pct"/>
          </w:tcPr>
          <w:p w14:paraId="055E5F92" w14:textId="1D28A32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2.3</w:t>
            </w:r>
          </w:p>
        </w:tc>
        <w:tc>
          <w:tcPr>
            <w:tcW w:w="1039" w:type="pct"/>
          </w:tcPr>
          <w:p w14:paraId="10851233" w14:textId="17FAA6C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Additional Part 3 capacity enabled from strategic water network reinforcement</w:t>
            </w:r>
          </w:p>
        </w:tc>
        <w:tc>
          <w:tcPr>
            <w:tcW w:w="2919" w:type="pct"/>
          </w:tcPr>
          <w:p w14:paraId="5C17DDCE" w14:textId="12EDEDD4" w:rsidR="001B400B" w:rsidRPr="002E7A00" w:rsidRDefault="001B400B" w:rsidP="00D07A1C">
            <w:pPr>
              <w:pStyle w:val="TableParagraph"/>
              <w:spacing w:afterLines="60" w:after="144"/>
              <w:rPr>
                <w:rFonts w:asciiTheme="majorHAnsi" w:hAnsiTheme="majorHAnsi" w:cstheme="majorHAnsi"/>
                <w:sz w:val="24"/>
                <w:szCs w:val="24"/>
              </w:rPr>
            </w:pPr>
            <w:r w:rsidRPr="002E7A00">
              <w:rPr>
                <w:rFonts w:asciiTheme="majorHAnsi" w:hAnsiTheme="majorHAnsi" w:cstheme="majorHAnsi"/>
                <w:sz w:val="24"/>
                <w:szCs w:val="24"/>
              </w:rPr>
              <w:t>Outputs and expenditure associated with a</w:t>
            </w:r>
            <w:r w:rsidRPr="002E7A00">
              <w:rPr>
                <w:rFonts w:asciiTheme="majorHAnsi" w:hAnsiTheme="majorHAnsi" w:cstheme="majorHAnsi"/>
                <w:color w:val="242424"/>
                <w:sz w:val="24"/>
                <w:szCs w:val="24"/>
                <w:shd w:val="clear" w:color="auto" w:fill="FFFFFF"/>
              </w:rPr>
              <w:t>dditional Ml/d Capacity enabled from strategic water network reinforcement</w:t>
            </w:r>
            <w:r w:rsidR="00CF6065">
              <w:rPr>
                <w:rFonts w:asciiTheme="majorHAnsi" w:hAnsiTheme="majorHAnsi" w:cstheme="majorHAnsi"/>
                <w:color w:val="242424"/>
                <w:sz w:val="24"/>
                <w:szCs w:val="24"/>
                <w:shd w:val="clear" w:color="auto" w:fill="FFFFFF"/>
              </w:rPr>
              <w:t>.</w:t>
            </w:r>
          </w:p>
        </w:tc>
        <w:tc>
          <w:tcPr>
            <w:tcW w:w="622" w:type="pct"/>
          </w:tcPr>
          <w:p w14:paraId="40E08EDA" w14:textId="11F97AA0"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04B632CC" w14:textId="7EE1A89A" w:rsidTr="001C2041">
        <w:tc>
          <w:tcPr>
            <w:tcW w:w="420" w:type="pct"/>
          </w:tcPr>
          <w:p w14:paraId="6556E243" w14:textId="5B39DB43"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2.4</w:t>
            </w:r>
          </w:p>
        </w:tc>
        <w:tc>
          <w:tcPr>
            <w:tcW w:w="1039" w:type="pct"/>
          </w:tcPr>
          <w:p w14:paraId="51331BDA" w14:textId="05DDB14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Additional Part 3 capacity enabled from strategic wastewater network reinforcement</w:t>
            </w:r>
          </w:p>
        </w:tc>
        <w:tc>
          <w:tcPr>
            <w:tcW w:w="2919" w:type="pct"/>
          </w:tcPr>
          <w:p w14:paraId="60A0B21F" w14:textId="1E7CCEE7" w:rsidR="001B400B" w:rsidRPr="002E7A00" w:rsidRDefault="001B400B" w:rsidP="00D07A1C">
            <w:pPr>
              <w:pStyle w:val="TableParagraph"/>
              <w:spacing w:afterLines="60" w:after="144"/>
              <w:rPr>
                <w:rFonts w:asciiTheme="majorHAnsi" w:hAnsiTheme="majorHAnsi" w:cstheme="majorHAnsi"/>
                <w:color w:val="242424"/>
                <w:sz w:val="24"/>
                <w:szCs w:val="24"/>
                <w:shd w:val="clear" w:color="auto" w:fill="FFFFFF"/>
              </w:rPr>
            </w:pPr>
            <w:r w:rsidRPr="002E7A00">
              <w:rPr>
                <w:rFonts w:asciiTheme="majorHAnsi" w:hAnsiTheme="majorHAnsi" w:cstheme="majorHAnsi"/>
                <w:sz w:val="24"/>
                <w:szCs w:val="24"/>
              </w:rPr>
              <w:t>Outputs and expenditure associated with a</w:t>
            </w:r>
            <w:r w:rsidRPr="002E7A00">
              <w:rPr>
                <w:rFonts w:asciiTheme="majorHAnsi" w:hAnsiTheme="majorHAnsi" w:cstheme="majorHAnsi"/>
                <w:color w:val="242424"/>
                <w:sz w:val="24"/>
                <w:szCs w:val="24"/>
                <w:shd w:val="clear" w:color="auto" w:fill="FFFFFF"/>
              </w:rPr>
              <w:t>dditional p.e capacity enabled from strategic wastewater network reinforcement.</w:t>
            </w:r>
          </w:p>
          <w:p w14:paraId="30C0492C" w14:textId="1A35E5B5" w:rsidR="001B400B" w:rsidRPr="002E7A00" w:rsidRDefault="001B400B" w:rsidP="00D07A1C">
            <w:pPr>
              <w:pStyle w:val="TableParagraph"/>
              <w:spacing w:afterLines="60" w:after="144"/>
              <w:rPr>
                <w:rFonts w:asciiTheme="majorHAnsi" w:hAnsiTheme="majorHAnsi" w:cstheme="majorHAnsi"/>
                <w:sz w:val="24"/>
                <w:szCs w:val="24"/>
              </w:rPr>
            </w:pPr>
            <w:r w:rsidRPr="002E7A00">
              <w:rPr>
                <w:rFonts w:asciiTheme="majorHAnsi" w:hAnsiTheme="majorHAnsi" w:cstheme="majorHAnsi"/>
                <w:sz w:val="24"/>
                <w:szCs w:val="24"/>
              </w:rPr>
              <w:t>Expenditure on assets related to foul sewage only or surface water only should also be reported in this line</w:t>
            </w:r>
            <w:r w:rsidR="00CF6065">
              <w:rPr>
                <w:rFonts w:asciiTheme="majorHAnsi" w:hAnsiTheme="majorHAnsi" w:cstheme="majorHAnsi"/>
                <w:sz w:val="24"/>
                <w:szCs w:val="24"/>
              </w:rPr>
              <w:t>.</w:t>
            </w:r>
          </w:p>
        </w:tc>
        <w:tc>
          <w:tcPr>
            <w:tcW w:w="622" w:type="pct"/>
          </w:tcPr>
          <w:p w14:paraId="6D39A774" w14:textId="2AE206A5"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2547C72B" w14:textId="42865725" w:rsidTr="001C2041">
        <w:tc>
          <w:tcPr>
            <w:tcW w:w="420" w:type="pct"/>
          </w:tcPr>
          <w:p w14:paraId="5CC77A60" w14:textId="5281B4FE"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2.5</w:t>
            </w:r>
          </w:p>
        </w:tc>
        <w:tc>
          <w:tcPr>
            <w:tcW w:w="1039" w:type="pct"/>
          </w:tcPr>
          <w:p w14:paraId="6BAE8C8A" w14:textId="24E5FFF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lead communication pipes replaced</w:t>
            </w:r>
          </w:p>
        </w:tc>
        <w:tc>
          <w:tcPr>
            <w:tcW w:w="2919" w:type="pct"/>
          </w:tcPr>
          <w:p w14:paraId="225277E8" w14:textId="7380C340"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number of lead communication pipes replaced</w:t>
            </w:r>
            <w:r w:rsidR="00CF6065">
              <w:rPr>
                <w:rFonts w:ascii="Calibri" w:hAnsi="Calibri" w:cs="Calibri"/>
                <w:color w:val="000000"/>
                <w:sz w:val="24"/>
                <w:szCs w:val="24"/>
              </w:rPr>
              <w:t>.</w:t>
            </w:r>
          </w:p>
        </w:tc>
        <w:tc>
          <w:tcPr>
            <w:tcW w:w="622" w:type="pct"/>
          </w:tcPr>
          <w:p w14:paraId="3E69300E" w14:textId="3C25BC76"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63B6E892" w14:textId="6040860F" w:rsidTr="001C2041">
        <w:tc>
          <w:tcPr>
            <w:tcW w:w="420" w:type="pct"/>
          </w:tcPr>
          <w:p w14:paraId="136DB58A" w14:textId="61117699"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2.6</w:t>
            </w:r>
          </w:p>
        </w:tc>
        <w:tc>
          <w:tcPr>
            <w:tcW w:w="1039" w:type="pct"/>
          </w:tcPr>
          <w:p w14:paraId="72DA345D" w14:textId="5F2C7492" w:rsidR="001B400B" w:rsidRPr="002E7A00" w:rsidRDefault="001B400B" w:rsidP="00954233">
            <w:pPr>
              <w:pStyle w:val="TableParagraph"/>
              <w:rPr>
                <w:rFonts w:ascii="Calibri" w:hAnsi="Calibri" w:cs="Calibri"/>
                <w:sz w:val="24"/>
                <w:szCs w:val="24"/>
              </w:rPr>
            </w:pPr>
            <w:r w:rsidRPr="005249AD">
              <w:rPr>
                <w:rFonts w:ascii="Calibri" w:hAnsi="Calibri" w:cs="Calibri"/>
                <w:color w:val="000000"/>
                <w:sz w:val="24"/>
                <w:szCs w:val="24"/>
              </w:rPr>
              <w:t xml:space="preserve">Capacity at WTW with new or optimised phosphate </w:t>
            </w:r>
            <w:r w:rsidRPr="002E7A00">
              <w:rPr>
                <w:rFonts w:ascii="Calibri" w:hAnsi="Calibri" w:cs="Calibri"/>
                <w:color w:val="000000"/>
                <w:sz w:val="24"/>
                <w:szCs w:val="24"/>
              </w:rPr>
              <w:t>equipment</w:t>
            </w:r>
          </w:p>
        </w:tc>
        <w:tc>
          <w:tcPr>
            <w:tcW w:w="2919" w:type="pct"/>
          </w:tcPr>
          <w:p w14:paraId="3817CDB2" w14:textId="093A59F2"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new or optimised phosphate equipment at water treatment work (WTW) sites</w:t>
            </w:r>
            <w:r w:rsidR="00CF6065">
              <w:rPr>
                <w:rFonts w:ascii="Calibri" w:hAnsi="Calibri" w:cs="Calibri"/>
                <w:color w:val="000000"/>
                <w:sz w:val="24"/>
                <w:szCs w:val="24"/>
              </w:rPr>
              <w:t>.</w:t>
            </w:r>
          </w:p>
        </w:tc>
        <w:tc>
          <w:tcPr>
            <w:tcW w:w="622" w:type="pct"/>
          </w:tcPr>
          <w:p w14:paraId="7AA7CFC6" w14:textId="4780F6B5" w:rsidR="001B400B" w:rsidRPr="002E7A00" w:rsidRDefault="00630BA5"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149901EE" w14:textId="24B575BE" w:rsidTr="001C2041">
        <w:tc>
          <w:tcPr>
            <w:tcW w:w="420" w:type="pct"/>
          </w:tcPr>
          <w:p w14:paraId="3716C41F" w14:textId="52E7F257"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2.7</w:t>
            </w:r>
          </w:p>
        </w:tc>
        <w:tc>
          <w:tcPr>
            <w:tcW w:w="1039" w:type="pct"/>
          </w:tcPr>
          <w:p w14:paraId="7F6EAFCD" w14:textId="557C5DD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Capacity at WTW sites with new auto-shutdown risk control interventions</w:t>
            </w:r>
          </w:p>
        </w:tc>
        <w:tc>
          <w:tcPr>
            <w:tcW w:w="2919" w:type="pct"/>
          </w:tcPr>
          <w:p w14:paraId="545B43CE" w14:textId="54C1AC88"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new auto shutdown risk control interventions at WTW sites</w:t>
            </w:r>
            <w:r w:rsidR="00CF6065">
              <w:rPr>
                <w:rFonts w:ascii="Calibri" w:hAnsi="Calibri" w:cs="Calibri"/>
                <w:color w:val="000000"/>
                <w:sz w:val="24"/>
                <w:szCs w:val="24"/>
              </w:rPr>
              <w:t>.</w:t>
            </w:r>
          </w:p>
        </w:tc>
        <w:tc>
          <w:tcPr>
            <w:tcW w:w="622" w:type="pct"/>
          </w:tcPr>
          <w:p w14:paraId="1CB5F5FF" w14:textId="563AFCAB"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3E821DD0" w14:textId="292CA340" w:rsidTr="001C2041">
        <w:tc>
          <w:tcPr>
            <w:tcW w:w="420" w:type="pct"/>
          </w:tcPr>
          <w:p w14:paraId="44A0C799" w14:textId="31C144D9"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2.8</w:t>
            </w:r>
          </w:p>
        </w:tc>
        <w:tc>
          <w:tcPr>
            <w:tcW w:w="1039" w:type="pct"/>
          </w:tcPr>
          <w:p w14:paraId="67161A96" w14:textId="1F284C4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Capacity at WTW sites made compliant with standards</w:t>
            </w:r>
          </w:p>
        </w:tc>
        <w:tc>
          <w:tcPr>
            <w:tcW w:w="2919" w:type="pct"/>
          </w:tcPr>
          <w:p w14:paraId="5606DCCF" w14:textId="40110953"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making WTW sites compliant with standards</w:t>
            </w:r>
            <w:r w:rsidR="00CF6065">
              <w:rPr>
                <w:rFonts w:ascii="Calibri" w:hAnsi="Calibri" w:cs="Calibri"/>
                <w:color w:val="000000"/>
                <w:sz w:val="24"/>
                <w:szCs w:val="24"/>
              </w:rPr>
              <w:t>.</w:t>
            </w:r>
          </w:p>
        </w:tc>
        <w:tc>
          <w:tcPr>
            <w:tcW w:w="622" w:type="pct"/>
          </w:tcPr>
          <w:p w14:paraId="7393ED78" w14:textId="2FFC061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248326A3" w14:textId="18988C33" w:rsidTr="001C2041">
        <w:tc>
          <w:tcPr>
            <w:tcW w:w="420" w:type="pct"/>
          </w:tcPr>
          <w:p w14:paraId="32D506C7" w14:textId="0A4A66DB"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2.9</w:t>
            </w:r>
          </w:p>
        </w:tc>
        <w:tc>
          <w:tcPr>
            <w:tcW w:w="1039" w:type="pct"/>
          </w:tcPr>
          <w:p w14:paraId="3171D749" w14:textId="68033DD2"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Capacity at WTW sites with improved treatment process</w:t>
            </w:r>
          </w:p>
        </w:tc>
        <w:tc>
          <w:tcPr>
            <w:tcW w:w="2919" w:type="pct"/>
          </w:tcPr>
          <w:p w14:paraId="775CE0EF" w14:textId="78D5D387"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improved treatment processes at WTW sites (exclude outputs and expenditure from line 2.8 Capacity at WTW sites made compliant with standards for bringing sites into compliance)</w:t>
            </w:r>
            <w:r w:rsidR="00CF6065">
              <w:rPr>
                <w:rFonts w:ascii="Calibri" w:hAnsi="Calibri" w:cs="Calibri"/>
                <w:color w:val="000000"/>
                <w:sz w:val="24"/>
                <w:szCs w:val="24"/>
              </w:rPr>
              <w:t>.</w:t>
            </w:r>
          </w:p>
        </w:tc>
        <w:tc>
          <w:tcPr>
            <w:tcW w:w="622" w:type="pct"/>
          </w:tcPr>
          <w:p w14:paraId="7E961F6B" w14:textId="72833FC7"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1E4C97B5" w14:textId="4154A671" w:rsidTr="001C2041">
        <w:tc>
          <w:tcPr>
            <w:tcW w:w="420" w:type="pct"/>
          </w:tcPr>
          <w:p w14:paraId="0809826F" w14:textId="212733E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2.10</w:t>
            </w:r>
          </w:p>
        </w:tc>
        <w:tc>
          <w:tcPr>
            <w:tcW w:w="1039" w:type="pct"/>
          </w:tcPr>
          <w:p w14:paraId="6FDD8E27" w14:textId="39854649" w:rsidR="001B400B" w:rsidRPr="002E7A00" w:rsidRDefault="001B400B" w:rsidP="00954233">
            <w:pPr>
              <w:pStyle w:val="TableParagraph"/>
              <w:rPr>
                <w:rFonts w:ascii="Calibri" w:hAnsi="Calibri" w:cs="Calibri"/>
                <w:sz w:val="24"/>
                <w:szCs w:val="24"/>
              </w:rPr>
            </w:pPr>
            <w:r>
              <w:rPr>
                <w:rFonts w:ascii="Calibri" w:hAnsi="Calibri" w:cs="Calibri"/>
                <w:color w:val="000000"/>
                <w:sz w:val="24"/>
                <w:szCs w:val="24"/>
              </w:rPr>
              <w:t>Number</w:t>
            </w:r>
            <w:r w:rsidRPr="002E7A00">
              <w:rPr>
                <w:rFonts w:ascii="Calibri" w:hAnsi="Calibri" w:cs="Calibri"/>
                <w:color w:val="000000"/>
                <w:sz w:val="24"/>
                <w:szCs w:val="24"/>
              </w:rPr>
              <w:t xml:space="preserve"> of raw water supplies with improved water quality</w:t>
            </w:r>
          </w:p>
        </w:tc>
        <w:tc>
          <w:tcPr>
            <w:tcW w:w="2919" w:type="pct"/>
          </w:tcPr>
          <w:p w14:paraId="21A34E5E" w14:textId="63509F46"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improving the water quality of raw water supplies</w:t>
            </w:r>
            <w:r w:rsidR="00CF6065">
              <w:rPr>
                <w:rFonts w:ascii="Calibri" w:hAnsi="Calibri" w:cs="Calibri"/>
                <w:color w:val="000000"/>
                <w:sz w:val="24"/>
                <w:szCs w:val="24"/>
              </w:rPr>
              <w:t>.</w:t>
            </w:r>
          </w:p>
        </w:tc>
        <w:tc>
          <w:tcPr>
            <w:tcW w:w="622" w:type="pct"/>
          </w:tcPr>
          <w:p w14:paraId="4D484499" w14:textId="48E631C4" w:rsidR="001B400B" w:rsidRPr="002E7A00" w:rsidRDefault="00D349F7" w:rsidP="00954233">
            <w:pPr>
              <w:pStyle w:val="TableParagraph"/>
              <w:rPr>
                <w:rFonts w:ascii="Calibri" w:hAnsi="Calibri" w:cs="Calibri"/>
                <w:sz w:val="24"/>
                <w:szCs w:val="24"/>
              </w:rPr>
            </w:pPr>
            <w:r>
              <w:rPr>
                <w:rFonts w:ascii="Calibri" w:hAnsi="Calibri" w:cs="Calibri"/>
                <w:color w:val="000000"/>
                <w:sz w:val="24"/>
                <w:szCs w:val="24"/>
              </w:rPr>
              <w:t>Number</w:t>
            </w:r>
          </w:p>
        </w:tc>
      </w:tr>
      <w:tr w:rsidR="001B400B" w:rsidRPr="002E7A00" w14:paraId="6FA15952" w14:textId="6EA26CCD" w:rsidTr="001C2041">
        <w:tc>
          <w:tcPr>
            <w:tcW w:w="420" w:type="pct"/>
          </w:tcPr>
          <w:p w14:paraId="1B4473D8" w14:textId="08F17A3C"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2.11</w:t>
            </w:r>
          </w:p>
        </w:tc>
        <w:tc>
          <w:tcPr>
            <w:tcW w:w="1039" w:type="pct"/>
          </w:tcPr>
          <w:p w14:paraId="2C1CD367" w14:textId="276831D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Event Duration Monitors (EDM) deployed</w:t>
            </w:r>
            <w:r w:rsidR="00AB4A31">
              <w:rPr>
                <w:rFonts w:ascii="Calibri" w:hAnsi="Calibri" w:cs="Calibri"/>
                <w:color w:val="000000"/>
                <w:sz w:val="24"/>
                <w:szCs w:val="24"/>
              </w:rPr>
              <w:t>*</w:t>
            </w:r>
          </w:p>
        </w:tc>
        <w:tc>
          <w:tcPr>
            <w:tcW w:w="2919" w:type="pct"/>
          </w:tcPr>
          <w:p w14:paraId="68E6D727" w14:textId="686B2C6D"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number of event duration monitors deployed (duty/standby monitors at the same point should be counted as one)</w:t>
            </w:r>
            <w:r w:rsidR="00CF6065">
              <w:rPr>
                <w:rFonts w:ascii="Calibri" w:hAnsi="Calibri" w:cs="Calibri"/>
                <w:color w:val="000000"/>
                <w:sz w:val="24"/>
                <w:szCs w:val="24"/>
              </w:rPr>
              <w:t>.</w:t>
            </w:r>
          </w:p>
        </w:tc>
        <w:tc>
          <w:tcPr>
            <w:tcW w:w="622" w:type="pct"/>
          </w:tcPr>
          <w:p w14:paraId="15EC1759" w14:textId="231C29E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7A9E7CAE" w14:textId="33EEB304" w:rsidTr="001C2041">
        <w:tc>
          <w:tcPr>
            <w:tcW w:w="420" w:type="pct"/>
          </w:tcPr>
          <w:p w14:paraId="560E9028" w14:textId="739910B2"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2.12</w:t>
            </w:r>
          </w:p>
        </w:tc>
        <w:tc>
          <w:tcPr>
            <w:tcW w:w="1039" w:type="pct"/>
          </w:tcPr>
          <w:p w14:paraId="07BD33EA" w14:textId="3BC49DB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unsatisfactory intermittent discharges (UID) improved or removed</w:t>
            </w:r>
          </w:p>
        </w:tc>
        <w:tc>
          <w:tcPr>
            <w:tcW w:w="2919" w:type="pct"/>
          </w:tcPr>
          <w:p w14:paraId="007D4246" w14:textId="774F963E"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unsatisfactory intermittent discharges (</w:t>
            </w:r>
            <w:r w:rsidR="00B75AB2" w:rsidRPr="002E7A00">
              <w:rPr>
                <w:rFonts w:ascii="Calibri" w:hAnsi="Calibri" w:cs="Calibri"/>
                <w:color w:val="000000"/>
                <w:sz w:val="24"/>
                <w:szCs w:val="24"/>
              </w:rPr>
              <w:t>UID</w:t>
            </w:r>
            <w:r w:rsidR="00970B2C">
              <w:rPr>
                <w:rFonts w:ascii="Calibri" w:hAnsi="Calibri" w:cs="Calibri"/>
                <w:color w:val="000000"/>
                <w:sz w:val="24"/>
                <w:szCs w:val="24"/>
              </w:rPr>
              <w:t>s</w:t>
            </w:r>
            <w:r w:rsidRPr="002E7A00">
              <w:rPr>
                <w:rFonts w:ascii="Calibri" w:hAnsi="Calibri" w:cs="Calibri"/>
                <w:color w:val="000000"/>
                <w:sz w:val="24"/>
                <w:szCs w:val="24"/>
              </w:rPr>
              <w:t xml:space="preserve">) improved or removed for water quality and/or </w:t>
            </w:r>
            <w:r w:rsidR="000650EB" w:rsidRPr="002E7A00">
              <w:rPr>
                <w:rFonts w:ascii="Calibri" w:hAnsi="Calibri" w:cs="Calibri"/>
                <w:color w:val="000000"/>
                <w:sz w:val="24"/>
                <w:szCs w:val="24"/>
              </w:rPr>
              <w:t>aesthetic</w:t>
            </w:r>
            <w:r w:rsidR="00970B2C">
              <w:rPr>
                <w:rFonts w:ascii="Calibri" w:hAnsi="Calibri" w:cs="Calibri"/>
                <w:color w:val="000000"/>
                <w:sz w:val="24"/>
                <w:szCs w:val="24"/>
              </w:rPr>
              <w:t xml:space="preserve"> purposes</w:t>
            </w:r>
            <w:r w:rsidR="00CF6065">
              <w:rPr>
                <w:rFonts w:ascii="Calibri" w:hAnsi="Calibri" w:cs="Calibri"/>
                <w:color w:val="000000"/>
                <w:sz w:val="24"/>
                <w:szCs w:val="24"/>
              </w:rPr>
              <w:t>.</w:t>
            </w:r>
          </w:p>
        </w:tc>
        <w:tc>
          <w:tcPr>
            <w:tcW w:w="622" w:type="pct"/>
          </w:tcPr>
          <w:p w14:paraId="2808696B" w14:textId="0A7FB525"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3EE760A7" w14:textId="528FD873" w:rsidTr="001C2041">
        <w:tc>
          <w:tcPr>
            <w:tcW w:w="420" w:type="pct"/>
          </w:tcPr>
          <w:p w14:paraId="7C396384" w14:textId="7FCDAA31"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2.13</w:t>
            </w:r>
          </w:p>
        </w:tc>
        <w:tc>
          <w:tcPr>
            <w:tcW w:w="1039" w:type="pct"/>
          </w:tcPr>
          <w:p w14:paraId="40ABB0D8" w14:textId="420FFE79" w:rsidR="001B400B" w:rsidRPr="002E7A00" w:rsidRDefault="001B400B" w:rsidP="00954233">
            <w:pPr>
              <w:pStyle w:val="TableParagraph"/>
              <w:rPr>
                <w:rFonts w:ascii="Calibri" w:hAnsi="Calibri" w:cs="Calibri"/>
                <w:sz w:val="24"/>
                <w:szCs w:val="24"/>
              </w:rPr>
            </w:pPr>
            <w:r>
              <w:rPr>
                <w:rFonts w:ascii="Calibri" w:hAnsi="Calibri" w:cs="Calibri"/>
                <w:color w:val="000000"/>
                <w:sz w:val="24"/>
                <w:szCs w:val="24"/>
              </w:rPr>
              <w:t>Number</w:t>
            </w:r>
            <w:r w:rsidRPr="002E7A00">
              <w:rPr>
                <w:rFonts w:ascii="Calibri" w:hAnsi="Calibri" w:cs="Calibri"/>
                <w:color w:val="000000"/>
                <w:sz w:val="24"/>
                <w:szCs w:val="24"/>
              </w:rPr>
              <w:t xml:space="preserve"> of sites with Water Framework Directive improvements</w:t>
            </w:r>
          </w:p>
        </w:tc>
        <w:tc>
          <w:tcPr>
            <w:tcW w:w="2919" w:type="pct"/>
          </w:tcPr>
          <w:p w14:paraId="15AC2BE8" w14:textId="51202B55"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Water Framework Directive (WFD) improvements at regulatory abstraction and impoundment sites</w:t>
            </w:r>
            <w:r w:rsidR="00CF6065">
              <w:rPr>
                <w:rFonts w:ascii="Calibri" w:hAnsi="Calibri" w:cs="Calibri"/>
                <w:color w:val="000000"/>
                <w:sz w:val="24"/>
                <w:szCs w:val="24"/>
              </w:rPr>
              <w:t>.</w:t>
            </w:r>
          </w:p>
        </w:tc>
        <w:tc>
          <w:tcPr>
            <w:tcW w:w="622" w:type="pct"/>
          </w:tcPr>
          <w:p w14:paraId="2FD14E07" w14:textId="7AA252BA" w:rsidR="001B400B" w:rsidRPr="002E7A00" w:rsidRDefault="003124E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546D58AE" w14:textId="25BE53A2" w:rsidTr="001C2041">
        <w:tc>
          <w:tcPr>
            <w:tcW w:w="420" w:type="pct"/>
          </w:tcPr>
          <w:p w14:paraId="12CE2EB0" w14:textId="29057218"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2.14</w:t>
            </w:r>
          </w:p>
        </w:tc>
        <w:tc>
          <w:tcPr>
            <w:tcW w:w="1039" w:type="pct"/>
          </w:tcPr>
          <w:p w14:paraId="0AE1D482" w14:textId="1619E3C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sites with reservoir drawdown enhancements</w:t>
            </w:r>
          </w:p>
        </w:tc>
        <w:tc>
          <w:tcPr>
            <w:tcW w:w="2919" w:type="pct"/>
          </w:tcPr>
          <w:p w14:paraId="14A2260B" w14:textId="39988D7C"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reservoir drawdown enhancements at regulatory abstraction and impoundment sites</w:t>
            </w:r>
            <w:r w:rsidR="00CF6065">
              <w:rPr>
                <w:rFonts w:ascii="Calibri" w:hAnsi="Calibri" w:cs="Calibri"/>
                <w:color w:val="000000"/>
                <w:sz w:val="24"/>
                <w:szCs w:val="24"/>
              </w:rPr>
              <w:t>.</w:t>
            </w:r>
          </w:p>
        </w:tc>
        <w:tc>
          <w:tcPr>
            <w:tcW w:w="622" w:type="pct"/>
          </w:tcPr>
          <w:p w14:paraId="4094032C" w14:textId="3A8B4DC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628C1455" w14:textId="2B40AFA9" w:rsidTr="001C2041">
        <w:tc>
          <w:tcPr>
            <w:tcW w:w="420" w:type="pct"/>
          </w:tcPr>
          <w:p w14:paraId="17582447" w14:textId="001CB700"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2.15</w:t>
            </w:r>
          </w:p>
        </w:tc>
        <w:tc>
          <w:tcPr>
            <w:tcW w:w="1039" w:type="pct"/>
          </w:tcPr>
          <w:p w14:paraId="2B748605" w14:textId="7A44B3AB"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Increase in renewable energy generated</w:t>
            </w:r>
          </w:p>
        </w:tc>
        <w:tc>
          <w:tcPr>
            <w:tcW w:w="2919" w:type="pct"/>
          </w:tcPr>
          <w:p w14:paraId="30463992" w14:textId="564CFAE8"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increased renewable energy generation</w:t>
            </w:r>
            <w:r w:rsidR="00CF6065">
              <w:rPr>
                <w:rFonts w:ascii="Calibri" w:hAnsi="Calibri" w:cs="Calibri"/>
                <w:color w:val="000000"/>
                <w:sz w:val="24"/>
                <w:szCs w:val="24"/>
              </w:rPr>
              <w:t>.</w:t>
            </w:r>
          </w:p>
        </w:tc>
        <w:tc>
          <w:tcPr>
            <w:tcW w:w="622" w:type="pct"/>
          </w:tcPr>
          <w:p w14:paraId="7535580D" w14:textId="0D33C5C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GWh / Annum</w:t>
            </w:r>
          </w:p>
        </w:tc>
      </w:tr>
      <w:tr w:rsidR="001B400B" w:rsidRPr="002E7A00" w14:paraId="029D1577" w14:textId="368BF886" w:rsidTr="001C2041">
        <w:tc>
          <w:tcPr>
            <w:tcW w:w="420" w:type="pct"/>
          </w:tcPr>
          <w:p w14:paraId="6D968478" w14:textId="29C6DAE9"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A76DE6" w:rsidRPr="002E7A00">
              <w:rPr>
                <w:rFonts w:ascii="Calibri" w:hAnsi="Calibri" w:cs="Calibri"/>
                <w:sz w:val="24"/>
                <w:szCs w:val="24"/>
              </w:rPr>
              <w:t>1</w:t>
            </w:r>
            <w:r w:rsidR="00A76DE6">
              <w:rPr>
                <w:rFonts w:ascii="Calibri" w:hAnsi="Calibri" w:cs="Calibri"/>
                <w:sz w:val="24"/>
                <w:szCs w:val="24"/>
              </w:rPr>
              <w:t>6</w:t>
            </w:r>
          </w:p>
        </w:tc>
        <w:tc>
          <w:tcPr>
            <w:tcW w:w="1039" w:type="pct"/>
          </w:tcPr>
          <w:p w14:paraId="4264F26B" w14:textId="1E7453C8" w:rsidR="001B400B" w:rsidRPr="002E7A00" w:rsidRDefault="001B400B" w:rsidP="00954233">
            <w:pPr>
              <w:pStyle w:val="TableParagraph"/>
              <w:rPr>
                <w:rFonts w:ascii="Calibri" w:hAnsi="Calibri" w:cs="Calibri"/>
                <w:sz w:val="24"/>
                <w:szCs w:val="24"/>
              </w:rPr>
            </w:pPr>
            <w:r w:rsidRPr="008E124A">
              <w:rPr>
                <w:rFonts w:ascii="Calibri" w:hAnsi="Calibri" w:cs="Calibri"/>
                <w:color w:val="000000"/>
                <w:sz w:val="24"/>
                <w:szCs w:val="24"/>
              </w:rPr>
              <w:t>Population equivalent</w:t>
            </w:r>
            <w:r>
              <w:rPr>
                <w:rFonts w:ascii="Calibri" w:hAnsi="Calibri" w:cs="Calibri"/>
                <w:color w:val="000000"/>
                <w:sz w:val="24"/>
                <w:szCs w:val="24"/>
              </w:rPr>
              <w:t xml:space="preserve"> </w:t>
            </w:r>
            <w:r w:rsidRPr="002E7A00">
              <w:rPr>
                <w:rFonts w:ascii="Calibri" w:hAnsi="Calibri" w:cs="Calibri"/>
                <w:color w:val="000000"/>
                <w:sz w:val="24"/>
                <w:szCs w:val="24"/>
              </w:rPr>
              <w:t>of</w:t>
            </w:r>
            <w:r w:rsidRPr="002E7A00" w:rsidDel="00A70645">
              <w:rPr>
                <w:rFonts w:ascii="Calibri" w:hAnsi="Calibri" w:cs="Calibri"/>
                <w:color w:val="000000"/>
                <w:sz w:val="24"/>
                <w:szCs w:val="24"/>
              </w:rPr>
              <w:t xml:space="preserve"> </w:t>
            </w:r>
            <w:r w:rsidR="00A70645" w:rsidRPr="002E7A00">
              <w:rPr>
                <w:rFonts w:ascii="Calibri" w:hAnsi="Calibri" w:cs="Calibri"/>
                <w:color w:val="000000"/>
                <w:sz w:val="24"/>
                <w:szCs w:val="24"/>
              </w:rPr>
              <w:t>W</w:t>
            </w:r>
            <w:r w:rsidR="00C76C94">
              <w:rPr>
                <w:rFonts w:ascii="Calibri" w:hAnsi="Calibri" w:cs="Calibri"/>
                <w:color w:val="000000"/>
                <w:sz w:val="24"/>
                <w:szCs w:val="24"/>
              </w:rPr>
              <w:t>W</w:t>
            </w:r>
            <w:r w:rsidR="00A70645" w:rsidRPr="002E7A00">
              <w:rPr>
                <w:rFonts w:ascii="Calibri" w:hAnsi="Calibri" w:cs="Calibri"/>
                <w:color w:val="000000"/>
                <w:sz w:val="24"/>
                <w:szCs w:val="24"/>
              </w:rPr>
              <w:t>TW</w:t>
            </w:r>
            <w:r w:rsidRPr="002E7A00">
              <w:rPr>
                <w:rFonts w:ascii="Calibri" w:hAnsi="Calibri" w:cs="Calibri"/>
                <w:color w:val="000000"/>
                <w:sz w:val="24"/>
                <w:szCs w:val="24"/>
              </w:rPr>
              <w:t xml:space="preserve"> sites with </w:t>
            </w:r>
            <w:r w:rsidR="00611319">
              <w:rPr>
                <w:rFonts w:ascii="Calibri" w:hAnsi="Calibri" w:cs="Calibri"/>
                <w:color w:val="000000"/>
                <w:sz w:val="24"/>
                <w:szCs w:val="24"/>
              </w:rPr>
              <w:t>e</w:t>
            </w:r>
            <w:r w:rsidRPr="002E7A00">
              <w:rPr>
                <w:rFonts w:ascii="Calibri" w:hAnsi="Calibri" w:cs="Calibri"/>
                <w:color w:val="000000"/>
                <w:sz w:val="24"/>
                <w:szCs w:val="24"/>
              </w:rPr>
              <w:t xml:space="preserve">nvironmental </w:t>
            </w:r>
            <w:r w:rsidR="00611319">
              <w:rPr>
                <w:rFonts w:ascii="Calibri" w:hAnsi="Calibri" w:cs="Calibri"/>
                <w:color w:val="000000"/>
                <w:sz w:val="24"/>
                <w:szCs w:val="24"/>
              </w:rPr>
              <w:t>p</w:t>
            </w:r>
            <w:r w:rsidRPr="002E7A00">
              <w:rPr>
                <w:rFonts w:ascii="Calibri" w:hAnsi="Calibri" w:cs="Calibri"/>
                <w:color w:val="000000"/>
                <w:sz w:val="24"/>
                <w:szCs w:val="24"/>
              </w:rPr>
              <w:t>ollution risk reduced</w:t>
            </w:r>
          </w:p>
        </w:tc>
        <w:tc>
          <w:tcPr>
            <w:tcW w:w="2919" w:type="pct"/>
          </w:tcPr>
          <w:p w14:paraId="35B4D268" w14:textId="46163536"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reductions in environmental pollution risk at </w:t>
            </w:r>
            <w:r w:rsidR="004B744B">
              <w:rPr>
                <w:rFonts w:ascii="Calibri" w:hAnsi="Calibri" w:cs="Calibri"/>
                <w:color w:val="000000"/>
                <w:sz w:val="24"/>
                <w:szCs w:val="24"/>
              </w:rPr>
              <w:t>wastewater treatment work (</w:t>
            </w:r>
            <w:r w:rsidRPr="002E7A00">
              <w:rPr>
                <w:rFonts w:ascii="Calibri" w:hAnsi="Calibri" w:cs="Calibri"/>
                <w:color w:val="000000"/>
                <w:sz w:val="24"/>
                <w:szCs w:val="24"/>
              </w:rPr>
              <w:t>WwTW</w:t>
            </w:r>
            <w:r w:rsidR="004B744B">
              <w:rPr>
                <w:rFonts w:ascii="Calibri" w:hAnsi="Calibri" w:cs="Calibri"/>
                <w:color w:val="000000"/>
                <w:sz w:val="24"/>
                <w:szCs w:val="24"/>
              </w:rPr>
              <w:t>)</w:t>
            </w:r>
            <w:r w:rsidRPr="002E7A00">
              <w:rPr>
                <w:rFonts w:ascii="Calibri" w:hAnsi="Calibri" w:cs="Calibri"/>
                <w:color w:val="000000"/>
                <w:sz w:val="24"/>
                <w:szCs w:val="24"/>
              </w:rPr>
              <w:t xml:space="preserve"> sites</w:t>
            </w:r>
            <w:r w:rsidR="00CF6065">
              <w:rPr>
                <w:rFonts w:ascii="Calibri" w:hAnsi="Calibri" w:cs="Calibri"/>
                <w:color w:val="000000"/>
                <w:sz w:val="24"/>
                <w:szCs w:val="24"/>
              </w:rPr>
              <w:t>.</w:t>
            </w:r>
          </w:p>
        </w:tc>
        <w:tc>
          <w:tcPr>
            <w:tcW w:w="622" w:type="pct"/>
          </w:tcPr>
          <w:p w14:paraId="6E81F112" w14:textId="0295A6E7"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659B3CF1" w14:textId="63F0BE80" w:rsidTr="001C2041">
        <w:tc>
          <w:tcPr>
            <w:tcW w:w="420" w:type="pct"/>
          </w:tcPr>
          <w:p w14:paraId="670495BF" w14:textId="6FBED155"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A76DE6" w:rsidRPr="002E7A00">
              <w:rPr>
                <w:rFonts w:ascii="Calibri" w:hAnsi="Calibri" w:cs="Calibri"/>
                <w:sz w:val="24"/>
                <w:szCs w:val="24"/>
              </w:rPr>
              <w:t>1</w:t>
            </w:r>
            <w:r w:rsidR="00A76DE6">
              <w:rPr>
                <w:rFonts w:ascii="Calibri" w:hAnsi="Calibri" w:cs="Calibri"/>
                <w:sz w:val="24"/>
                <w:szCs w:val="24"/>
              </w:rPr>
              <w:t>7</w:t>
            </w:r>
          </w:p>
        </w:tc>
        <w:tc>
          <w:tcPr>
            <w:tcW w:w="1039" w:type="pct"/>
          </w:tcPr>
          <w:p w14:paraId="35F1A564" w14:textId="7B3FA06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Area of carbon capture sites established or supported</w:t>
            </w:r>
          </w:p>
        </w:tc>
        <w:tc>
          <w:tcPr>
            <w:tcW w:w="2919" w:type="pct"/>
          </w:tcPr>
          <w:p w14:paraId="1262C17A" w14:textId="6800DEF3"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carbon capture sites established or supported</w:t>
            </w:r>
            <w:r w:rsidR="00CF6065">
              <w:rPr>
                <w:rFonts w:ascii="Calibri" w:hAnsi="Calibri" w:cs="Calibri"/>
                <w:color w:val="000000"/>
                <w:sz w:val="24"/>
                <w:szCs w:val="24"/>
              </w:rPr>
              <w:t>.</w:t>
            </w:r>
          </w:p>
        </w:tc>
        <w:tc>
          <w:tcPr>
            <w:tcW w:w="622" w:type="pct"/>
          </w:tcPr>
          <w:p w14:paraId="2812A56E" w14:textId="55B5ADE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Hectares</w:t>
            </w:r>
          </w:p>
        </w:tc>
      </w:tr>
      <w:tr w:rsidR="001B400B" w:rsidRPr="002E7A00" w14:paraId="3A4B875F" w14:textId="0C787A8C" w:rsidTr="001C2041">
        <w:tc>
          <w:tcPr>
            <w:tcW w:w="420" w:type="pct"/>
          </w:tcPr>
          <w:p w14:paraId="3267B906" w14:textId="06719422"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603E7" w:rsidRPr="002E7A00">
              <w:rPr>
                <w:rFonts w:ascii="Calibri" w:hAnsi="Calibri" w:cs="Calibri"/>
                <w:sz w:val="24"/>
                <w:szCs w:val="24"/>
              </w:rPr>
              <w:t>1</w:t>
            </w:r>
            <w:r w:rsidR="00C603E7">
              <w:rPr>
                <w:rFonts w:ascii="Calibri" w:hAnsi="Calibri" w:cs="Calibri"/>
                <w:sz w:val="24"/>
                <w:szCs w:val="24"/>
              </w:rPr>
              <w:t>8</w:t>
            </w:r>
          </w:p>
        </w:tc>
        <w:tc>
          <w:tcPr>
            <w:tcW w:w="1039" w:type="pct"/>
          </w:tcPr>
          <w:p w14:paraId="5031E150" w14:textId="4E4C7F5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sludge treatment centres achieving compliance with Industrial Emissions Directive</w:t>
            </w:r>
          </w:p>
        </w:tc>
        <w:tc>
          <w:tcPr>
            <w:tcW w:w="2919" w:type="pct"/>
          </w:tcPr>
          <w:p w14:paraId="249D9481" w14:textId="275DC550"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achieving compliance with the Industrial Emissions Directive (IED) at sludge treatment centres through compliance actions plans</w:t>
            </w:r>
            <w:r w:rsidR="00CF6065">
              <w:rPr>
                <w:rFonts w:ascii="Calibri" w:hAnsi="Calibri" w:cs="Calibri"/>
                <w:color w:val="000000"/>
                <w:sz w:val="24"/>
                <w:szCs w:val="24"/>
              </w:rPr>
              <w:t>.</w:t>
            </w:r>
          </w:p>
        </w:tc>
        <w:tc>
          <w:tcPr>
            <w:tcW w:w="622" w:type="pct"/>
          </w:tcPr>
          <w:p w14:paraId="702756C8" w14:textId="5E1D9A57"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7BC1EBDA" w14:textId="6A9F96A0" w:rsidTr="001C2041">
        <w:trPr>
          <w:trHeight w:val="915"/>
        </w:trPr>
        <w:tc>
          <w:tcPr>
            <w:tcW w:w="420" w:type="pct"/>
          </w:tcPr>
          <w:p w14:paraId="459D2CDC" w14:textId="67BE2623"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603E7">
              <w:rPr>
                <w:rFonts w:ascii="Calibri" w:hAnsi="Calibri" w:cs="Calibri"/>
                <w:sz w:val="24"/>
                <w:szCs w:val="24"/>
              </w:rPr>
              <w:t>19</w:t>
            </w:r>
          </w:p>
        </w:tc>
        <w:tc>
          <w:tcPr>
            <w:tcW w:w="1039" w:type="pct"/>
          </w:tcPr>
          <w:p w14:paraId="39CECF09" w14:textId="6450F54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Reduction in energy usage through improved energy efficiency</w:t>
            </w:r>
          </w:p>
        </w:tc>
        <w:tc>
          <w:tcPr>
            <w:tcW w:w="2919" w:type="pct"/>
          </w:tcPr>
          <w:p w14:paraId="4DE96150" w14:textId="41198255"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a reduction in operational energy usage through improved energy efficiency</w:t>
            </w:r>
            <w:r w:rsidR="00CF6065">
              <w:rPr>
                <w:rFonts w:ascii="Calibri" w:hAnsi="Calibri" w:cs="Calibri"/>
                <w:color w:val="000000"/>
                <w:sz w:val="24"/>
                <w:szCs w:val="24"/>
              </w:rPr>
              <w:t>.</w:t>
            </w:r>
          </w:p>
        </w:tc>
        <w:tc>
          <w:tcPr>
            <w:tcW w:w="622" w:type="pct"/>
          </w:tcPr>
          <w:p w14:paraId="77F11955" w14:textId="30B6D7B2"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GWh / Annum</w:t>
            </w:r>
          </w:p>
        </w:tc>
      </w:tr>
      <w:tr w:rsidR="001B400B" w:rsidRPr="002E7A00" w14:paraId="59FC1DB3" w14:textId="78DC2DD8" w:rsidTr="001C2041">
        <w:tc>
          <w:tcPr>
            <w:tcW w:w="420" w:type="pct"/>
          </w:tcPr>
          <w:p w14:paraId="1FB12544" w14:textId="04C9FE63"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072CFD" w:rsidRPr="002E7A00">
              <w:rPr>
                <w:rFonts w:ascii="Calibri" w:hAnsi="Calibri" w:cs="Calibri"/>
                <w:sz w:val="24"/>
                <w:szCs w:val="24"/>
              </w:rPr>
              <w:t>2</w:t>
            </w:r>
            <w:r w:rsidR="00C603E7">
              <w:rPr>
                <w:rFonts w:ascii="Calibri" w:hAnsi="Calibri" w:cs="Calibri"/>
                <w:sz w:val="24"/>
                <w:szCs w:val="24"/>
              </w:rPr>
              <w:t>0</w:t>
            </w:r>
          </w:p>
        </w:tc>
        <w:tc>
          <w:tcPr>
            <w:tcW w:w="1039" w:type="pct"/>
          </w:tcPr>
          <w:p w14:paraId="69EF75C5" w14:textId="10DE155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 xml:space="preserve">Number of properties where persistent low pressure is </w:t>
            </w:r>
            <w:r w:rsidRPr="002E7A00">
              <w:rPr>
                <w:rFonts w:ascii="Calibri" w:hAnsi="Calibri" w:cs="Calibri"/>
                <w:color w:val="000000"/>
                <w:sz w:val="24"/>
                <w:szCs w:val="24"/>
              </w:rPr>
              <w:lastRenderedPageBreak/>
              <w:t>resolved</w:t>
            </w:r>
          </w:p>
        </w:tc>
        <w:tc>
          <w:tcPr>
            <w:tcW w:w="2919" w:type="pct"/>
          </w:tcPr>
          <w:p w14:paraId="2285FF21" w14:textId="25841D00"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lastRenderedPageBreak/>
              <w:t xml:space="preserve">Outputs and expenditure associated with resolving persistent low pressure at </w:t>
            </w:r>
            <w:r w:rsidRPr="002E7A00">
              <w:rPr>
                <w:rFonts w:ascii="Calibri" w:hAnsi="Calibri" w:cs="Calibri"/>
                <w:color w:val="000000"/>
                <w:sz w:val="24"/>
                <w:szCs w:val="24"/>
              </w:rPr>
              <w:lastRenderedPageBreak/>
              <w:t>properties</w:t>
            </w:r>
            <w:r w:rsidR="00CF6065">
              <w:rPr>
                <w:rFonts w:ascii="Calibri" w:hAnsi="Calibri" w:cs="Calibri"/>
                <w:color w:val="000000"/>
                <w:sz w:val="24"/>
                <w:szCs w:val="24"/>
              </w:rPr>
              <w:t>.</w:t>
            </w:r>
          </w:p>
        </w:tc>
        <w:tc>
          <w:tcPr>
            <w:tcW w:w="622" w:type="pct"/>
          </w:tcPr>
          <w:p w14:paraId="3E5DDF42" w14:textId="717D843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Number</w:t>
            </w:r>
          </w:p>
        </w:tc>
      </w:tr>
      <w:tr w:rsidR="001B400B" w:rsidRPr="002E7A00" w14:paraId="702241EF" w14:textId="16C1D671" w:rsidTr="001C2041">
        <w:tc>
          <w:tcPr>
            <w:tcW w:w="420" w:type="pct"/>
          </w:tcPr>
          <w:p w14:paraId="59A25791" w14:textId="5430BE22"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072CFD" w:rsidRPr="002E7A00">
              <w:rPr>
                <w:rFonts w:ascii="Calibri" w:hAnsi="Calibri" w:cs="Calibri"/>
                <w:sz w:val="24"/>
                <w:szCs w:val="24"/>
              </w:rPr>
              <w:t>2</w:t>
            </w:r>
            <w:r w:rsidR="00C603E7">
              <w:rPr>
                <w:rFonts w:ascii="Calibri" w:hAnsi="Calibri" w:cs="Calibri"/>
                <w:sz w:val="24"/>
                <w:szCs w:val="24"/>
              </w:rPr>
              <w:t>1</w:t>
            </w:r>
          </w:p>
        </w:tc>
        <w:tc>
          <w:tcPr>
            <w:tcW w:w="1039" w:type="pct"/>
          </w:tcPr>
          <w:p w14:paraId="44063E93" w14:textId="32E6343A"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 with reduced risk of flooding from mains</w:t>
            </w:r>
          </w:p>
        </w:tc>
        <w:tc>
          <w:tcPr>
            <w:tcW w:w="2919" w:type="pct"/>
          </w:tcPr>
          <w:p w14:paraId="3E9B72A2" w14:textId="6B69D910"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Pr="002E7A00">
              <w:rPr>
                <w:sz w:val="24"/>
                <w:szCs w:val="24"/>
              </w:rPr>
              <w:t xml:space="preserve"> </w:t>
            </w:r>
            <w:r w:rsidRPr="002E7A00">
              <w:rPr>
                <w:rFonts w:ascii="Calibri" w:hAnsi="Calibri" w:cs="Calibri"/>
                <w:color w:val="000000"/>
                <w:sz w:val="24"/>
                <w:szCs w:val="24"/>
              </w:rPr>
              <w:t>interventions to reduce the risk of flooding from mains</w:t>
            </w:r>
            <w:r w:rsidR="00CF6065">
              <w:rPr>
                <w:rFonts w:ascii="Calibri" w:hAnsi="Calibri" w:cs="Calibri"/>
                <w:color w:val="000000"/>
                <w:sz w:val="24"/>
                <w:szCs w:val="24"/>
              </w:rPr>
              <w:t>.</w:t>
            </w:r>
          </w:p>
        </w:tc>
        <w:tc>
          <w:tcPr>
            <w:tcW w:w="622" w:type="pct"/>
          </w:tcPr>
          <w:p w14:paraId="6B87887E" w14:textId="7745B61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w:t>
            </w:r>
          </w:p>
        </w:tc>
      </w:tr>
      <w:tr w:rsidR="001B400B" w:rsidRPr="002E7A00" w14:paraId="33A12EF5" w14:textId="017F8BC1" w:rsidTr="001C2041">
        <w:tc>
          <w:tcPr>
            <w:tcW w:w="420" w:type="pct"/>
          </w:tcPr>
          <w:p w14:paraId="188B2190" w14:textId="6CFAF198"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072CFD" w:rsidRPr="002E7A00">
              <w:rPr>
                <w:rFonts w:ascii="Calibri" w:hAnsi="Calibri" w:cs="Calibri"/>
                <w:sz w:val="24"/>
                <w:szCs w:val="24"/>
              </w:rPr>
              <w:t>2</w:t>
            </w:r>
            <w:r w:rsidR="00D90008">
              <w:rPr>
                <w:rFonts w:ascii="Calibri" w:hAnsi="Calibri" w:cs="Calibri"/>
                <w:sz w:val="24"/>
                <w:szCs w:val="24"/>
              </w:rPr>
              <w:t>2</w:t>
            </w:r>
          </w:p>
        </w:tc>
        <w:tc>
          <w:tcPr>
            <w:tcW w:w="1039" w:type="pct"/>
          </w:tcPr>
          <w:p w14:paraId="2C935ABE" w14:textId="446E6BB0"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 with improved resilience of water supply</w:t>
            </w:r>
          </w:p>
        </w:tc>
        <w:tc>
          <w:tcPr>
            <w:tcW w:w="2919" w:type="pct"/>
          </w:tcPr>
          <w:p w14:paraId="2C0D052A" w14:textId="3E674E8E"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improving the resilience of the water supply</w:t>
            </w:r>
            <w:r w:rsidR="00CF6065">
              <w:rPr>
                <w:rFonts w:ascii="Calibri" w:hAnsi="Calibri" w:cs="Calibri"/>
                <w:color w:val="000000"/>
                <w:sz w:val="24"/>
                <w:szCs w:val="24"/>
              </w:rPr>
              <w:t>.</w:t>
            </w:r>
          </w:p>
        </w:tc>
        <w:tc>
          <w:tcPr>
            <w:tcW w:w="622" w:type="pct"/>
          </w:tcPr>
          <w:p w14:paraId="789894E8" w14:textId="4867DCF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w:t>
            </w:r>
          </w:p>
        </w:tc>
      </w:tr>
      <w:tr w:rsidR="001B400B" w:rsidRPr="002E7A00" w14:paraId="2D1F474D" w14:textId="16C71B56" w:rsidTr="001C2041">
        <w:tc>
          <w:tcPr>
            <w:tcW w:w="420" w:type="pct"/>
          </w:tcPr>
          <w:p w14:paraId="1DEFA267" w14:textId="72134CDA"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D90008" w:rsidRPr="002E7A00">
              <w:rPr>
                <w:rFonts w:ascii="Calibri" w:hAnsi="Calibri" w:cs="Calibri"/>
                <w:sz w:val="24"/>
                <w:szCs w:val="24"/>
              </w:rPr>
              <w:t>2</w:t>
            </w:r>
            <w:r w:rsidR="00D90008">
              <w:rPr>
                <w:rFonts w:ascii="Calibri" w:hAnsi="Calibri" w:cs="Calibri"/>
                <w:sz w:val="24"/>
                <w:szCs w:val="24"/>
              </w:rPr>
              <w:t>3</w:t>
            </w:r>
          </w:p>
        </w:tc>
        <w:tc>
          <w:tcPr>
            <w:tcW w:w="1039" w:type="pct"/>
          </w:tcPr>
          <w:p w14:paraId="0D3609DC" w14:textId="5B2617E0"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 removed from internal flooding at risk register</w:t>
            </w:r>
          </w:p>
        </w:tc>
        <w:tc>
          <w:tcPr>
            <w:tcW w:w="2919" w:type="pct"/>
          </w:tcPr>
          <w:p w14:paraId="5851C3DE" w14:textId="23A79746" w:rsidR="001B400B" w:rsidRPr="002E7A00" w:rsidRDefault="001B400B" w:rsidP="00D07A1C">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t>Outputs and expenditure associated with removing properties from internal flooding at risk register.</w:t>
            </w:r>
          </w:p>
          <w:p w14:paraId="6D24F87D" w14:textId="4F7415A9"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Do not include properties or expenditure associated with temporary internal flood prevention measures.</w:t>
            </w:r>
          </w:p>
        </w:tc>
        <w:tc>
          <w:tcPr>
            <w:tcW w:w="622" w:type="pct"/>
          </w:tcPr>
          <w:p w14:paraId="6630EF5E" w14:textId="53958BC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5E9C99BA" w14:textId="435E36E7" w:rsidTr="001C2041">
        <w:tc>
          <w:tcPr>
            <w:tcW w:w="420" w:type="pct"/>
          </w:tcPr>
          <w:p w14:paraId="74C66929" w14:textId="6978321E"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D90008" w:rsidRPr="002E7A00">
              <w:rPr>
                <w:rFonts w:ascii="Calibri" w:hAnsi="Calibri" w:cs="Calibri"/>
                <w:sz w:val="24"/>
                <w:szCs w:val="24"/>
              </w:rPr>
              <w:t>2</w:t>
            </w:r>
            <w:r w:rsidR="00D90008">
              <w:rPr>
                <w:rFonts w:ascii="Calibri" w:hAnsi="Calibri" w:cs="Calibri"/>
                <w:sz w:val="24"/>
                <w:szCs w:val="24"/>
              </w:rPr>
              <w:t>4</w:t>
            </w:r>
          </w:p>
        </w:tc>
        <w:tc>
          <w:tcPr>
            <w:tcW w:w="1039" w:type="pct"/>
          </w:tcPr>
          <w:p w14:paraId="7ABD3C02" w14:textId="5F6EDD8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 of properties removed from external flooding at risk register</w:t>
            </w:r>
          </w:p>
        </w:tc>
        <w:tc>
          <w:tcPr>
            <w:tcW w:w="2919" w:type="pct"/>
          </w:tcPr>
          <w:p w14:paraId="48B40B24" w14:textId="0B3D1B67"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removing properties from external flooding at risk register</w:t>
            </w:r>
            <w:r w:rsidR="00CF6065">
              <w:rPr>
                <w:rFonts w:ascii="Calibri" w:hAnsi="Calibri" w:cs="Calibri"/>
                <w:color w:val="000000"/>
                <w:sz w:val="24"/>
                <w:szCs w:val="24"/>
              </w:rPr>
              <w:t>.</w:t>
            </w:r>
          </w:p>
        </w:tc>
        <w:tc>
          <w:tcPr>
            <w:tcW w:w="622" w:type="pct"/>
          </w:tcPr>
          <w:p w14:paraId="1BFCF2D7" w14:textId="2B206880"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0ED26439" w14:textId="051799A6" w:rsidTr="001C2041">
        <w:tc>
          <w:tcPr>
            <w:tcW w:w="420" w:type="pct"/>
          </w:tcPr>
          <w:p w14:paraId="2CBCFA7D" w14:textId="43278A88"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7C424A" w:rsidRPr="002E7A00">
              <w:rPr>
                <w:rFonts w:ascii="Calibri" w:hAnsi="Calibri" w:cs="Calibri"/>
                <w:sz w:val="24"/>
                <w:szCs w:val="24"/>
              </w:rPr>
              <w:t>2</w:t>
            </w:r>
            <w:r w:rsidR="007C424A">
              <w:rPr>
                <w:rFonts w:ascii="Calibri" w:hAnsi="Calibri" w:cs="Calibri"/>
                <w:sz w:val="24"/>
                <w:szCs w:val="24"/>
              </w:rPr>
              <w:t>5</w:t>
            </w:r>
          </w:p>
        </w:tc>
        <w:tc>
          <w:tcPr>
            <w:tcW w:w="1039" w:type="pct"/>
          </w:tcPr>
          <w:p w14:paraId="68E24B4C" w14:textId="3B34F56F"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Number of sites enabled for community access</w:t>
            </w:r>
          </w:p>
        </w:tc>
        <w:tc>
          <w:tcPr>
            <w:tcW w:w="2919" w:type="pct"/>
          </w:tcPr>
          <w:p w14:paraId="4C6FA429" w14:textId="44A07100"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enabling sites for community access</w:t>
            </w:r>
            <w:r w:rsidR="00CF6065">
              <w:rPr>
                <w:rFonts w:ascii="Calibri" w:hAnsi="Calibri" w:cs="Calibri"/>
                <w:color w:val="000000"/>
                <w:sz w:val="24"/>
                <w:szCs w:val="24"/>
              </w:rPr>
              <w:t>.</w:t>
            </w:r>
          </w:p>
        </w:tc>
        <w:tc>
          <w:tcPr>
            <w:tcW w:w="622" w:type="pct"/>
          </w:tcPr>
          <w:p w14:paraId="147F38EA" w14:textId="1555BF1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6E6AA587" w14:textId="65AA5B73" w:rsidTr="001C2041">
        <w:tc>
          <w:tcPr>
            <w:tcW w:w="420" w:type="pct"/>
          </w:tcPr>
          <w:p w14:paraId="4DB0774A" w14:textId="5EFA50E1"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7C424A" w:rsidRPr="002E7A00">
              <w:rPr>
                <w:rFonts w:ascii="Calibri" w:hAnsi="Calibri" w:cs="Calibri"/>
                <w:sz w:val="24"/>
                <w:szCs w:val="24"/>
              </w:rPr>
              <w:t>2</w:t>
            </w:r>
            <w:r w:rsidR="007C424A">
              <w:rPr>
                <w:rFonts w:ascii="Calibri" w:hAnsi="Calibri" w:cs="Calibri"/>
                <w:sz w:val="24"/>
                <w:szCs w:val="24"/>
              </w:rPr>
              <w:t>6</w:t>
            </w:r>
          </w:p>
        </w:tc>
        <w:tc>
          <w:tcPr>
            <w:tcW w:w="1039" w:type="pct"/>
          </w:tcPr>
          <w:p w14:paraId="05DD3458" w14:textId="79B86D0D"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Number of new top-up-from-the-tap points</w:t>
            </w:r>
          </w:p>
        </w:tc>
        <w:tc>
          <w:tcPr>
            <w:tcW w:w="2919" w:type="pct"/>
          </w:tcPr>
          <w:p w14:paraId="122DBB02" w14:textId="4FE53CB4"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new top-up-from-the-tap points</w:t>
            </w:r>
            <w:r w:rsidR="00CF6065">
              <w:rPr>
                <w:rFonts w:ascii="Calibri" w:hAnsi="Calibri" w:cs="Calibri"/>
                <w:color w:val="000000"/>
                <w:sz w:val="24"/>
                <w:szCs w:val="24"/>
              </w:rPr>
              <w:t>.</w:t>
            </w:r>
          </w:p>
        </w:tc>
        <w:tc>
          <w:tcPr>
            <w:tcW w:w="622" w:type="pct"/>
          </w:tcPr>
          <w:p w14:paraId="47DAA767" w14:textId="15914906"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51067DD6" w14:textId="2221DC3D" w:rsidTr="001C2041">
        <w:tc>
          <w:tcPr>
            <w:tcW w:w="420" w:type="pct"/>
          </w:tcPr>
          <w:p w14:paraId="0C5D2F3F" w14:textId="43FDC0E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7C424A" w:rsidRPr="002E7A00">
              <w:rPr>
                <w:rFonts w:ascii="Calibri" w:hAnsi="Calibri" w:cs="Calibri"/>
                <w:sz w:val="24"/>
                <w:szCs w:val="24"/>
              </w:rPr>
              <w:t>2</w:t>
            </w:r>
            <w:r w:rsidR="007C424A">
              <w:rPr>
                <w:rFonts w:ascii="Calibri" w:hAnsi="Calibri" w:cs="Calibri"/>
                <w:sz w:val="24"/>
                <w:szCs w:val="24"/>
              </w:rPr>
              <w:t>7</w:t>
            </w:r>
          </w:p>
        </w:tc>
        <w:tc>
          <w:tcPr>
            <w:tcW w:w="1039" w:type="pct"/>
          </w:tcPr>
          <w:p w14:paraId="6DEA3975" w14:textId="78DE0660"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 xml:space="preserve">Number of properties with meter installations for first time registered </w:t>
            </w:r>
            <w:r w:rsidRPr="002E7A00" w:rsidDel="003E40C5">
              <w:rPr>
                <w:rFonts w:ascii="Calibri" w:hAnsi="Calibri" w:cs="Calibri"/>
                <w:color w:val="000000"/>
                <w:sz w:val="24"/>
                <w:szCs w:val="24"/>
              </w:rPr>
              <w:t>non</w:t>
            </w:r>
            <w:r w:rsidRPr="002E7A00">
              <w:rPr>
                <w:rFonts w:ascii="Calibri" w:hAnsi="Calibri" w:cs="Calibri"/>
                <w:color w:val="000000"/>
                <w:sz w:val="24"/>
                <w:szCs w:val="24"/>
              </w:rPr>
              <w:t>-domestic premises</w:t>
            </w:r>
          </w:p>
        </w:tc>
        <w:tc>
          <w:tcPr>
            <w:tcW w:w="2919" w:type="pct"/>
          </w:tcPr>
          <w:p w14:paraId="4DAB38D6" w14:textId="0B5ABF3A"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meter installations for first time registered </w:t>
            </w:r>
            <w:r w:rsidRPr="002E7A00" w:rsidDel="003E40C5">
              <w:rPr>
                <w:rFonts w:ascii="Calibri" w:hAnsi="Calibri" w:cs="Calibri"/>
                <w:color w:val="000000"/>
                <w:sz w:val="24"/>
                <w:szCs w:val="24"/>
              </w:rPr>
              <w:t>non</w:t>
            </w:r>
            <w:r w:rsidRPr="002E7A00">
              <w:rPr>
                <w:rFonts w:ascii="Calibri" w:hAnsi="Calibri" w:cs="Calibri"/>
                <w:color w:val="000000"/>
                <w:sz w:val="24"/>
                <w:szCs w:val="24"/>
              </w:rPr>
              <w:t>-domestic premises</w:t>
            </w:r>
            <w:r w:rsidR="00CF6065">
              <w:rPr>
                <w:rFonts w:ascii="Calibri" w:hAnsi="Calibri" w:cs="Calibri"/>
                <w:color w:val="000000"/>
                <w:sz w:val="24"/>
                <w:szCs w:val="24"/>
              </w:rPr>
              <w:t>.</w:t>
            </w:r>
          </w:p>
        </w:tc>
        <w:tc>
          <w:tcPr>
            <w:tcW w:w="622" w:type="pct"/>
          </w:tcPr>
          <w:p w14:paraId="5329A603" w14:textId="01AB3956"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55346D55" w14:textId="3AB60CAE" w:rsidTr="001C2041">
        <w:tc>
          <w:tcPr>
            <w:tcW w:w="420" w:type="pct"/>
          </w:tcPr>
          <w:p w14:paraId="0BA8FC95" w14:textId="78A7945F"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w:t>
            </w:r>
            <w:r w:rsidR="00860F34" w:rsidRPr="002E7A00">
              <w:rPr>
                <w:rFonts w:ascii="Calibri" w:hAnsi="Calibri" w:cs="Calibri"/>
                <w:sz w:val="24"/>
                <w:szCs w:val="24"/>
              </w:rPr>
              <w:t>2</w:t>
            </w:r>
            <w:r w:rsidR="00860F34">
              <w:rPr>
                <w:rFonts w:ascii="Calibri" w:hAnsi="Calibri" w:cs="Calibri"/>
                <w:sz w:val="24"/>
                <w:szCs w:val="24"/>
              </w:rPr>
              <w:t>8</w:t>
            </w:r>
          </w:p>
        </w:tc>
        <w:tc>
          <w:tcPr>
            <w:tcW w:w="1039" w:type="pct"/>
          </w:tcPr>
          <w:p w14:paraId="6CEEA848" w14:textId="35A05EA1"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domestic smart meters installed</w:t>
            </w:r>
          </w:p>
        </w:tc>
        <w:tc>
          <w:tcPr>
            <w:tcW w:w="2919" w:type="pct"/>
          </w:tcPr>
          <w:p w14:paraId="1ABACF4A" w14:textId="5C7EB9B1"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domestic smart meter installation</w:t>
            </w:r>
            <w:r w:rsidR="00CF6065">
              <w:rPr>
                <w:rFonts w:ascii="Calibri" w:hAnsi="Calibri" w:cs="Calibri"/>
                <w:color w:val="000000"/>
                <w:sz w:val="24"/>
                <w:szCs w:val="24"/>
              </w:rPr>
              <w:t>.</w:t>
            </w:r>
          </w:p>
        </w:tc>
        <w:tc>
          <w:tcPr>
            <w:tcW w:w="622" w:type="pct"/>
          </w:tcPr>
          <w:p w14:paraId="0BAF0A8D" w14:textId="20C336AA"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797F9241" w14:textId="39C67E2A" w:rsidTr="001C2041">
        <w:tc>
          <w:tcPr>
            <w:tcW w:w="420" w:type="pct"/>
          </w:tcPr>
          <w:p w14:paraId="2A492930" w14:textId="4FF3F852"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860F34">
              <w:rPr>
                <w:rFonts w:ascii="Calibri" w:hAnsi="Calibri" w:cs="Calibri"/>
                <w:sz w:val="24"/>
                <w:szCs w:val="24"/>
              </w:rPr>
              <w:t>29</w:t>
            </w:r>
          </w:p>
        </w:tc>
        <w:tc>
          <w:tcPr>
            <w:tcW w:w="1039" w:type="pct"/>
          </w:tcPr>
          <w:p w14:paraId="53BDD1B4" w14:textId="600C9445" w:rsidR="001B400B" w:rsidRPr="002E7A00" w:rsidRDefault="001B400B" w:rsidP="00954233">
            <w:pPr>
              <w:pStyle w:val="TableParagraph"/>
              <w:rPr>
                <w:rFonts w:ascii="Calibri" w:hAnsi="Calibri" w:cs="Calibri"/>
                <w:color w:val="000000"/>
                <w:sz w:val="24"/>
                <w:szCs w:val="24"/>
              </w:rPr>
            </w:pPr>
            <w:r w:rsidRPr="008E124A">
              <w:rPr>
                <w:rFonts w:ascii="Calibri" w:hAnsi="Calibri" w:cs="Calibri"/>
                <w:color w:val="000000"/>
                <w:sz w:val="24"/>
                <w:szCs w:val="24"/>
              </w:rPr>
              <w:t>Population equivalent</w:t>
            </w:r>
            <w:r w:rsidRPr="002E7A00" w:rsidDel="008E124A">
              <w:rPr>
                <w:rFonts w:ascii="Calibri" w:hAnsi="Calibri" w:cs="Calibri"/>
                <w:color w:val="000000"/>
                <w:sz w:val="24"/>
                <w:szCs w:val="24"/>
              </w:rPr>
              <w:t xml:space="preserve"> </w:t>
            </w:r>
            <w:r w:rsidRPr="002E7A00">
              <w:rPr>
                <w:rFonts w:ascii="Calibri" w:hAnsi="Calibri" w:cs="Calibri"/>
                <w:color w:val="000000"/>
                <w:sz w:val="24"/>
                <w:szCs w:val="24"/>
              </w:rPr>
              <w:t xml:space="preserve">of WTW sites with </w:t>
            </w:r>
            <w:r w:rsidR="004C5693">
              <w:rPr>
                <w:rFonts w:ascii="Calibri" w:hAnsi="Calibri" w:cs="Calibri"/>
                <w:color w:val="000000"/>
                <w:sz w:val="24"/>
                <w:szCs w:val="24"/>
              </w:rPr>
              <w:t>l</w:t>
            </w:r>
            <w:r w:rsidRPr="002E7A00">
              <w:rPr>
                <w:rFonts w:ascii="Calibri" w:hAnsi="Calibri" w:cs="Calibri"/>
                <w:color w:val="000000"/>
                <w:sz w:val="24"/>
                <w:szCs w:val="24"/>
              </w:rPr>
              <w:t xml:space="preserve">egacy </w:t>
            </w:r>
            <w:r w:rsidR="004C5693">
              <w:rPr>
                <w:rFonts w:ascii="Calibri" w:hAnsi="Calibri" w:cs="Calibri"/>
                <w:color w:val="000000"/>
                <w:sz w:val="24"/>
                <w:szCs w:val="24"/>
              </w:rPr>
              <w:t>s</w:t>
            </w:r>
            <w:r w:rsidRPr="002E7A00">
              <w:rPr>
                <w:rFonts w:ascii="Calibri" w:hAnsi="Calibri" w:cs="Calibri"/>
                <w:color w:val="000000"/>
                <w:sz w:val="24"/>
                <w:szCs w:val="24"/>
              </w:rPr>
              <w:t xml:space="preserve">ludge </w:t>
            </w:r>
            <w:r w:rsidR="004C5693">
              <w:rPr>
                <w:rFonts w:ascii="Calibri" w:hAnsi="Calibri" w:cs="Calibri"/>
                <w:color w:val="000000"/>
                <w:sz w:val="24"/>
                <w:szCs w:val="24"/>
              </w:rPr>
              <w:t>i</w:t>
            </w:r>
            <w:r w:rsidRPr="002E7A00">
              <w:rPr>
                <w:rFonts w:ascii="Calibri" w:hAnsi="Calibri" w:cs="Calibri"/>
                <w:color w:val="000000"/>
                <w:sz w:val="24"/>
                <w:szCs w:val="24"/>
              </w:rPr>
              <w:t>ssues resolved</w:t>
            </w:r>
          </w:p>
        </w:tc>
        <w:tc>
          <w:tcPr>
            <w:tcW w:w="2919" w:type="pct"/>
          </w:tcPr>
          <w:p w14:paraId="3422DA3B" w14:textId="00A3CCA9"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resolving </w:t>
            </w:r>
            <w:r w:rsidR="004C5693">
              <w:rPr>
                <w:rFonts w:ascii="Calibri" w:hAnsi="Calibri" w:cs="Calibri"/>
                <w:color w:val="000000"/>
                <w:sz w:val="24"/>
                <w:szCs w:val="24"/>
              </w:rPr>
              <w:t>l</w:t>
            </w:r>
            <w:r w:rsidRPr="002E7A00">
              <w:rPr>
                <w:rFonts w:ascii="Calibri" w:hAnsi="Calibri" w:cs="Calibri"/>
                <w:color w:val="000000"/>
                <w:sz w:val="24"/>
                <w:szCs w:val="24"/>
              </w:rPr>
              <w:t xml:space="preserve">egacy </w:t>
            </w:r>
            <w:r w:rsidR="004C5693">
              <w:rPr>
                <w:rFonts w:ascii="Calibri" w:hAnsi="Calibri" w:cs="Calibri"/>
                <w:color w:val="000000"/>
                <w:sz w:val="24"/>
                <w:szCs w:val="24"/>
              </w:rPr>
              <w:t>s</w:t>
            </w:r>
            <w:r w:rsidRPr="002E7A00">
              <w:rPr>
                <w:rFonts w:ascii="Calibri" w:hAnsi="Calibri" w:cs="Calibri"/>
                <w:color w:val="000000"/>
                <w:sz w:val="24"/>
                <w:szCs w:val="24"/>
              </w:rPr>
              <w:t>ludge issues at WTW</w:t>
            </w:r>
            <w:r w:rsidR="00CF6065">
              <w:rPr>
                <w:rFonts w:ascii="Calibri" w:hAnsi="Calibri" w:cs="Calibri"/>
                <w:color w:val="000000"/>
                <w:sz w:val="24"/>
                <w:szCs w:val="24"/>
              </w:rPr>
              <w:t>.</w:t>
            </w:r>
          </w:p>
        </w:tc>
        <w:tc>
          <w:tcPr>
            <w:tcW w:w="622" w:type="pct"/>
          </w:tcPr>
          <w:p w14:paraId="381ADC3B" w14:textId="7C14E7DB"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5286B044" w14:textId="18174FB3" w:rsidTr="001C2041">
        <w:tc>
          <w:tcPr>
            <w:tcW w:w="420" w:type="pct"/>
          </w:tcPr>
          <w:p w14:paraId="67642306" w14:textId="2223C315"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467E9A" w:rsidRPr="002E7A00">
              <w:rPr>
                <w:rFonts w:ascii="Calibri" w:hAnsi="Calibri" w:cs="Calibri"/>
                <w:sz w:val="24"/>
                <w:szCs w:val="24"/>
              </w:rPr>
              <w:t>3</w:t>
            </w:r>
            <w:r w:rsidR="00467E9A">
              <w:rPr>
                <w:rFonts w:ascii="Calibri" w:hAnsi="Calibri" w:cs="Calibri"/>
                <w:sz w:val="24"/>
                <w:szCs w:val="24"/>
              </w:rPr>
              <w:t>0</w:t>
            </w:r>
          </w:p>
        </w:tc>
        <w:tc>
          <w:tcPr>
            <w:tcW w:w="1039" w:type="pct"/>
          </w:tcPr>
          <w:p w14:paraId="07A08662" w14:textId="13C68CCA"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Length of service relocations - water mains</w:t>
            </w:r>
          </w:p>
        </w:tc>
        <w:tc>
          <w:tcPr>
            <w:tcW w:w="2919" w:type="pct"/>
          </w:tcPr>
          <w:p w14:paraId="345011FA" w14:textId="2B90A457"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service relocations of water mains</w:t>
            </w:r>
            <w:r w:rsidR="00CF6065">
              <w:rPr>
                <w:rFonts w:ascii="Calibri" w:hAnsi="Calibri" w:cs="Calibri"/>
                <w:color w:val="000000"/>
                <w:sz w:val="24"/>
                <w:szCs w:val="24"/>
              </w:rPr>
              <w:t>.</w:t>
            </w:r>
          </w:p>
        </w:tc>
        <w:tc>
          <w:tcPr>
            <w:tcW w:w="622" w:type="pct"/>
          </w:tcPr>
          <w:p w14:paraId="7ECE7C62" w14:textId="490FB412"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km</w:t>
            </w:r>
          </w:p>
        </w:tc>
      </w:tr>
      <w:tr w:rsidR="001B400B" w:rsidRPr="002E7A00" w14:paraId="0456133D" w14:textId="677F9FE9" w:rsidTr="001C2041">
        <w:tc>
          <w:tcPr>
            <w:tcW w:w="420" w:type="pct"/>
          </w:tcPr>
          <w:p w14:paraId="7CFD1A30" w14:textId="50FFC695"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467E9A" w:rsidRPr="002E7A00">
              <w:rPr>
                <w:rFonts w:ascii="Calibri" w:hAnsi="Calibri" w:cs="Calibri"/>
                <w:sz w:val="24"/>
                <w:szCs w:val="24"/>
              </w:rPr>
              <w:t>3</w:t>
            </w:r>
            <w:r w:rsidR="00467E9A">
              <w:rPr>
                <w:rFonts w:ascii="Calibri" w:hAnsi="Calibri" w:cs="Calibri"/>
                <w:sz w:val="24"/>
                <w:szCs w:val="24"/>
              </w:rPr>
              <w:t>1</w:t>
            </w:r>
          </w:p>
        </w:tc>
        <w:tc>
          <w:tcPr>
            <w:tcW w:w="1039" w:type="pct"/>
          </w:tcPr>
          <w:p w14:paraId="14E2A1FF" w14:textId="7F7226AE"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 xml:space="preserve">Length of service relocations </w:t>
            </w:r>
            <w:r w:rsidR="00426D11">
              <w:rPr>
                <w:rFonts w:ascii="Calibri" w:hAnsi="Calibri" w:cs="Calibri"/>
                <w:color w:val="000000"/>
                <w:sz w:val="24"/>
                <w:szCs w:val="24"/>
              </w:rPr>
              <w:t>–</w:t>
            </w:r>
            <w:r w:rsidRPr="002E7A00">
              <w:rPr>
                <w:rFonts w:ascii="Calibri" w:hAnsi="Calibri" w:cs="Calibri"/>
                <w:color w:val="000000"/>
                <w:sz w:val="24"/>
                <w:szCs w:val="24"/>
              </w:rPr>
              <w:t xml:space="preserve"> sewers</w:t>
            </w:r>
          </w:p>
        </w:tc>
        <w:tc>
          <w:tcPr>
            <w:tcW w:w="2919" w:type="pct"/>
          </w:tcPr>
          <w:p w14:paraId="556D5F2B" w14:textId="2BA8214A"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service relocations of sewers</w:t>
            </w:r>
            <w:r w:rsidR="00CF6065">
              <w:rPr>
                <w:rFonts w:ascii="Calibri" w:hAnsi="Calibri" w:cs="Calibri"/>
                <w:color w:val="000000"/>
                <w:sz w:val="24"/>
                <w:szCs w:val="24"/>
              </w:rPr>
              <w:t>.</w:t>
            </w:r>
          </w:p>
        </w:tc>
        <w:tc>
          <w:tcPr>
            <w:tcW w:w="622" w:type="pct"/>
          </w:tcPr>
          <w:p w14:paraId="5FE8E2EA" w14:textId="7A7BE596"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km</w:t>
            </w:r>
          </w:p>
        </w:tc>
      </w:tr>
      <w:tr w:rsidR="001B400B" w:rsidRPr="002E7A00" w14:paraId="3D16AEAC" w14:textId="1B329F12" w:rsidTr="001C2041">
        <w:tc>
          <w:tcPr>
            <w:tcW w:w="420" w:type="pct"/>
          </w:tcPr>
          <w:p w14:paraId="372E488B" w14:textId="5942D845"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ED4BCD" w:rsidRPr="002E7A00">
              <w:rPr>
                <w:rFonts w:ascii="Calibri" w:hAnsi="Calibri" w:cs="Calibri"/>
                <w:sz w:val="24"/>
                <w:szCs w:val="24"/>
              </w:rPr>
              <w:t>3</w:t>
            </w:r>
            <w:r w:rsidR="00ED4BCD">
              <w:rPr>
                <w:rFonts w:ascii="Calibri" w:hAnsi="Calibri" w:cs="Calibri"/>
                <w:sz w:val="24"/>
                <w:szCs w:val="24"/>
              </w:rPr>
              <w:t>2</w:t>
            </w:r>
          </w:p>
        </w:tc>
        <w:tc>
          <w:tcPr>
            <w:tcW w:w="1039" w:type="pct"/>
          </w:tcPr>
          <w:p w14:paraId="05A1C5DB" w14:textId="6D15D3DB"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wastewater treatment improvement studies</w:t>
            </w:r>
          </w:p>
        </w:tc>
        <w:tc>
          <w:tcPr>
            <w:tcW w:w="2919" w:type="pct"/>
          </w:tcPr>
          <w:p w14:paraId="2A300F5E" w14:textId="761EA951"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wastewater treatment improvement studies</w:t>
            </w:r>
            <w:r w:rsidR="00CF6065">
              <w:rPr>
                <w:rFonts w:ascii="Calibri" w:hAnsi="Calibri" w:cs="Calibri"/>
                <w:color w:val="000000"/>
                <w:sz w:val="24"/>
                <w:szCs w:val="24"/>
              </w:rPr>
              <w:t>.</w:t>
            </w:r>
          </w:p>
        </w:tc>
        <w:tc>
          <w:tcPr>
            <w:tcW w:w="622" w:type="pct"/>
          </w:tcPr>
          <w:p w14:paraId="10CA5474" w14:textId="7E239D8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2267DF81" w14:textId="31A54EB4" w:rsidTr="001C2041">
        <w:tc>
          <w:tcPr>
            <w:tcW w:w="420" w:type="pct"/>
          </w:tcPr>
          <w:p w14:paraId="674AEECD" w14:textId="746FC108"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ED4BCD" w:rsidRPr="002E7A00">
              <w:rPr>
                <w:rFonts w:ascii="Calibri" w:hAnsi="Calibri" w:cs="Calibri"/>
                <w:sz w:val="24"/>
                <w:szCs w:val="24"/>
              </w:rPr>
              <w:t>3</w:t>
            </w:r>
            <w:r w:rsidR="00ED4BCD">
              <w:rPr>
                <w:rFonts w:ascii="Calibri" w:hAnsi="Calibri" w:cs="Calibri"/>
                <w:sz w:val="24"/>
                <w:szCs w:val="24"/>
              </w:rPr>
              <w:t>3</w:t>
            </w:r>
          </w:p>
        </w:tc>
        <w:tc>
          <w:tcPr>
            <w:tcW w:w="1039" w:type="pct"/>
          </w:tcPr>
          <w:p w14:paraId="40B80C22" w14:textId="43C450DE" w:rsidR="001B400B" w:rsidRPr="002E7A00" w:rsidRDefault="00CF3339" w:rsidP="00954233">
            <w:pPr>
              <w:pStyle w:val="TableParagraph"/>
              <w:rPr>
                <w:rFonts w:ascii="Calibri" w:hAnsi="Calibri" w:cs="Calibri"/>
                <w:color w:val="000000"/>
                <w:sz w:val="24"/>
                <w:szCs w:val="24"/>
              </w:rPr>
            </w:pPr>
            <w:r w:rsidRPr="002E7A00">
              <w:rPr>
                <w:rFonts w:ascii="Calibri" w:hAnsi="Calibri" w:cs="Calibri"/>
                <w:color w:val="000000"/>
                <w:sz w:val="24"/>
                <w:szCs w:val="24"/>
              </w:rPr>
              <w:t xml:space="preserve">Number of </w:t>
            </w:r>
            <w:r w:rsidR="00BC2A15">
              <w:rPr>
                <w:rFonts w:ascii="Calibri" w:hAnsi="Calibri" w:cs="Calibri"/>
                <w:color w:val="000000"/>
                <w:sz w:val="24"/>
                <w:szCs w:val="24"/>
              </w:rPr>
              <w:t>c</w:t>
            </w:r>
            <w:r w:rsidR="001B400B" w:rsidRPr="002E7A00">
              <w:rPr>
                <w:rFonts w:ascii="Calibri" w:hAnsi="Calibri" w:cs="Calibri"/>
                <w:color w:val="000000"/>
                <w:sz w:val="24"/>
                <w:szCs w:val="24"/>
              </w:rPr>
              <w:t xml:space="preserve">limate </w:t>
            </w:r>
            <w:r w:rsidR="00BC2A15">
              <w:rPr>
                <w:rFonts w:ascii="Calibri" w:hAnsi="Calibri" w:cs="Calibri"/>
                <w:color w:val="000000"/>
                <w:sz w:val="24"/>
                <w:szCs w:val="24"/>
              </w:rPr>
              <w:t>c</w:t>
            </w:r>
            <w:r w:rsidR="001B400B" w:rsidRPr="002E7A00">
              <w:rPr>
                <w:rFonts w:ascii="Calibri" w:hAnsi="Calibri" w:cs="Calibri"/>
                <w:color w:val="000000"/>
                <w:sz w:val="24"/>
                <w:szCs w:val="24"/>
              </w:rPr>
              <w:t xml:space="preserve">hange </w:t>
            </w:r>
            <w:r w:rsidR="00BC2A15">
              <w:rPr>
                <w:rFonts w:ascii="Calibri" w:hAnsi="Calibri" w:cs="Calibri"/>
                <w:color w:val="000000"/>
                <w:sz w:val="24"/>
                <w:szCs w:val="24"/>
              </w:rPr>
              <w:t>a</w:t>
            </w:r>
            <w:r w:rsidR="001B400B" w:rsidRPr="002E7A00">
              <w:rPr>
                <w:rFonts w:ascii="Calibri" w:hAnsi="Calibri" w:cs="Calibri"/>
                <w:color w:val="000000"/>
                <w:sz w:val="24"/>
                <w:szCs w:val="24"/>
              </w:rPr>
              <w:t>udits</w:t>
            </w:r>
            <w:r w:rsidRPr="002E7A00">
              <w:rPr>
                <w:rFonts w:ascii="Calibri" w:hAnsi="Calibri" w:cs="Calibri"/>
                <w:color w:val="000000"/>
                <w:sz w:val="24"/>
                <w:szCs w:val="24"/>
              </w:rPr>
              <w:t xml:space="preserve"> </w:t>
            </w:r>
            <w:r w:rsidR="000A13DC">
              <w:rPr>
                <w:rFonts w:ascii="Calibri" w:hAnsi="Calibri" w:cs="Calibri"/>
                <w:color w:val="000000"/>
                <w:sz w:val="24"/>
                <w:szCs w:val="24"/>
              </w:rPr>
              <w:t xml:space="preserve">and </w:t>
            </w:r>
            <w:r w:rsidR="00E02F0C">
              <w:rPr>
                <w:rFonts w:ascii="Calibri" w:hAnsi="Calibri" w:cs="Calibri"/>
                <w:color w:val="000000"/>
                <w:sz w:val="24"/>
                <w:szCs w:val="24"/>
              </w:rPr>
              <w:t>s</w:t>
            </w:r>
            <w:r w:rsidR="000A13DC">
              <w:rPr>
                <w:rFonts w:ascii="Calibri" w:hAnsi="Calibri" w:cs="Calibri"/>
                <w:color w:val="000000"/>
                <w:sz w:val="24"/>
                <w:szCs w:val="24"/>
              </w:rPr>
              <w:t>tudies</w:t>
            </w:r>
            <w:r w:rsidRPr="002E7A00">
              <w:rPr>
                <w:rFonts w:ascii="Calibri" w:hAnsi="Calibri" w:cs="Calibri"/>
                <w:color w:val="000000"/>
                <w:sz w:val="24"/>
                <w:szCs w:val="24"/>
              </w:rPr>
              <w:t xml:space="preserve"> </w:t>
            </w:r>
          </w:p>
        </w:tc>
        <w:tc>
          <w:tcPr>
            <w:tcW w:w="2919" w:type="pct"/>
          </w:tcPr>
          <w:p w14:paraId="6FB65023" w14:textId="55D45082"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climate change audits</w:t>
            </w:r>
            <w:r>
              <w:rPr>
                <w:rFonts w:ascii="Calibri" w:hAnsi="Calibri" w:cs="Calibri"/>
                <w:color w:val="000000"/>
                <w:sz w:val="24"/>
                <w:szCs w:val="24"/>
              </w:rPr>
              <w:t xml:space="preserve"> and studies</w:t>
            </w:r>
            <w:r w:rsidR="00CF6065">
              <w:rPr>
                <w:rFonts w:ascii="Calibri" w:hAnsi="Calibri" w:cs="Calibri"/>
                <w:color w:val="000000"/>
                <w:sz w:val="24"/>
                <w:szCs w:val="24"/>
              </w:rPr>
              <w:t>.</w:t>
            </w:r>
          </w:p>
        </w:tc>
        <w:tc>
          <w:tcPr>
            <w:tcW w:w="622" w:type="pct"/>
          </w:tcPr>
          <w:p w14:paraId="402D3C1C" w14:textId="375F55E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48DFE4CF" w14:textId="6C242464" w:rsidTr="001C2041">
        <w:tc>
          <w:tcPr>
            <w:tcW w:w="420" w:type="pct"/>
          </w:tcPr>
          <w:p w14:paraId="6E596A71" w14:textId="2B3996E0"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8E2922" w:rsidRPr="002E7A00">
              <w:rPr>
                <w:rFonts w:ascii="Calibri" w:hAnsi="Calibri" w:cs="Calibri"/>
                <w:sz w:val="24"/>
                <w:szCs w:val="24"/>
              </w:rPr>
              <w:t>3</w:t>
            </w:r>
            <w:r w:rsidR="00C139DD">
              <w:rPr>
                <w:rFonts w:ascii="Calibri" w:hAnsi="Calibri" w:cs="Calibri"/>
                <w:sz w:val="24"/>
                <w:szCs w:val="24"/>
              </w:rPr>
              <w:t>4</w:t>
            </w:r>
          </w:p>
        </w:tc>
        <w:tc>
          <w:tcPr>
            <w:tcW w:w="1039" w:type="pct"/>
          </w:tcPr>
          <w:p w14:paraId="775565DC" w14:textId="39985962" w:rsidR="001B400B" w:rsidRPr="002E7A00" w:rsidRDefault="001B400B" w:rsidP="00954233">
            <w:pPr>
              <w:pStyle w:val="TableParagraph"/>
              <w:rPr>
                <w:rFonts w:ascii="Calibri" w:hAnsi="Calibri" w:cs="Calibri"/>
                <w:color w:val="000000"/>
                <w:sz w:val="24"/>
                <w:szCs w:val="24"/>
              </w:rPr>
            </w:pPr>
            <w:r>
              <w:rPr>
                <w:rFonts w:ascii="Calibri" w:hAnsi="Calibri" w:cs="Calibri"/>
                <w:color w:val="000000"/>
                <w:sz w:val="24"/>
                <w:szCs w:val="24"/>
              </w:rPr>
              <w:t xml:space="preserve">Increase or replacement of </w:t>
            </w:r>
            <w:r w:rsidRPr="00954233">
              <w:rPr>
                <w:rFonts w:ascii="Calibri" w:hAnsi="Calibri" w:cs="Calibri"/>
                <w:color w:val="000000"/>
                <w:sz w:val="24"/>
                <w:szCs w:val="24"/>
              </w:rPr>
              <w:t>capacity of treated water storage</w:t>
            </w:r>
            <w:r>
              <w:rPr>
                <w:rFonts w:ascii="Calibri" w:hAnsi="Calibri" w:cs="Calibri"/>
                <w:color w:val="000000"/>
                <w:sz w:val="24"/>
                <w:szCs w:val="24"/>
              </w:rPr>
              <w:t xml:space="preserve"> for enhancement </w:t>
            </w:r>
            <w:r w:rsidR="0042511E">
              <w:rPr>
                <w:rFonts w:ascii="Calibri" w:hAnsi="Calibri" w:cs="Calibri"/>
                <w:color w:val="000000"/>
                <w:sz w:val="24"/>
                <w:szCs w:val="24"/>
              </w:rPr>
              <w:t xml:space="preserve">or growth </w:t>
            </w:r>
            <w:r w:rsidR="00304850">
              <w:rPr>
                <w:rFonts w:ascii="Calibri" w:hAnsi="Calibri" w:cs="Calibri"/>
                <w:color w:val="000000"/>
                <w:sz w:val="24"/>
                <w:szCs w:val="24"/>
              </w:rPr>
              <w:t>purposes</w:t>
            </w:r>
          </w:p>
        </w:tc>
        <w:tc>
          <w:tcPr>
            <w:tcW w:w="2919" w:type="pct"/>
          </w:tcPr>
          <w:p w14:paraId="4F657B5F" w14:textId="52C9622C" w:rsidR="001B400B" w:rsidRDefault="001B400B" w:rsidP="00C421B0">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w:t>
            </w:r>
            <w:r>
              <w:rPr>
                <w:rFonts w:ascii="Calibri" w:hAnsi="Calibri" w:cs="Calibri"/>
                <w:sz w:val="24"/>
                <w:szCs w:val="24"/>
              </w:rPr>
              <w:t>installing</w:t>
            </w:r>
            <w:r w:rsidRPr="002E7A00">
              <w:rPr>
                <w:rFonts w:ascii="Calibri" w:hAnsi="Calibri" w:cs="Calibri"/>
                <w:sz w:val="24"/>
                <w:szCs w:val="24"/>
              </w:rPr>
              <w:t xml:space="preserve"> treated water storage capacity</w:t>
            </w:r>
            <w:r w:rsidR="009C45DB">
              <w:rPr>
                <w:rFonts w:ascii="Calibri" w:hAnsi="Calibri" w:cs="Calibri"/>
                <w:sz w:val="24"/>
                <w:szCs w:val="24"/>
              </w:rPr>
              <w:t xml:space="preserve"> for enhancement or growth purposes</w:t>
            </w:r>
            <w:r w:rsidR="004F039A" w:rsidRPr="002E7A00">
              <w:rPr>
                <w:rFonts w:ascii="Calibri" w:hAnsi="Calibri" w:cs="Calibri"/>
                <w:sz w:val="24"/>
                <w:szCs w:val="24"/>
              </w:rPr>
              <w:t>.</w:t>
            </w:r>
            <w:r w:rsidRPr="002E7A00">
              <w:rPr>
                <w:rFonts w:ascii="Calibri" w:hAnsi="Calibri" w:cs="Calibri"/>
                <w:sz w:val="24"/>
                <w:szCs w:val="24"/>
              </w:rPr>
              <w:t xml:space="preserve"> Include increased capacity from service reservoirs and water towers based on installed/increased design/construction capacity. Include treated water reservoirs at water treatment works and any secondary disinfection plant on reservoir sites. Include break pressure tanks. Exclude decommissioned assets.</w:t>
            </w:r>
          </w:p>
          <w:p w14:paraId="6FB69689" w14:textId="77777777" w:rsidR="001B400B" w:rsidRDefault="001B400B" w:rsidP="00C421B0">
            <w:pPr>
              <w:pStyle w:val="TableParagraph"/>
              <w:spacing w:afterLines="60" w:after="144"/>
              <w:rPr>
                <w:rFonts w:ascii="Calibri" w:hAnsi="Calibri" w:cs="Calibri"/>
                <w:sz w:val="24"/>
                <w:szCs w:val="24"/>
              </w:rPr>
            </w:pPr>
          </w:p>
          <w:p w14:paraId="2231B005" w14:textId="6780C6D9" w:rsidR="001B400B" w:rsidRPr="002E7A00" w:rsidRDefault="001B400B" w:rsidP="00C421B0">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fwat RAG4.12 6B.2-3</w:t>
            </w:r>
            <w:r>
              <w:rPr>
                <w:rFonts w:ascii="Calibri" w:hAnsi="Calibri" w:cs="Calibri"/>
                <w:sz w:val="24"/>
                <w:szCs w:val="24"/>
              </w:rPr>
              <w:t>.</w:t>
            </w:r>
          </w:p>
        </w:tc>
        <w:tc>
          <w:tcPr>
            <w:tcW w:w="622" w:type="pct"/>
          </w:tcPr>
          <w:p w14:paraId="673A7679" w14:textId="58833A7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44BF1A97" w14:textId="2E4F95E4" w:rsidTr="001C2041">
        <w:tc>
          <w:tcPr>
            <w:tcW w:w="420" w:type="pct"/>
          </w:tcPr>
          <w:p w14:paraId="47A53B3A" w14:textId="20E1C817"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w:t>
            </w:r>
            <w:r w:rsidR="008E2922" w:rsidRPr="002E7A00">
              <w:rPr>
                <w:rFonts w:ascii="Calibri" w:hAnsi="Calibri" w:cs="Calibri"/>
                <w:sz w:val="24"/>
                <w:szCs w:val="24"/>
              </w:rPr>
              <w:t>3</w:t>
            </w:r>
            <w:r w:rsidR="00C139DD">
              <w:rPr>
                <w:rFonts w:ascii="Calibri" w:hAnsi="Calibri" w:cs="Calibri"/>
                <w:sz w:val="24"/>
                <w:szCs w:val="24"/>
              </w:rPr>
              <w:t>5</w:t>
            </w:r>
          </w:p>
        </w:tc>
        <w:tc>
          <w:tcPr>
            <w:tcW w:w="1039" w:type="pct"/>
          </w:tcPr>
          <w:p w14:paraId="28DDF018" w14:textId="10C5E8CF" w:rsidR="001B400B" w:rsidRPr="002E7A00" w:rsidRDefault="001B400B" w:rsidP="00954233">
            <w:pPr>
              <w:pStyle w:val="TableParagraph"/>
              <w:rPr>
                <w:rFonts w:ascii="Calibri" w:hAnsi="Calibri" w:cs="Calibri"/>
                <w:color w:val="000000"/>
                <w:sz w:val="24"/>
                <w:szCs w:val="24"/>
              </w:rPr>
            </w:pPr>
            <w:r>
              <w:rPr>
                <w:rFonts w:ascii="Calibri" w:hAnsi="Calibri" w:cs="Calibri"/>
                <w:color w:val="000000"/>
                <w:sz w:val="24"/>
                <w:szCs w:val="24"/>
              </w:rPr>
              <w:t xml:space="preserve">Increase or replacement of </w:t>
            </w:r>
            <w:r w:rsidRPr="00954233">
              <w:rPr>
                <w:rFonts w:ascii="Calibri" w:hAnsi="Calibri" w:cs="Calibri"/>
                <w:color w:val="000000"/>
                <w:sz w:val="24"/>
                <w:szCs w:val="24"/>
              </w:rPr>
              <w:t>capacity of raw water storage</w:t>
            </w:r>
            <w:r>
              <w:rPr>
                <w:rFonts w:ascii="Calibri" w:hAnsi="Calibri" w:cs="Calibri"/>
                <w:color w:val="000000"/>
                <w:sz w:val="24"/>
                <w:szCs w:val="24"/>
              </w:rPr>
              <w:t xml:space="preserve"> for enhancement </w:t>
            </w:r>
            <w:r w:rsidR="0042511E">
              <w:rPr>
                <w:rFonts w:ascii="Calibri" w:hAnsi="Calibri" w:cs="Calibri"/>
                <w:color w:val="000000"/>
                <w:sz w:val="24"/>
                <w:szCs w:val="24"/>
              </w:rPr>
              <w:t xml:space="preserve">or growth </w:t>
            </w:r>
            <w:r w:rsidR="00304850">
              <w:rPr>
                <w:rFonts w:ascii="Calibri" w:hAnsi="Calibri" w:cs="Calibri"/>
                <w:color w:val="000000"/>
                <w:sz w:val="24"/>
                <w:szCs w:val="24"/>
              </w:rPr>
              <w:t>purposes</w:t>
            </w:r>
          </w:p>
        </w:tc>
        <w:tc>
          <w:tcPr>
            <w:tcW w:w="2919" w:type="pct"/>
          </w:tcPr>
          <w:p w14:paraId="036337B1" w14:textId="3FC197D7" w:rsidR="001B400B" w:rsidRDefault="001B400B" w:rsidP="00C421B0">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w:t>
            </w:r>
            <w:r>
              <w:rPr>
                <w:rFonts w:ascii="Calibri" w:hAnsi="Calibri" w:cs="Calibri"/>
                <w:color w:val="000000"/>
                <w:sz w:val="24"/>
                <w:szCs w:val="24"/>
              </w:rPr>
              <w:t>installing</w:t>
            </w:r>
            <w:r w:rsidRPr="002E7A00">
              <w:rPr>
                <w:rFonts w:ascii="Calibri" w:hAnsi="Calibri" w:cs="Calibri"/>
                <w:color w:val="000000"/>
                <w:sz w:val="24"/>
                <w:szCs w:val="24"/>
              </w:rPr>
              <w:t xml:space="preserve"> raw water storage capacity</w:t>
            </w:r>
            <w:r w:rsidR="009C45DB">
              <w:rPr>
                <w:rFonts w:ascii="Calibri" w:hAnsi="Calibri" w:cs="Calibri"/>
                <w:color w:val="000000"/>
                <w:sz w:val="24"/>
                <w:szCs w:val="24"/>
              </w:rPr>
              <w:t xml:space="preserve"> for enhancement or growth purposes</w:t>
            </w:r>
            <w:r w:rsidR="00316418" w:rsidRPr="002E7A00">
              <w:rPr>
                <w:rFonts w:ascii="Calibri" w:hAnsi="Calibri" w:cs="Calibri"/>
                <w:color w:val="000000"/>
                <w:sz w:val="24"/>
                <w:szCs w:val="24"/>
              </w:rPr>
              <w:t>.</w:t>
            </w:r>
            <w:r w:rsidRPr="002E7A00">
              <w:rPr>
                <w:rFonts w:ascii="Calibri" w:hAnsi="Calibri" w:cs="Calibri"/>
                <w:color w:val="FF0000"/>
                <w:sz w:val="24"/>
                <w:szCs w:val="24"/>
              </w:rPr>
              <w:t xml:space="preserve"> </w:t>
            </w:r>
            <w:r w:rsidRPr="002E7A00">
              <w:rPr>
                <w:rFonts w:ascii="Calibri" w:hAnsi="Calibri" w:cs="Calibri"/>
                <w:sz w:val="24"/>
                <w:szCs w:val="24"/>
              </w:rPr>
              <w:t>Include increased capacity of all reservoirs used for holding raw water. This line shall include new or expanded impounding reservoirs, pumped storage reservoirs, bank side storage facilities and balancing reservoirs used for holding transported raw water. Increased capacity should be based on their installed/increased design/construction capacity.</w:t>
            </w:r>
          </w:p>
          <w:p w14:paraId="59BE981C" w14:textId="77777777" w:rsidR="001B400B" w:rsidRDefault="001B400B" w:rsidP="00C421B0">
            <w:pPr>
              <w:pStyle w:val="TableParagraph"/>
              <w:spacing w:afterLines="60" w:after="144"/>
              <w:rPr>
                <w:rFonts w:ascii="Calibri" w:hAnsi="Calibri" w:cs="Calibri"/>
                <w:sz w:val="24"/>
                <w:szCs w:val="24"/>
              </w:rPr>
            </w:pPr>
          </w:p>
          <w:p w14:paraId="6550A242" w14:textId="07AB2697" w:rsidR="001B400B" w:rsidRPr="002E7A00" w:rsidRDefault="001B400B" w:rsidP="00C421B0">
            <w:pPr>
              <w:pStyle w:val="TableParagraph"/>
              <w:spacing w:afterLines="60" w:after="144"/>
              <w:rPr>
                <w:rFonts w:ascii="Calibri" w:hAnsi="Calibri" w:cs="Calibri"/>
                <w:color w:val="000000"/>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2E7A00">
              <w:rPr>
                <w:rFonts w:ascii="Calibri" w:hAnsi="Calibri" w:cs="Calibri"/>
                <w:color w:val="000000"/>
                <w:sz w:val="24"/>
                <w:szCs w:val="24"/>
              </w:rPr>
              <w:t>RAG4.12 5A.19 &amp; 6A.2</w:t>
            </w:r>
            <w:r>
              <w:rPr>
                <w:rFonts w:ascii="Calibri" w:hAnsi="Calibri" w:cs="Calibri"/>
                <w:color w:val="000000"/>
                <w:sz w:val="24"/>
                <w:szCs w:val="24"/>
              </w:rPr>
              <w:t>.</w:t>
            </w:r>
          </w:p>
        </w:tc>
        <w:tc>
          <w:tcPr>
            <w:tcW w:w="622" w:type="pct"/>
          </w:tcPr>
          <w:p w14:paraId="616D9A23" w14:textId="3D67CC7D"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66DFDC35" w14:textId="4F97D669" w:rsidTr="001C2041">
        <w:tc>
          <w:tcPr>
            <w:tcW w:w="420" w:type="pct"/>
          </w:tcPr>
          <w:p w14:paraId="38A6AF9B" w14:textId="580952C0"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36</w:t>
            </w:r>
          </w:p>
        </w:tc>
        <w:tc>
          <w:tcPr>
            <w:tcW w:w="1039" w:type="pct"/>
          </w:tcPr>
          <w:p w14:paraId="6DAB9A2F" w14:textId="73380596" w:rsidR="001B400B" w:rsidRPr="002E7A00" w:rsidRDefault="001B400B" w:rsidP="00954233">
            <w:pPr>
              <w:pStyle w:val="TableParagraph"/>
              <w:rPr>
                <w:rFonts w:ascii="Calibri" w:hAnsi="Calibri" w:cs="Calibri"/>
                <w:color w:val="000000"/>
                <w:sz w:val="24"/>
                <w:szCs w:val="24"/>
              </w:rPr>
            </w:pPr>
            <w:r w:rsidRPr="002E7A00" w:rsidDel="00DD6245">
              <w:rPr>
                <w:rFonts w:ascii="Calibri" w:hAnsi="Calibri" w:cs="Calibri"/>
                <w:color w:val="000000"/>
                <w:sz w:val="24"/>
                <w:szCs w:val="24"/>
              </w:rPr>
              <w:t xml:space="preserve">Increase </w:t>
            </w:r>
            <w:r>
              <w:rPr>
                <w:rFonts w:ascii="Calibri" w:hAnsi="Calibri" w:cs="Calibri"/>
                <w:color w:val="000000"/>
                <w:sz w:val="24"/>
                <w:szCs w:val="24"/>
              </w:rPr>
              <w:t xml:space="preserve">or replacement of </w:t>
            </w:r>
            <w:r w:rsidRPr="002E7A00">
              <w:rPr>
                <w:rFonts w:ascii="Calibri" w:hAnsi="Calibri" w:cs="Calibri"/>
                <w:color w:val="000000"/>
                <w:sz w:val="24"/>
                <w:szCs w:val="24"/>
              </w:rPr>
              <w:t>wastewater storage volume</w:t>
            </w:r>
            <w:r>
              <w:rPr>
                <w:rFonts w:ascii="Calibri" w:hAnsi="Calibri" w:cs="Calibri"/>
                <w:color w:val="000000"/>
                <w:sz w:val="24"/>
                <w:szCs w:val="24"/>
              </w:rPr>
              <w:t xml:space="preserve"> for enhancement</w:t>
            </w:r>
            <w:r w:rsidR="0042511E">
              <w:rPr>
                <w:rFonts w:ascii="Calibri" w:hAnsi="Calibri" w:cs="Calibri"/>
                <w:color w:val="000000"/>
                <w:sz w:val="24"/>
                <w:szCs w:val="24"/>
              </w:rPr>
              <w:t xml:space="preserve"> or growth</w:t>
            </w:r>
            <w:r>
              <w:rPr>
                <w:rFonts w:ascii="Calibri" w:hAnsi="Calibri" w:cs="Calibri"/>
                <w:color w:val="000000"/>
                <w:sz w:val="24"/>
                <w:szCs w:val="24"/>
              </w:rPr>
              <w:t xml:space="preserve"> purposes</w:t>
            </w:r>
          </w:p>
        </w:tc>
        <w:tc>
          <w:tcPr>
            <w:tcW w:w="2919" w:type="pct"/>
          </w:tcPr>
          <w:p w14:paraId="438FC3F5" w14:textId="1C391F0C"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w:t>
            </w:r>
            <w:r>
              <w:rPr>
                <w:rFonts w:ascii="Calibri" w:hAnsi="Calibri" w:cs="Calibri"/>
                <w:color w:val="000000"/>
                <w:sz w:val="24"/>
                <w:szCs w:val="24"/>
              </w:rPr>
              <w:t>installing</w:t>
            </w:r>
            <w:r w:rsidRPr="002E7A00">
              <w:rPr>
                <w:rFonts w:ascii="Calibri" w:hAnsi="Calibri" w:cs="Calibri"/>
                <w:color w:val="000000"/>
                <w:sz w:val="24"/>
                <w:szCs w:val="24"/>
              </w:rPr>
              <w:t xml:space="preserve"> wastewater storage </w:t>
            </w:r>
            <w:r w:rsidRPr="002E7A00">
              <w:rPr>
                <w:rFonts w:ascii="Calibri" w:hAnsi="Calibri" w:cs="Calibri"/>
                <w:sz w:val="24"/>
                <w:szCs w:val="24"/>
              </w:rPr>
              <w:t>volume in the combined sewerage network to meet new or tightened spill frequency requirements.</w:t>
            </w:r>
            <w:r w:rsidR="003C3FCC">
              <w:rPr>
                <w:rFonts w:ascii="Calibri" w:hAnsi="Calibri" w:cs="Calibri"/>
                <w:sz w:val="24"/>
                <w:szCs w:val="24"/>
              </w:rPr>
              <w:t xml:space="preserve"> This is for enhancement or growth purposes.</w:t>
            </w:r>
          </w:p>
          <w:p w14:paraId="6E2D17C8" w14:textId="2A245143"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The volume reported should be the volume required to meet the permit conditions (most commonly the storage volume that must be filled before any discharge takes place), rather than what was constructed (which may be different due to factors related to the design or construction).</w:t>
            </w:r>
          </w:p>
          <w:p w14:paraId="29A3F51D" w14:textId="32FFD6F6"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Increases due to increases in combined/trunk sewer capacity and network attenuation/flow management should be included, where a reduction in storm overflow spills is the driver.</w:t>
            </w:r>
          </w:p>
          <w:p w14:paraId="65951580" w14:textId="77777777" w:rsidR="001B400B" w:rsidRDefault="001B400B" w:rsidP="00D07A1C">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t xml:space="preserve">Exclude additional storage at WWTW and </w:t>
            </w:r>
            <w:r w:rsidRPr="002E7A00" w:rsidDel="009B6B5A">
              <w:rPr>
                <w:rFonts w:ascii="Calibri" w:hAnsi="Calibri" w:cs="Calibri"/>
                <w:color w:val="000000"/>
                <w:sz w:val="24"/>
                <w:szCs w:val="24"/>
              </w:rPr>
              <w:t>growth</w:t>
            </w:r>
            <w:r w:rsidRPr="002E7A00">
              <w:rPr>
                <w:rFonts w:ascii="Calibri" w:hAnsi="Calibri" w:cs="Calibri"/>
                <w:color w:val="000000"/>
                <w:sz w:val="24"/>
                <w:szCs w:val="24"/>
              </w:rPr>
              <w:t>-driven schemes.</w:t>
            </w:r>
          </w:p>
          <w:p w14:paraId="3C9551BC" w14:textId="77777777" w:rsidR="001B400B" w:rsidRDefault="001B400B" w:rsidP="00D07A1C">
            <w:pPr>
              <w:pStyle w:val="TableParagraph"/>
              <w:spacing w:afterLines="60" w:after="144"/>
              <w:rPr>
                <w:rFonts w:ascii="Calibri" w:hAnsi="Calibri" w:cs="Calibri"/>
                <w:color w:val="000000"/>
                <w:sz w:val="24"/>
                <w:szCs w:val="24"/>
              </w:rPr>
            </w:pPr>
          </w:p>
          <w:p w14:paraId="6B46E4D9" w14:textId="7220B532"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641559">
              <w:rPr>
                <w:rFonts w:ascii="Calibri" w:hAnsi="Calibri" w:cs="Calibri"/>
                <w:sz w:val="24"/>
                <w:szCs w:val="24"/>
              </w:rPr>
              <w:t>RAG4.12 7E.13-14; Ofwat PR24 BP table guidance CWW3.31-3.45</w:t>
            </w:r>
            <w:r>
              <w:rPr>
                <w:rFonts w:ascii="Calibri" w:hAnsi="Calibri" w:cs="Calibri"/>
                <w:sz w:val="24"/>
                <w:szCs w:val="24"/>
              </w:rPr>
              <w:t>.</w:t>
            </w:r>
          </w:p>
        </w:tc>
        <w:tc>
          <w:tcPr>
            <w:tcW w:w="622" w:type="pct"/>
          </w:tcPr>
          <w:p w14:paraId="19C648B4" w14:textId="521CB3A5"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m3</w:t>
            </w:r>
          </w:p>
        </w:tc>
      </w:tr>
      <w:tr w:rsidR="001B400B" w:rsidRPr="002E7A00" w14:paraId="4835E7D8" w14:textId="1AA04A33" w:rsidTr="001C2041">
        <w:tc>
          <w:tcPr>
            <w:tcW w:w="420" w:type="pct"/>
          </w:tcPr>
          <w:p w14:paraId="63191C4D" w14:textId="4880613C"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w:t>
            </w:r>
            <w:r w:rsidR="00C139DD">
              <w:rPr>
                <w:rFonts w:ascii="Calibri" w:hAnsi="Calibri" w:cs="Calibri"/>
                <w:sz w:val="24"/>
                <w:szCs w:val="24"/>
              </w:rPr>
              <w:t>37</w:t>
            </w:r>
          </w:p>
        </w:tc>
        <w:tc>
          <w:tcPr>
            <w:tcW w:w="1039" w:type="pct"/>
          </w:tcPr>
          <w:p w14:paraId="555F94AE" w14:textId="2C59B88E" w:rsidR="001B400B" w:rsidRPr="002E7A00" w:rsidRDefault="001B400B" w:rsidP="00954233">
            <w:pPr>
              <w:pStyle w:val="TableParagraph"/>
              <w:rPr>
                <w:rFonts w:ascii="Calibri" w:hAnsi="Calibri" w:cs="Calibri"/>
                <w:color w:val="000000"/>
                <w:sz w:val="24"/>
                <w:szCs w:val="24"/>
              </w:rPr>
            </w:pPr>
            <w:r w:rsidRPr="002E7A00">
              <w:rPr>
                <w:rFonts w:ascii="Calibri" w:hAnsi="Calibri" w:cs="Calibri"/>
                <w:sz w:val="24"/>
                <w:szCs w:val="24"/>
              </w:rPr>
              <w:t>Increase in storage capacity delivered through Blue-Green Infrastructure</w:t>
            </w:r>
          </w:p>
        </w:tc>
        <w:tc>
          <w:tcPr>
            <w:tcW w:w="2919" w:type="pct"/>
          </w:tcPr>
          <w:p w14:paraId="5F0A74B4" w14:textId="77777777" w:rsidR="001B400B" w:rsidRDefault="001B400B"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t xml:space="preserve">Outputs and expenditure associated with </w:t>
            </w:r>
            <w:r w:rsidRPr="002E7A00">
              <w:rPr>
                <w:rFonts w:ascii="Calibri" w:hAnsi="Calibri" w:cs="Calibri"/>
                <w:szCs w:val="24"/>
              </w:rPr>
              <w:t>increasing surface water storage capacity outside of the combined sewerage network (to the benefit of the combined sewerage network) to meet new or tightened spill frequency requirements through new or additional blue-green infrastructure.</w:t>
            </w:r>
          </w:p>
          <w:p w14:paraId="3942353B" w14:textId="4B9FE668" w:rsidR="001B400B" w:rsidRDefault="001B400B" w:rsidP="00D07A1C">
            <w:pPr>
              <w:autoSpaceDE w:val="0"/>
              <w:autoSpaceDN w:val="0"/>
              <w:adjustRightInd w:val="0"/>
              <w:spacing w:afterLines="60" w:after="144" w:line="240" w:lineRule="auto"/>
              <w:jc w:val="left"/>
              <w:rPr>
                <w:rFonts w:ascii="Calibri" w:hAnsi="Calibri" w:cs="Calibri"/>
                <w:szCs w:val="24"/>
              </w:rPr>
            </w:pPr>
            <w:r>
              <w:rPr>
                <w:rFonts w:ascii="Calibri" w:hAnsi="Calibri" w:cs="Calibri"/>
                <w:szCs w:val="24"/>
              </w:rPr>
              <w:t xml:space="preserve">We recognise that </w:t>
            </w:r>
            <w:r w:rsidR="00137B0F">
              <w:rPr>
                <w:rFonts w:ascii="Calibri" w:hAnsi="Calibri" w:cs="Calibri"/>
                <w:szCs w:val="24"/>
              </w:rPr>
              <w:t>there is</w:t>
            </w:r>
            <w:r w:rsidR="009C251D">
              <w:rPr>
                <w:rFonts w:ascii="Calibri" w:hAnsi="Calibri" w:cs="Calibri"/>
                <w:szCs w:val="24"/>
              </w:rPr>
              <w:t xml:space="preserve"> </w:t>
            </w:r>
            <w:r>
              <w:rPr>
                <w:rFonts w:ascii="Calibri" w:hAnsi="Calibri" w:cs="Calibri"/>
                <w:szCs w:val="24"/>
              </w:rPr>
              <w:t>relatively higher uncertainty in this area</w:t>
            </w:r>
            <w:r w:rsidR="00137B0F">
              <w:rPr>
                <w:rFonts w:ascii="Calibri" w:hAnsi="Calibri" w:cs="Calibri"/>
                <w:szCs w:val="24"/>
              </w:rPr>
              <w:t xml:space="preserve"> and that </w:t>
            </w:r>
            <w:r w:rsidR="00427CD5">
              <w:rPr>
                <w:rFonts w:ascii="Calibri" w:hAnsi="Calibri" w:cs="Calibri"/>
                <w:szCs w:val="24"/>
              </w:rPr>
              <w:t xml:space="preserve">Scottish Water may need </w:t>
            </w:r>
            <w:r w:rsidR="000F165D">
              <w:rPr>
                <w:rFonts w:ascii="Calibri" w:hAnsi="Calibri" w:cs="Calibri"/>
                <w:szCs w:val="24"/>
              </w:rPr>
              <w:t xml:space="preserve">to </w:t>
            </w:r>
            <w:r w:rsidR="0047678A">
              <w:rPr>
                <w:rFonts w:ascii="Calibri" w:hAnsi="Calibri" w:cs="Calibri"/>
                <w:szCs w:val="24"/>
              </w:rPr>
              <w:t xml:space="preserve">provide </w:t>
            </w:r>
            <w:r w:rsidR="00427CD5">
              <w:rPr>
                <w:rFonts w:ascii="Calibri" w:hAnsi="Calibri" w:cs="Calibri"/>
                <w:szCs w:val="24"/>
              </w:rPr>
              <w:t>estimates</w:t>
            </w:r>
            <w:r>
              <w:rPr>
                <w:rFonts w:ascii="Calibri" w:hAnsi="Calibri" w:cs="Calibri"/>
                <w:szCs w:val="24"/>
              </w:rPr>
              <w:t>.</w:t>
            </w:r>
          </w:p>
          <w:p w14:paraId="7163C2C0" w14:textId="77777777" w:rsidR="001B400B" w:rsidRDefault="001B400B" w:rsidP="00D07A1C">
            <w:pPr>
              <w:autoSpaceDE w:val="0"/>
              <w:autoSpaceDN w:val="0"/>
              <w:adjustRightInd w:val="0"/>
              <w:spacing w:afterLines="60" w:after="144" w:line="240" w:lineRule="auto"/>
              <w:jc w:val="left"/>
              <w:rPr>
                <w:rFonts w:ascii="Calibri" w:hAnsi="Calibri" w:cs="Calibri"/>
                <w:szCs w:val="24"/>
              </w:rPr>
            </w:pPr>
          </w:p>
          <w:p w14:paraId="4ED7C7D4" w14:textId="0717FA3B" w:rsidR="001B400B" w:rsidRPr="002E7A00" w:rsidRDefault="001B400B" w:rsidP="00FA1052">
            <w:pPr>
              <w:autoSpaceDE w:val="0"/>
              <w:autoSpaceDN w:val="0"/>
              <w:adjustRightInd w:val="0"/>
              <w:spacing w:afterLines="60" w:after="144" w:line="240" w:lineRule="auto"/>
              <w:jc w:val="left"/>
              <w:rPr>
                <w:rFonts w:ascii="Calibri" w:hAnsi="Calibri" w:cs="Calibri"/>
                <w:szCs w:val="24"/>
              </w:rPr>
            </w:pPr>
            <w:r w:rsidRPr="008F13BC">
              <w:rPr>
                <w:rFonts w:ascii="Calibri" w:hAnsi="Calibri" w:cs="Calibri"/>
                <w:szCs w:val="24"/>
              </w:rPr>
              <w:t>Th</w:t>
            </w:r>
            <w:r>
              <w:rPr>
                <w:rFonts w:ascii="Calibri" w:hAnsi="Calibri" w:cs="Calibri"/>
                <w:szCs w:val="24"/>
              </w:rPr>
              <w:t>i</w:t>
            </w:r>
            <w:r w:rsidRPr="008F13BC">
              <w:rPr>
                <w:rFonts w:ascii="Calibri" w:hAnsi="Calibri" w:cs="Calibri"/>
                <w:szCs w:val="24"/>
              </w:rPr>
              <w:t xml:space="preserve">s is the same as </w:t>
            </w:r>
            <w:r>
              <w:rPr>
                <w:rFonts w:ascii="Calibri" w:hAnsi="Calibri" w:cs="Calibri"/>
                <w:szCs w:val="24"/>
              </w:rPr>
              <w:t>O</w:t>
            </w:r>
            <w:r w:rsidRPr="008F13BC">
              <w:rPr>
                <w:rFonts w:ascii="Calibri" w:hAnsi="Calibri" w:cs="Calibri"/>
                <w:szCs w:val="24"/>
              </w:rPr>
              <w:t xml:space="preserve">fwat </w:t>
            </w:r>
            <w:r w:rsidRPr="00641559">
              <w:rPr>
                <w:rFonts w:ascii="Calibri" w:hAnsi="Calibri" w:cs="Calibri"/>
                <w:szCs w:val="24"/>
              </w:rPr>
              <w:t>PR24 BP table guidance CWW3.25-3.27</w:t>
            </w:r>
            <w:r>
              <w:rPr>
                <w:rFonts w:ascii="Calibri" w:hAnsi="Calibri" w:cs="Calibri"/>
                <w:szCs w:val="24"/>
              </w:rPr>
              <w:t>.</w:t>
            </w:r>
          </w:p>
        </w:tc>
        <w:tc>
          <w:tcPr>
            <w:tcW w:w="622" w:type="pct"/>
          </w:tcPr>
          <w:p w14:paraId="4719EA14" w14:textId="3224B1C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m3</w:t>
            </w:r>
          </w:p>
        </w:tc>
      </w:tr>
      <w:tr w:rsidR="001B400B" w:rsidRPr="002E7A00" w14:paraId="34D5BFCC" w14:textId="4C16C6F7" w:rsidTr="001C2041">
        <w:tc>
          <w:tcPr>
            <w:tcW w:w="420" w:type="pct"/>
          </w:tcPr>
          <w:p w14:paraId="16232107" w14:textId="5A836F54"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38</w:t>
            </w:r>
          </w:p>
        </w:tc>
        <w:tc>
          <w:tcPr>
            <w:tcW w:w="1039" w:type="pct"/>
          </w:tcPr>
          <w:p w14:paraId="5CB6D8BE" w14:textId="2442D590"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Demand-side improvements delivering benefits (excluding benefits from metering and leakage reductions</w:t>
            </w:r>
            <w:r w:rsidR="00CF3339" w:rsidRPr="002E7A00">
              <w:rPr>
                <w:rFonts w:ascii="Calibri" w:hAnsi="Calibri" w:cs="Calibri"/>
                <w:color w:val="000000"/>
                <w:sz w:val="24"/>
                <w:szCs w:val="24"/>
              </w:rPr>
              <w:t>)</w:t>
            </w:r>
            <w:r w:rsidR="006C5072">
              <w:rPr>
                <w:rFonts w:ascii="Calibri" w:hAnsi="Calibri" w:cs="Calibri"/>
                <w:color w:val="000000"/>
                <w:sz w:val="24"/>
                <w:szCs w:val="24"/>
              </w:rPr>
              <w:t>*</w:t>
            </w:r>
          </w:p>
        </w:tc>
        <w:tc>
          <w:tcPr>
            <w:tcW w:w="2919" w:type="pct"/>
          </w:tcPr>
          <w:p w14:paraId="7CA01FCD" w14:textId="3B9C1599"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that enhance the supply-demand </w:t>
            </w:r>
            <w:r w:rsidRPr="002E7A00">
              <w:rPr>
                <w:rFonts w:ascii="Calibri" w:hAnsi="Calibri" w:cs="Calibri"/>
                <w:sz w:val="24"/>
                <w:szCs w:val="24"/>
              </w:rPr>
              <w:t>balance</w:t>
            </w:r>
            <w:r w:rsidR="00EE326F" w:rsidRPr="002E7A00">
              <w:rPr>
                <w:rFonts w:ascii="Calibri" w:hAnsi="Calibri" w:cs="Calibri"/>
                <w:sz w:val="24"/>
                <w:szCs w:val="24"/>
              </w:rPr>
              <w:t>.</w:t>
            </w:r>
            <w:r w:rsidRPr="002E7A00">
              <w:rPr>
                <w:rFonts w:ascii="Calibri" w:hAnsi="Calibri" w:cs="Calibri"/>
                <w:sz w:val="24"/>
                <w:szCs w:val="24"/>
              </w:rPr>
              <w:t xml:space="preserve"> This should only include expenditure associated with </w:t>
            </w:r>
            <w:r w:rsidR="00025579">
              <w:rPr>
                <w:rFonts w:ascii="Calibri" w:hAnsi="Calibri" w:cs="Calibri"/>
                <w:sz w:val="24"/>
                <w:szCs w:val="24"/>
              </w:rPr>
              <w:t>projects</w:t>
            </w:r>
            <w:r w:rsidR="00025579" w:rsidRPr="002E7A00">
              <w:rPr>
                <w:rFonts w:ascii="Calibri" w:hAnsi="Calibri" w:cs="Calibri"/>
                <w:sz w:val="24"/>
                <w:szCs w:val="24"/>
              </w:rPr>
              <w:t xml:space="preserve"> </w:t>
            </w:r>
            <w:r w:rsidRPr="002E7A00">
              <w:rPr>
                <w:rFonts w:ascii="Calibri" w:hAnsi="Calibri" w:cs="Calibri"/>
                <w:sz w:val="24"/>
                <w:szCs w:val="24"/>
              </w:rPr>
              <w:t>delivering demand-side (water efficiency options) enhancements. This excludes benefits from leakage and metering activities as these are captured in other lines in this table</w:t>
            </w:r>
          </w:p>
          <w:p w14:paraId="39852658" w14:textId="77777777" w:rsidR="001B400B" w:rsidRDefault="001B400B" w:rsidP="00D07A1C">
            <w:pPr>
              <w:pStyle w:val="TableParagraph"/>
              <w:spacing w:afterLines="60" w:after="144"/>
              <w:rPr>
                <w:rFonts w:ascii="Calibri" w:hAnsi="Calibri" w:cs="Calibri"/>
                <w:color w:val="000000"/>
                <w:sz w:val="24"/>
                <w:szCs w:val="24"/>
              </w:rPr>
            </w:pPr>
          </w:p>
          <w:p w14:paraId="6DA5CAA3" w14:textId="094EBA64" w:rsidR="001B400B" w:rsidRPr="002E7A00" w:rsidRDefault="001B400B" w:rsidP="00D07A1C">
            <w:pPr>
              <w:pStyle w:val="TableParagraph"/>
              <w:spacing w:afterLines="60" w:after="144"/>
              <w:rPr>
                <w:rFonts w:ascii="Calibri" w:hAnsi="Calibri" w:cs="Calibri"/>
                <w:color w:val="000000"/>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2E7A00">
              <w:rPr>
                <w:rFonts w:ascii="Calibri" w:hAnsi="Calibri" w:cs="Calibri"/>
                <w:color w:val="000000"/>
                <w:sz w:val="24"/>
                <w:szCs w:val="24"/>
              </w:rPr>
              <w:t>RAG4.12 4L.23-25</w:t>
            </w:r>
            <w:r>
              <w:rPr>
                <w:rFonts w:ascii="Calibri" w:hAnsi="Calibri" w:cs="Calibri"/>
                <w:color w:val="000000"/>
                <w:sz w:val="24"/>
                <w:szCs w:val="24"/>
              </w:rPr>
              <w:t>.</w:t>
            </w:r>
          </w:p>
        </w:tc>
        <w:tc>
          <w:tcPr>
            <w:tcW w:w="622" w:type="pct"/>
          </w:tcPr>
          <w:p w14:paraId="0C5BB259" w14:textId="5C80B856"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66138743" w14:textId="24ABE29D" w:rsidTr="001C2041">
        <w:tc>
          <w:tcPr>
            <w:tcW w:w="420" w:type="pct"/>
          </w:tcPr>
          <w:p w14:paraId="4B5932CE" w14:textId="652C4CBA"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39</w:t>
            </w:r>
          </w:p>
        </w:tc>
        <w:tc>
          <w:tcPr>
            <w:tcW w:w="1039" w:type="pct"/>
          </w:tcPr>
          <w:p w14:paraId="37FEE500" w14:textId="05938C80"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Area subject to interventions to improve biodiversity</w:t>
            </w:r>
            <w:r w:rsidR="006C5072">
              <w:rPr>
                <w:rFonts w:ascii="Calibri" w:hAnsi="Calibri" w:cs="Calibri"/>
                <w:color w:val="000000"/>
                <w:sz w:val="24"/>
                <w:szCs w:val="24"/>
              </w:rPr>
              <w:t>*</w:t>
            </w:r>
          </w:p>
        </w:tc>
        <w:tc>
          <w:tcPr>
            <w:tcW w:w="2919" w:type="pct"/>
          </w:tcPr>
          <w:p w14:paraId="48A3F483" w14:textId="74E05859"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interventions to improve biodiversity on Scottish Water land. </w:t>
            </w:r>
          </w:p>
        </w:tc>
        <w:tc>
          <w:tcPr>
            <w:tcW w:w="622" w:type="pct"/>
          </w:tcPr>
          <w:p w14:paraId="54E81251" w14:textId="51C807EC"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Hectares</w:t>
            </w:r>
          </w:p>
        </w:tc>
      </w:tr>
      <w:tr w:rsidR="001B400B" w:rsidRPr="002E7A00" w14:paraId="32803E3A" w14:textId="6FEE7975" w:rsidTr="001C2041">
        <w:tc>
          <w:tcPr>
            <w:tcW w:w="420" w:type="pct"/>
          </w:tcPr>
          <w:p w14:paraId="3C89E91D" w14:textId="6F8867C4"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40</w:t>
            </w:r>
          </w:p>
        </w:tc>
        <w:tc>
          <w:tcPr>
            <w:tcW w:w="1039" w:type="pct"/>
          </w:tcPr>
          <w:p w14:paraId="11C0D0A2" w14:textId="5F01AF21" w:rsidR="001B400B" w:rsidRPr="002E7A00" w:rsidRDefault="001B400B" w:rsidP="00954233">
            <w:pPr>
              <w:pStyle w:val="TableParagraph"/>
              <w:rPr>
                <w:rFonts w:ascii="Calibri" w:hAnsi="Calibri" w:cs="Calibri"/>
                <w:color w:val="000000"/>
                <w:sz w:val="24"/>
                <w:szCs w:val="24"/>
              </w:rPr>
            </w:pPr>
            <w:r w:rsidRPr="002E7A00">
              <w:rPr>
                <w:rFonts w:ascii="Calibri" w:hAnsi="Calibri" w:cs="Calibri"/>
                <w:sz w:val="24"/>
                <w:szCs w:val="24"/>
              </w:rPr>
              <w:t xml:space="preserve">Meter upgrades </w:t>
            </w:r>
            <w:r w:rsidR="006C5072">
              <w:rPr>
                <w:rFonts w:ascii="Calibri" w:hAnsi="Calibri" w:cs="Calibri"/>
                <w:sz w:val="24"/>
                <w:szCs w:val="24"/>
              </w:rPr>
              <w:t>–</w:t>
            </w:r>
            <w:r w:rsidRPr="002E7A00">
              <w:rPr>
                <w:rFonts w:ascii="Calibri" w:hAnsi="Calibri" w:cs="Calibri"/>
                <w:sz w:val="24"/>
                <w:szCs w:val="24"/>
              </w:rPr>
              <w:t xml:space="preserve"> households</w:t>
            </w:r>
            <w:r w:rsidR="006C5072">
              <w:rPr>
                <w:rFonts w:ascii="Calibri" w:hAnsi="Calibri" w:cs="Calibri"/>
                <w:sz w:val="24"/>
                <w:szCs w:val="24"/>
              </w:rPr>
              <w:t>*</w:t>
            </w:r>
          </w:p>
        </w:tc>
        <w:tc>
          <w:tcPr>
            <w:tcW w:w="2919" w:type="pct"/>
          </w:tcPr>
          <w:p w14:paraId="1E3A3531" w14:textId="0EBDFFBF" w:rsidR="001B400B" w:rsidRDefault="001B400B" w:rsidP="00D07A1C">
            <w:pPr>
              <w:pStyle w:val="TableParagraph"/>
              <w:spacing w:afterLines="60" w:after="144"/>
              <w:rPr>
                <w:rFonts w:asciiTheme="majorHAnsi" w:hAnsiTheme="majorHAnsi" w:cstheme="majorHAnsi"/>
                <w:sz w:val="24"/>
                <w:szCs w:val="24"/>
              </w:rPr>
            </w:pPr>
            <w:r w:rsidRPr="002E7A00">
              <w:rPr>
                <w:rFonts w:asciiTheme="majorHAnsi" w:hAnsiTheme="majorHAnsi" w:cstheme="majorHAnsi"/>
                <w:color w:val="000000"/>
                <w:sz w:val="24"/>
                <w:szCs w:val="24"/>
              </w:rPr>
              <w:t xml:space="preserve">Outputs and expenditure associated with upgrades to existing household meters. </w:t>
            </w:r>
            <w:r w:rsidRPr="002E7A00">
              <w:rPr>
                <w:rFonts w:asciiTheme="majorHAnsi" w:hAnsiTheme="majorHAnsi" w:cstheme="majorHAnsi"/>
                <w:sz w:val="24"/>
                <w:szCs w:val="24"/>
              </w:rPr>
              <w:t>Includes existing residential customer meter installations where basic meters were upgraded to/replaced with automatic meter reading (AMR) or advanced metering infrastructure (AMI) meters during the report</w:t>
            </w:r>
            <w:r w:rsidR="00C80D73">
              <w:rPr>
                <w:rFonts w:asciiTheme="majorHAnsi" w:hAnsiTheme="majorHAnsi" w:cstheme="majorHAnsi"/>
                <w:sz w:val="24"/>
                <w:szCs w:val="24"/>
              </w:rPr>
              <w:t xml:space="preserve"> </w:t>
            </w:r>
            <w:r w:rsidRPr="002E7A00">
              <w:rPr>
                <w:rFonts w:asciiTheme="majorHAnsi" w:hAnsiTheme="majorHAnsi" w:cstheme="majorHAnsi"/>
                <w:sz w:val="24"/>
                <w:szCs w:val="24"/>
              </w:rPr>
              <w:t xml:space="preserve">year; and where AMR meters were upgraded to/replaced with AMI meters during the report year. </w:t>
            </w:r>
          </w:p>
          <w:p w14:paraId="30644970" w14:textId="77777777" w:rsidR="001B400B" w:rsidRDefault="001B400B" w:rsidP="00D07A1C">
            <w:pPr>
              <w:pStyle w:val="TableParagraph"/>
              <w:spacing w:afterLines="60" w:after="144"/>
              <w:rPr>
                <w:rFonts w:asciiTheme="majorHAnsi" w:hAnsiTheme="majorHAnsi" w:cstheme="majorHAnsi"/>
                <w:sz w:val="24"/>
                <w:szCs w:val="24"/>
              </w:rPr>
            </w:pPr>
          </w:p>
          <w:p w14:paraId="2D109B30" w14:textId="39F59565"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2E7A00">
              <w:rPr>
                <w:rFonts w:ascii="Calibri" w:hAnsi="Calibri" w:cs="Calibri"/>
                <w:color w:val="000000"/>
                <w:sz w:val="24"/>
                <w:szCs w:val="24"/>
              </w:rPr>
              <w:t>RAG 4.12 6D.17-18</w:t>
            </w:r>
            <w:r>
              <w:rPr>
                <w:rFonts w:ascii="Calibri" w:hAnsi="Calibri" w:cs="Calibri"/>
                <w:color w:val="000000"/>
                <w:sz w:val="24"/>
                <w:szCs w:val="24"/>
              </w:rPr>
              <w:t>.</w:t>
            </w:r>
          </w:p>
        </w:tc>
        <w:tc>
          <w:tcPr>
            <w:tcW w:w="622" w:type="pct"/>
          </w:tcPr>
          <w:p w14:paraId="711E4D16" w14:textId="3A5F6A4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Number</w:t>
            </w:r>
          </w:p>
        </w:tc>
      </w:tr>
      <w:tr w:rsidR="001B400B" w:rsidRPr="002E7A00" w14:paraId="45B3C4A7" w14:textId="644E6CE6" w:rsidTr="001C2041">
        <w:tc>
          <w:tcPr>
            <w:tcW w:w="420" w:type="pct"/>
          </w:tcPr>
          <w:p w14:paraId="3564B991" w14:textId="5EA8789A"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41</w:t>
            </w:r>
          </w:p>
        </w:tc>
        <w:tc>
          <w:tcPr>
            <w:tcW w:w="1039" w:type="pct"/>
          </w:tcPr>
          <w:p w14:paraId="742FBB47" w14:textId="7DB4669B" w:rsidR="001B400B" w:rsidRPr="002E7A00" w:rsidRDefault="001B400B" w:rsidP="00954233">
            <w:pPr>
              <w:pStyle w:val="TableParagraph"/>
              <w:rPr>
                <w:rFonts w:ascii="Calibri" w:hAnsi="Calibri" w:cs="Calibri"/>
                <w:color w:val="000000"/>
                <w:sz w:val="24"/>
                <w:szCs w:val="24"/>
              </w:rPr>
            </w:pPr>
            <w:r w:rsidRPr="002E7A00">
              <w:rPr>
                <w:rFonts w:ascii="Calibri" w:hAnsi="Calibri" w:cs="Calibri"/>
                <w:sz w:val="24"/>
                <w:szCs w:val="24"/>
              </w:rPr>
              <w:t>Meter upgrades - non-households</w:t>
            </w:r>
            <w:r w:rsidR="006C5072">
              <w:rPr>
                <w:rFonts w:ascii="Calibri" w:hAnsi="Calibri" w:cs="Calibri"/>
                <w:sz w:val="24"/>
                <w:szCs w:val="24"/>
              </w:rPr>
              <w:t>*</w:t>
            </w:r>
          </w:p>
        </w:tc>
        <w:tc>
          <w:tcPr>
            <w:tcW w:w="2919" w:type="pct"/>
          </w:tcPr>
          <w:p w14:paraId="4AADEAD3" w14:textId="7644845E" w:rsidR="001B400B" w:rsidRDefault="001B400B" w:rsidP="00D07A1C">
            <w:pPr>
              <w:pStyle w:val="TableParagraph"/>
              <w:spacing w:afterLines="60" w:after="144"/>
              <w:rPr>
                <w:rFonts w:asciiTheme="majorHAnsi" w:hAnsiTheme="majorHAnsi" w:cstheme="majorHAnsi"/>
                <w:sz w:val="24"/>
                <w:szCs w:val="24"/>
              </w:rPr>
            </w:pPr>
            <w:r w:rsidRPr="002E7A00">
              <w:rPr>
                <w:rFonts w:ascii="Calibri" w:hAnsi="Calibri" w:cs="Calibri"/>
                <w:color w:val="000000"/>
                <w:sz w:val="24"/>
                <w:szCs w:val="24"/>
              </w:rPr>
              <w:t xml:space="preserve">Outputs and expenditure associated with upgrades to existing non-household meters. </w:t>
            </w:r>
            <w:r w:rsidRPr="002E7A00">
              <w:rPr>
                <w:rFonts w:asciiTheme="majorHAnsi" w:hAnsiTheme="majorHAnsi" w:cstheme="majorHAnsi"/>
                <w:sz w:val="24"/>
                <w:szCs w:val="24"/>
              </w:rPr>
              <w:t xml:space="preserve">Includes existing non-household customer meter installations where basic meters were upgraded to/replaced with AMR or AMI meters during the report year; and where AMR meters were upgraded to/replaced with AMI meters during the report year. </w:t>
            </w:r>
          </w:p>
          <w:p w14:paraId="5AD647EB" w14:textId="77777777" w:rsidR="001B400B" w:rsidRDefault="001B400B" w:rsidP="00D07A1C">
            <w:pPr>
              <w:pStyle w:val="TableParagraph"/>
              <w:spacing w:afterLines="60" w:after="144"/>
              <w:rPr>
                <w:rFonts w:asciiTheme="majorHAnsi" w:hAnsiTheme="majorHAnsi" w:cstheme="majorHAnsi"/>
                <w:sz w:val="24"/>
                <w:szCs w:val="24"/>
              </w:rPr>
            </w:pPr>
          </w:p>
          <w:p w14:paraId="66307732" w14:textId="50977473"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2E7A00">
              <w:rPr>
                <w:rFonts w:ascii="Calibri" w:hAnsi="Calibri" w:cs="Calibri"/>
                <w:color w:val="000000"/>
                <w:sz w:val="24"/>
                <w:szCs w:val="24"/>
              </w:rPr>
              <w:t>RAG 4.12 6D.19-20</w:t>
            </w:r>
          </w:p>
        </w:tc>
        <w:tc>
          <w:tcPr>
            <w:tcW w:w="622" w:type="pct"/>
          </w:tcPr>
          <w:p w14:paraId="6C59A249" w14:textId="797C5C6F"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5CB7D3E1" w14:textId="110EEC44" w:rsidTr="001C2041">
        <w:tc>
          <w:tcPr>
            <w:tcW w:w="420" w:type="pct"/>
          </w:tcPr>
          <w:p w14:paraId="506518C8" w14:textId="6D65FA5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42</w:t>
            </w:r>
          </w:p>
        </w:tc>
        <w:tc>
          <w:tcPr>
            <w:tcW w:w="1039" w:type="pct"/>
          </w:tcPr>
          <w:p w14:paraId="51749AAE" w14:textId="77F52257"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Length of potable water mains renewed</w:t>
            </w:r>
            <w:r w:rsidR="006C5072">
              <w:rPr>
                <w:rFonts w:ascii="Calibri" w:hAnsi="Calibri" w:cs="Calibri"/>
                <w:color w:val="000000"/>
                <w:sz w:val="24"/>
                <w:szCs w:val="24"/>
              </w:rPr>
              <w:t>*</w:t>
            </w:r>
          </w:p>
        </w:tc>
        <w:tc>
          <w:tcPr>
            <w:tcW w:w="2919" w:type="pct"/>
          </w:tcPr>
          <w:p w14:paraId="575968C1" w14:textId="375D0186" w:rsidR="001B400B" w:rsidRDefault="001B400B" w:rsidP="00D07A1C">
            <w:pPr>
              <w:pStyle w:val="TableParagraph"/>
              <w:spacing w:afterLines="60" w:after="144"/>
              <w:rPr>
                <w:sz w:val="24"/>
                <w:szCs w:val="24"/>
              </w:rPr>
            </w:pPr>
            <w:r w:rsidRPr="002E7A00">
              <w:rPr>
                <w:rFonts w:ascii="Calibri" w:hAnsi="Calibri" w:cs="Calibri"/>
                <w:color w:val="000000"/>
                <w:sz w:val="24"/>
                <w:szCs w:val="24"/>
              </w:rPr>
              <w:t xml:space="preserve">Outputs and expenditure associated with renewal of </w:t>
            </w:r>
            <w:r w:rsidRPr="002E7A00">
              <w:rPr>
                <w:rFonts w:ascii="Calibri" w:hAnsi="Calibri" w:cs="Calibri"/>
                <w:sz w:val="24"/>
                <w:szCs w:val="24"/>
              </w:rPr>
              <w:t xml:space="preserve">potable water mains. </w:t>
            </w:r>
            <w:r w:rsidRPr="002E7A00">
              <w:rPr>
                <w:sz w:val="24"/>
                <w:szCs w:val="24"/>
              </w:rPr>
              <w:t xml:space="preserve">Include mains </w:t>
            </w:r>
            <w:r w:rsidR="00A31634">
              <w:rPr>
                <w:sz w:val="24"/>
                <w:szCs w:val="24"/>
              </w:rPr>
              <w:t>where the</w:t>
            </w:r>
            <w:r w:rsidR="00A31634" w:rsidRPr="002E7A00">
              <w:rPr>
                <w:sz w:val="24"/>
                <w:szCs w:val="24"/>
              </w:rPr>
              <w:t xml:space="preserve"> </w:t>
            </w:r>
            <w:r w:rsidR="00335E74" w:rsidRPr="002E7A00">
              <w:rPr>
                <w:sz w:val="24"/>
                <w:szCs w:val="24"/>
              </w:rPr>
              <w:t>prim</w:t>
            </w:r>
            <w:r w:rsidR="00A31634">
              <w:rPr>
                <w:sz w:val="24"/>
                <w:szCs w:val="24"/>
              </w:rPr>
              <w:t>ary</w:t>
            </w:r>
            <w:r w:rsidRPr="002E7A00">
              <w:rPr>
                <w:sz w:val="24"/>
                <w:szCs w:val="24"/>
              </w:rPr>
              <w:t xml:space="preserve"> purpose is </w:t>
            </w:r>
            <w:r w:rsidR="00A31634">
              <w:rPr>
                <w:sz w:val="24"/>
                <w:szCs w:val="24"/>
              </w:rPr>
              <w:t xml:space="preserve">a </w:t>
            </w:r>
            <w:r w:rsidRPr="002E7A00">
              <w:rPr>
                <w:sz w:val="24"/>
                <w:szCs w:val="24"/>
              </w:rPr>
              <w:t xml:space="preserve">renewal of an existing main, even where </w:t>
            </w:r>
            <w:r w:rsidR="00A31634">
              <w:rPr>
                <w:sz w:val="24"/>
                <w:szCs w:val="24"/>
              </w:rPr>
              <w:t xml:space="preserve">the </w:t>
            </w:r>
            <w:r w:rsidRPr="002E7A00">
              <w:rPr>
                <w:sz w:val="24"/>
                <w:szCs w:val="24"/>
              </w:rPr>
              <w:t>existing main remains in service (i</w:t>
            </w:r>
            <w:r w:rsidR="00CD186C">
              <w:rPr>
                <w:sz w:val="24"/>
                <w:szCs w:val="24"/>
              </w:rPr>
              <w:t>.</w:t>
            </w:r>
            <w:r w:rsidRPr="002E7A00">
              <w:rPr>
                <w:sz w:val="24"/>
                <w:szCs w:val="24"/>
              </w:rPr>
              <w:t>e</w:t>
            </w:r>
            <w:r w:rsidR="00CD186C">
              <w:rPr>
                <w:sz w:val="24"/>
                <w:szCs w:val="24"/>
              </w:rPr>
              <w:t>.</w:t>
            </w:r>
            <w:r w:rsidRPr="002E7A00">
              <w:rPr>
                <w:sz w:val="24"/>
                <w:szCs w:val="24"/>
              </w:rPr>
              <w:t xml:space="preserve"> is not abandoned immediately on commissioning of new main). Include mains sleeving/pipe cracking/</w:t>
            </w:r>
            <w:r w:rsidR="00A31634" w:rsidRPr="002E7A00">
              <w:rPr>
                <w:sz w:val="24"/>
                <w:szCs w:val="24"/>
              </w:rPr>
              <w:t>slip lining</w:t>
            </w:r>
            <w:r w:rsidRPr="002E7A00">
              <w:rPr>
                <w:sz w:val="24"/>
                <w:szCs w:val="24"/>
              </w:rPr>
              <w:t xml:space="preserve"> if used for this category of work</w:t>
            </w:r>
          </w:p>
          <w:p w14:paraId="62ABE913" w14:textId="77777777" w:rsidR="001B400B" w:rsidRDefault="001B400B" w:rsidP="00D07A1C">
            <w:pPr>
              <w:pStyle w:val="TableParagraph"/>
              <w:spacing w:afterLines="60" w:after="144"/>
              <w:rPr>
                <w:sz w:val="24"/>
                <w:szCs w:val="24"/>
              </w:rPr>
            </w:pPr>
          </w:p>
          <w:p w14:paraId="015EDFE1" w14:textId="60789631"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O</w:t>
            </w:r>
            <w:r w:rsidRPr="008F13BC">
              <w:rPr>
                <w:rFonts w:ascii="Calibri" w:hAnsi="Calibri" w:cs="Calibri"/>
                <w:sz w:val="24"/>
                <w:szCs w:val="24"/>
              </w:rPr>
              <w:t xml:space="preserve">fwat </w:t>
            </w:r>
            <w:r w:rsidRPr="002E7A00">
              <w:rPr>
                <w:rFonts w:ascii="Calibri" w:hAnsi="Calibri" w:cs="Calibri"/>
                <w:color w:val="000000"/>
                <w:sz w:val="24"/>
                <w:szCs w:val="24"/>
              </w:rPr>
              <w:t>RAG 4.12 6C.3</w:t>
            </w:r>
            <w:r>
              <w:rPr>
                <w:rFonts w:ascii="Calibri" w:hAnsi="Calibri" w:cs="Calibri"/>
                <w:color w:val="000000"/>
                <w:sz w:val="24"/>
                <w:szCs w:val="24"/>
              </w:rPr>
              <w:t>.</w:t>
            </w:r>
          </w:p>
        </w:tc>
        <w:tc>
          <w:tcPr>
            <w:tcW w:w="622" w:type="pct"/>
          </w:tcPr>
          <w:p w14:paraId="2FBF65F9" w14:textId="1898702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km</w:t>
            </w:r>
          </w:p>
        </w:tc>
      </w:tr>
      <w:tr w:rsidR="001B400B" w:rsidRPr="002E7A00" w14:paraId="0ED6C3BC" w14:textId="7A650BCC" w:rsidTr="001C2041">
        <w:tc>
          <w:tcPr>
            <w:tcW w:w="420" w:type="pct"/>
          </w:tcPr>
          <w:p w14:paraId="2841C579" w14:textId="7950647D"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43</w:t>
            </w:r>
          </w:p>
        </w:tc>
        <w:tc>
          <w:tcPr>
            <w:tcW w:w="1039" w:type="pct"/>
          </w:tcPr>
          <w:p w14:paraId="7E416C6C" w14:textId="25341DEF"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Additional WAFU benefit from supply interconnectors</w:t>
            </w:r>
            <w:r w:rsidR="006C5072">
              <w:rPr>
                <w:rFonts w:ascii="Calibri" w:hAnsi="Calibri" w:cs="Calibri"/>
                <w:color w:val="000000"/>
                <w:sz w:val="24"/>
                <w:szCs w:val="24"/>
              </w:rPr>
              <w:t>*</w:t>
            </w:r>
          </w:p>
        </w:tc>
        <w:tc>
          <w:tcPr>
            <w:tcW w:w="2919" w:type="pct"/>
          </w:tcPr>
          <w:p w14:paraId="52A8A948" w14:textId="77777777" w:rsidR="001B400B" w:rsidRDefault="001B400B" w:rsidP="00D07A1C">
            <w:pPr>
              <w:pStyle w:val="TableParagraph"/>
              <w:spacing w:afterLines="60" w:after="144"/>
              <w:rPr>
                <w:sz w:val="24"/>
                <w:szCs w:val="24"/>
              </w:rPr>
            </w:pPr>
            <w:r w:rsidRPr="002E7A00">
              <w:rPr>
                <w:rFonts w:ascii="Calibri" w:hAnsi="Calibri" w:cs="Calibri"/>
                <w:color w:val="000000"/>
                <w:sz w:val="24"/>
                <w:szCs w:val="24"/>
              </w:rPr>
              <w:t>Outputs and expenditure associated with additional water available for use (</w:t>
            </w:r>
            <w:r w:rsidRPr="002E7A00">
              <w:rPr>
                <w:rFonts w:ascii="Calibri" w:hAnsi="Calibri" w:cs="Calibri"/>
                <w:sz w:val="24"/>
                <w:szCs w:val="24"/>
              </w:rPr>
              <w:t xml:space="preserve">WAFU) benefits arising from supply interconnectors. Interconnectors reported here should actively increase WAFU over just providing increased zonal interconnectivity/ resilience. Outputs </w:t>
            </w:r>
            <w:r w:rsidRPr="002E7A00">
              <w:rPr>
                <w:sz w:val="24"/>
                <w:szCs w:val="24"/>
              </w:rPr>
              <w:t xml:space="preserve">should account for all water resource zones and represent the total WAFU benefit from internal interconnections delivered during the year to </w:t>
            </w:r>
            <w:r w:rsidRPr="002E7A00">
              <w:rPr>
                <w:sz w:val="24"/>
                <w:szCs w:val="24"/>
              </w:rPr>
              <w:lastRenderedPageBreak/>
              <w:t>provide supply demand balance benefit.</w:t>
            </w:r>
          </w:p>
          <w:p w14:paraId="5845053B" w14:textId="77777777" w:rsidR="001B400B" w:rsidRDefault="001B400B" w:rsidP="00D07A1C">
            <w:pPr>
              <w:pStyle w:val="TableParagraph"/>
              <w:spacing w:afterLines="60" w:after="144"/>
              <w:rPr>
                <w:sz w:val="24"/>
                <w:szCs w:val="24"/>
              </w:rPr>
            </w:pPr>
          </w:p>
          <w:p w14:paraId="2EE977A7" w14:textId="2CF0DBC5"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 xml:space="preserve">s is the same as </w:t>
            </w:r>
            <w:r>
              <w:rPr>
                <w:rFonts w:ascii="Calibri" w:hAnsi="Calibri" w:cs="Calibri"/>
                <w:sz w:val="24"/>
                <w:szCs w:val="24"/>
              </w:rPr>
              <w:t>Environment Agency</w:t>
            </w:r>
            <w:r w:rsidRPr="008F13BC">
              <w:rPr>
                <w:rFonts w:ascii="Calibri" w:hAnsi="Calibri" w:cs="Calibri"/>
                <w:sz w:val="24"/>
                <w:szCs w:val="24"/>
              </w:rPr>
              <w:t xml:space="preserve"> </w:t>
            </w:r>
            <w:r w:rsidRPr="002E7A00">
              <w:rPr>
                <w:rFonts w:ascii="Calibri" w:hAnsi="Calibri" w:cs="Calibri"/>
                <w:color w:val="000000"/>
                <w:sz w:val="24"/>
                <w:szCs w:val="24"/>
              </w:rPr>
              <w:t>WRMP24 table instructions B10-12 &amp; E4</w:t>
            </w:r>
            <w:r>
              <w:rPr>
                <w:rFonts w:ascii="Calibri" w:hAnsi="Calibri" w:cs="Calibri"/>
                <w:color w:val="000000"/>
                <w:sz w:val="24"/>
                <w:szCs w:val="24"/>
              </w:rPr>
              <w:t>.</w:t>
            </w:r>
          </w:p>
        </w:tc>
        <w:tc>
          <w:tcPr>
            <w:tcW w:w="622" w:type="pct"/>
          </w:tcPr>
          <w:p w14:paraId="4DA0046E" w14:textId="0DE65BC2"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Ml/d</w:t>
            </w:r>
          </w:p>
        </w:tc>
      </w:tr>
      <w:tr w:rsidR="001B400B" w:rsidRPr="002E7A00" w14:paraId="57D3F972" w14:textId="083FB319" w:rsidTr="001C2041">
        <w:tc>
          <w:tcPr>
            <w:tcW w:w="420" w:type="pct"/>
          </w:tcPr>
          <w:p w14:paraId="7129A1A9" w14:textId="1C2C1B01"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44</w:t>
            </w:r>
          </w:p>
        </w:tc>
        <w:tc>
          <w:tcPr>
            <w:tcW w:w="1039" w:type="pct"/>
          </w:tcPr>
          <w:p w14:paraId="652BD790" w14:textId="6314B81F"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Length of new supply interconnectors</w:t>
            </w:r>
            <w:r w:rsidR="006C5072">
              <w:rPr>
                <w:rFonts w:ascii="Calibri" w:hAnsi="Calibri" w:cs="Calibri"/>
                <w:color w:val="000000"/>
                <w:sz w:val="24"/>
                <w:szCs w:val="24"/>
              </w:rPr>
              <w:t>*</w:t>
            </w:r>
          </w:p>
        </w:tc>
        <w:tc>
          <w:tcPr>
            <w:tcW w:w="2919" w:type="pct"/>
          </w:tcPr>
          <w:p w14:paraId="0A780F20" w14:textId="77777777"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new supply </w:t>
            </w:r>
            <w:r w:rsidRPr="002E7A00">
              <w:rPr>
                <w:rFonts w:ascii="Calibri" w:hAnsi="Calibri" w:cs="Calibri"/>
                <w:sz w:val="24"/>
                <w:szCs w:val="24"/>
              </w:rPr>
              <w:t>interconnectors. Interconnectors reported here should actively increase WAFU over just providing increased zonal interconnectivity/resilience.</w:t>
            </w:r>
          </w:p>
          <w:p w14:paraId="22C1DED3" w14:textId="77777777" w:rsidR="001B400B" w:rsidRDefault="001B400B" w:rsidP="00D07A1C">
            <w:pPr>
              <w:pStyle w:val="TableParagraph"/>
              <w:spacing w:afterLines="60" w:after="144"/>
              <w:rPr>
                <w:rFonts w:ascii="Calibri" w:hAnsi="Calibri" w:cs="Calibri"/>
                <w:sz w:val="24"/>
                <w:szCs w:val="24"/>
              </w:rPr>
            </w:pPr>
          </w:p>
          <w:p w14:paraId="5DF9A33A" w14:textId="3238B3C8"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2E7A00">
              <w:rPr>
                <w:rFonts w:ascii="Calibri" w:hAnsi="Calibri" w:cs="Calibri"/>
                <w:color w:val="000000"/>
                <w:sz w:val="24"/>
                <w:szCs w:val="24"/>
              </w:rPr>
              <w:t>Environment Agency WRMP24 table instructions B10-12 &amp; E4</w:t>
            </w:r>
            <w:r>
              <w:rPr>
                <w:rFonts w:ascii="Calibri" w:hAnsi="Calibri" w:cs="Calibri"/>
                <w:color w:val="000000"/>
                <w:sz w:val="24"/>
                <w:szCs w:val="24"/>
              </w:rPr>
              <w:t>.</w:t>
            </w:r>
          </w:p>
        </w:tc>
        <w:tc>
          <w:tcPr>
            <w:tcW w:w="622" w:type="pct"/>
          </w:tcPr>
          <w:p w14:paraId="4CF7C1D5" w14:textId="595ACEA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km</w:t>
            </w:r>
          </w:p>
        </w:tc>
      </w:tr>
      <w:tr w:rsidR="001B400B" w:rsidRPr="002E7A00" w14:paraId="69BB0F1C" w14:textId="508066EF" w:rsidTr="001C2041">
        <w:tc>
          <w:tcPr>
            <w:tcW w:w="420" w:type="pct"/>
          </w:tcPr>
          <w:p w14:paraId="58CB3DFC" w14:textId="6D393A60"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45</w:t>
            </w:r>
          </w:p>
        </w:tc>
        <w:tc>
          <w:tcPr>
            <w:tcW w:w="1039" w:type="pct"/>
          </w:tcPr>
          <w:p w14:paraId="0815D094" w14:textId="4781692A"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Length of new resilience interconnectors</w:t>
            </w:r>
            <w:r w:rsidR="006C5072">
              <w:rPr>
                <w:rFonts w:ascii="Calibri" w:hAnsi="Calibri" w:cs="Calibri"/>
                <w:color w:val="000000"/>
                <w:sz w:val="24"/>
                <w:szCs w:val="24"/>
              </w:rPr>
              <w:t>*</w:t>
            </w:r>
          </w:p>
        </w:tc>
        <w:tc>
          <w:tcPr>
            <w:tcW w:w="2919" w:type="pct"/>
          </w:tcPr>
          <w:p w14:paraId="47EF840C" w14:textId="3DAFD0F8"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new resilience interconnectors. Interconnectors reported here would not provide additional WAFU benefit.</w:t>
            </w:r>
          </w:p>
        </w:tc>
        <w:tc>
          <w:tcPr>
            <w:tcW w:w="622" w:type="pct"/>
          </w:tcPr>
          <w:p w14:paraId="4AA9A8BC" w14:textId="0BB6F12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km</w:t>
            </w:r>
          </w:p>
        </w:tc>
      </w:tr>
      <w:tr w:rsidR="001B400B" w:rsidRPr="002E7A00" w14:paraId="12085D8B" w14:textId="2ABCF720" w:rsidTr="001C2041">
        <w:tc>
          <w:tcPr>
            <w:tcW w:w="420" w:type="pct"/>
          </w:tcPr>
          <w:p w14:paraId="448783B8" w14:textId="4E1978F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46</w:t>
            </w:r>
          </w:p>
        </w:tc>
        <w:tc>
          <w:tcPr>
            <w:tcW w:w="1039" w:type="pct"/>
          </w:tcPr>
          <w:p w14:paraId="1DD50C60" w14:textId="5B2B85A7"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Increase in total flow to full treatment</w:t>
            </w:r>
            <w:r w:rsidR="006C5072">
              <w:rPr>
                <w:rFonts w:ascii="Calibri" w:hAnsi="Calibri" w:cs="Calibri"/>
                <w:color w:val="000000"/>
                <w:sz w:val="24"/>
                <w:szCs w:val="24"/>
              </w:rPr>
              <w:t>*</w:t>
            </w:r>
          </w:p>
        </w:tc>
        <w:tc>
          <w:tcPr>
            <w:tcW w:w="2919" w:type="pct"/>
          </w:tcPr>
          <w:p w14:paraId="032BF643" w14:textId="77777777"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 increasing flow to full treatment at W</w:t>
            </w:r>
            <w:r w:rsidRPr="002E7A00">
              <w:rPr>
                <w:rFonts w:ascii="Calibri" w:hAnsi="Calibri" w:cs="Calibri"/>
                <w:sz w:val="24"/>
                <w:szCs w:val="24"/>
              </w:rPr>
              <w:t xml:space="preserve">WTW. </w:t>
            </w:r>
          </w:p>
          <w:p w14:paraId="2638D5D0" w14:textId="77777777" w:rsidR="001B400B" w:rsidRDefault="001B400B" w:rsidP="00D07A1C">
            <w:pPr>
              <w:pStyle w:val="TableParagraph"/>
              <w:spacing w:afterLines="60" w:after="144"/>
              <w:rPr>
                <w:rFonts w:ascii="Calibri" w:hAnsi="Calibri" w:cs="Calibri"/>
                <w:sz w:val="24"/>
                <w:szCs w:val="24"/>
              </w:rPr>
            </w:pPr>
          </w:p>
          <w:p w14:paraId="1148933F" w14:textId="409B1BA7" w:rsidR="001B400B" w:rsidRPr="002E7A00" w:rsidRDefault="001B400B" w:rsidP="009837A0">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4C0CDA">
              <w:rPr>
                <w:rFonts w:ascii="Calibri" w:hAnsi="Calibri" w:cs="Calibri"/>
                <w:sz w:val="24"/>
                <w:szCs w:val="24"/>
              </w:rPr>
              <w:t>Ofwat RAG4.12 4M.10-12</w:t>
            </w:r>
            <w:r>
              <w:rPr>
                <w:rFonts w:ascii="Calibri" w:hAnsi="Calibri" w:cs="Calibri"/>
                <w:sz w:val="24"/>
                <w:szCs w:val="24"/>
              </w:rPr>
              <w:t>.</w:t>
            </w:r>
          </w:p>
        </w:tc>
        <w:tc>
          <w:tcPr>
            <w:tcW w:w="622" w:type="pct"/>
          </w:tcPr>
          <w:p w14:paraId="28459F98" w14:textId="044F25A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l/s</w:t>
            </w:r>
          </w:p>
        </w:tc>
      </w:tr>
      <w:tr w:rsidR="001B400B" w:rsidRPr="002E7A00" w14:paraId="0D4E1A7C" w14:textId="60787646" w:rsidTr="001C2041">
        <w:tc>
          <w:tcPr>
            <w:tcW w:w="420" w:type="pct"/>
          </w:tcPr>
          <w:p w14:paraId="43DB26A9" w14:textId="05BA2C5C"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47</w:t>
            </w:r>
          </w:p>
        </w:tc>
        <w:tc>
          <w:tcPr>
            <w:tcW w:w="1039" w:type="pct"/>
          </w:tcPr>
          <w:p w14:paraId="496703A0" w14:textId="420BF281"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flow monitors installed at WWTW</w:t>
            </w:r>
            <w:r w:rsidR="006C5072">
              <w:rPr>
                <w:rFonts w:ascii="Calibri" w:hAnsi="Calibri" w:cs="Calibri"/>
                <w:color w:val="000000"/>
                <w:sz w:val="24"/>
                <w:szCs w:val="24"/>
              </w:rPr>
              <w:t>*</w:t>
            </w:r>
          </w:p>
        </w:tc>
        <w:tc>
          <w:tcPr>
            <w:tcW w:w="2919" w:type="pct"/>
          </w:tcPr>
          <w:p w14:paraId="5EA6BB5B" w14:textId="46D5DE8F"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installation </w:t>
            </w:r>
            <w:r w:rsidRPr="002E7A00">
              <w:rPr>
                <w:rFonts w:ascii="Calibri" w:hAnsi="Calibri" w:cs="Calibri"/>
                <w:sz w:val="24"/>
                <w:szCs w:val="24"/>
              </w:rPr>
              <w:t>of flow monitoring at WwTW or last in line sewage pumping stations.</w:t>
            </w:r>
          </w:p>
          <w:p w14:paraId="5C972254" w14:textId="77777777"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Scottish Water should clearly set out in its table commentary how much of the costs for these lines are for:</w:t>
            </w:r>
          </w:p>
          <w:p w14:paraId="4CEE6625" w14:textId="10FCF547" w:rsidR="001B400B" w:rsidRPr="002E7A00" w:rsidRDefault="001B400B"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t>permit changes only;</w:t>
            </w:r>
          </w:p>
          <w:p w14:paraId="239D649C" w14:textId="41913776" w:rsidR="001B400B" w:rsidRPr="002E7A00" w:rsidRDefault="001B400B"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lastRenderedPageBreak/>
              <w:t>simple meter installations; or</w:t>
            </w:r>
          </w:p>
          <w:p w14:paraId="7474078F" w14:textId="07B92478" w:rsidR="001B400B" w:rsidRDefault="001B400B"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t>more complex civils installations/works.</w:t>
            </w:r>
          </w:p>
          <w:p w14:paraId="61A99311" w14:textId="77777777" w:rsidR="001B400B" w:rsidRDefault="001B400B" w:rsidP="00A61F77">
            <w:pPr>
              <w:pStyle w:val="TableParagraph"/>
              <w:spacing w:afterLines="60" w:after="144"/>
              <w:rPr>
                <w:rFonts w:ascii="Calibri" w:hAnsi="Calibri" w:cs="Calibri"/>
                <w:sz w:val="24"/>
                <w:szCs w:val="24"/>
              </w:rPr>
            </w:pPr>
          </w:p>
          <w:p w14:paraId="1002EFFD" w14:textId="0321BDD3" w:rsidR="001B400B" w:rsidRPr="002E7A00" w:rsidRDefault="001B400B" w:rsidP="00954233">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4C0CDA">
              <w:rPr>
                <w:rFonts w:ascii="Calibri" w:hAnsi="Calibri" w:cs="Calibri"/>
                <w:sz w:val="24"/>
                <w:szCs w:val="24"/>
              </w:rPr>
              <w:t>Ofwat RAG4.12 4M.7-9; Ofwat PR24 BP table guidance CWW3.4-3.6</w:t>
            </w:r>
            <w:r>
              <w:rPr>
                <w:rFonts w:ascii="Calibri" w:hAnsi="Calibri" w:cs="Calibri"/>
                <w:sz w:val="24"/>
                <w:szCs w:val="24"/>
              </w:rPr>
              <w:t>.</w:t>
            </w:r>
          </w:p>
        </w:tc>
        <w:tc>
          <w:tcPr>
            <w:tcW w:w="622" w:type="pct"/>
          </w:tcPr>
          <w:p w14:paraId="5BBD6EBC" w14:textId="6B63B355"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Number</w:t>
            </w:r>
          </w:p>
        </w:tc>
      </w:tr>
      <w:tr w:rsidR="001B400B" w:rsidRPr="002E7A00" w14:paraId="3D46E132" w14:textId="17CE133E" w:rsidTr="001C2041">
        <w:tc>
          <w:tcPr>
            <w:tcW w:w="420" w:type="pct"/>
          </w:tcPr>
          <w:p w14:paraId="67CFDC23" w14:textId="28185EA4"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48</w:t>
            </w:r>
          </w:p>
        </w:tc>
        <w:tc>
          <w:tcPr>
            <w:tcW w:w="1039" w:type="pct"/>
          </w:tcPr>
          <w:p w14:paraId="2C3D0FF2" w14:textId="426D3451"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Population equivalent of WWTW sites made compliant with standards - chemical removal</w:t>
            </w:r>
            <w:r w:rsidR="006C5072">
              <w:rPr>
                <w:rFonts w:ascii="Calibri" w:hAnsi="Calibri" w:cs="Calibri"/>
                <w:color w:val="000000"/>
                <w:sz w:val="24"/>
                <w:szCs w:val="24"/>
              </w:rPr>
              <w:t>*</w:t>
            </w:r>
          </w:p>
        </w:tc>
        <w:tc>
          <w:tcPr>
            <w:tcW w:w="2919" w:type="pct"/>
          </w:tcPr>
          <w:p w14:paraId="7E392CAA" w14:textId="77777777"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making WwTW sites compliant with chemical removal </w:t>
            </w:r>
            <w:r w:rsidRPr="002E7A00">
              <w:rPr>
                <w:rFonts w:ascii="Calibri" w:hAnsi="Calibri" w:cs="Calibri"/>
                <w:sz w:val="24"/>
                <w:szCs w:val="24"/>
              </w:rPr>
              <w:t>standards. Output and expenditure should be linked to WwTW at which new or tightened permit conditions for chemicals or other hazardous substances are required to achieve good chemical status, prevent deterioration in chemical status, or achieve standstill limits for chemicals, delivered in the report year.</w:t>
            </w:r>
          </w:p>
          <w:p w14:paraId="46F74C8C" w14:textId="77777777" w:rsidR="001B400B" w:rsidRDefault="001B400B" w:rsidP="00D07A1C">
            <w:pPr>
              <w:pStyle w:val="TableParagraph"/>
              <w:spacing w:afterLines="60" w:after="144"/>
              <w:rPr>
                <w:rFonts w:ascii="Calibri" w:hAnsi="Calibri" w:cs="Calibri"/>
                <w:sz w:val="24"/>
                <w:szCs w:val="24"/>
              </w:rPr>
            </w:pPr>
          </w:p>
          <w:p w14:paraId="3D99799A" w14:textId="78E750F9"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4C0CDA">
              <w:rPr>
                <w:rFonts w:ascii="Calibri" w:hAnsi="Calibri" w:cs="Calibri"/>
                <w:sz w:val="24"/>
                <w:szCs w:val="24"/>
              </w:rPr>
              <w:t>Ofwat RAG4.12 7D.22</w:t>
            </w:r>
            <w:r>
              <w:rPr>
                <w:rFonts w:ascii="Calibri" w:hAnsi="Calibri" w:cs="Calibri"/>
                <w:sz w:val="24"/>
                <w:szCs w:val="24"/>
              </w:rPr>
              <w:t>.</w:t>
            </w:r>
          </w:p>
        </w:tc>
        <w:tc>
          <w:tcPr>
            <w:tcW w:w="622" w:type="pct"/>
          </w:tcPr>
          <w:p w14:paraId="43DAD5BF" w14:textId="6AE3AAE7"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0A812B69" w14:textId="1508C3FF" w:rsidTr="001C2041">
        <w:tc>
          <w:tcPr>
            <w:tcW w:w="420" w:type="pct"/>
          </w:tcPr>
          <w:p w14:paraId="7270F62B" w14:textId="49F38D46"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49</w:t>
            </w:r>
          </w:p>
        </w:tc>
        <w:tc>
          <w:tcPr>
            <w:tcW w:w="1039" w:type="pct"/>
          </w:tcPr>
          <w:p w14:paraId="72A0C5DB" w14:textId="1F7F8C26"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 xml:space="preserve">Population equivalent of WWTW sites made compliant with standards </w:t>
            </w:r>
            <w:r w:rsidR="006C5072">
              <w:rPr>
                <w:rFonts w:ascii="Calibri" w:hAnsi="Calibri" w:cs="Calibri"/>
                <w:color w:val="000000"/>
                <w:sz w:val="24"/>
                <w:szCs w:val="24"/>
              </w:rPr>
              <w:t>–</w:t>
            </w:r>
            <w:r w:rsidRPr="002E7A00">
              <w:rPr>
                <w:rFonts w:ascii="Calibri" w:hAnsi="Calibri" w:cs="Calibri"/>
                <w:color w:val="000000"/>
                <w:sz w:val="24"/>
                <w:szCs w:val="24"/>
              </w:rPr>
              <w:t xml:space="preserve"> phosphorus</w:t>
            </w:r>
            <w:r w:rsidR="006C5072">
              <w:rPr>
                <w:rFonts w:ascii="Calibri" w:hAnsi="Calibri" w:cs="Calibri"/>
                <w:color w:val="000000"/>
                <w:sz w:val="24"/>
                <w:szCs w:val="24"/>
              </w:rPr>
              <w:t>*</w:t>
            </w:r>
          </w:p>
        </w:tc>
        <w:tc>
          <w:tcPr>
            <w:tcW w:w="2919" w:type="pct"/>
          </w:tcPr>
          <w:p w14:paraId="370B990D" w14:textId="18CA07AD"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making WwTW sites compliant with phosphorous </w:t>
            </w:r>
            <w:r w:rsidRPr="002E7A00">
              <w:rPr>
                <w:rFonts w:ascii="Calibri" w:hAnsi="Calibri" w:cs="Calibri"/>
                <w:sz w:val="24"/>
                <w:szCs w:val="24"/>
              </w:rPr>
              <w:t>standards. Outputs and expenditure should be linked to biological filter WwTWs or activated sludge WwTWs at which new or tightened consent conditions for phosphorus are met by legislatively driven projects delivered in the report year.</w:t>
            </w:r>
          </w:p>
          <w:p w14:paraId="63E2F2E0" w14:textId="77777777" w:rsidR="001B400B" w:rsidRDefault="001B400B" w:rsidP="00D07A1C">
            <w:pPr>
              <w:pStyle w:val="TableParagraph"/>
              <w:spacing w:afterLines="60" w:after="144"/>
              <w:rPr>
                <w:rFonts w:ascii="Calibri" w:hAnsi="Calibri" w:cs="Calibri"/>
                <w:sz w:val="24"/>
                <w:szCs w:val="24"/>
              </w:rPr>
            </w:pPr>
          </w:p>
          <w:p w14:paraId="1CD354AD" w14:textId="335FC1A0"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2E7A00">
              <w:rPr>
                <w:rFonts w:ascii="Calibri" w:hAnsi="Calibri" w:cs="Calibri"/>
                <w:color w:val="000000"/>
                <w:sz w:val="24"/>
                <w:szCs w:val="24"/>
              </w:rPr>
              <w:t>Ofwat RAG4.12 7D.17</w:t>
            </w:r>
            <w:r>
              <w:rPr>
                <w:rFonts w:ascii="Calibri" w:hAnsi="Calibri" w:cs="Calibri"/>
                <w:color w:val="000000"/>
                <w:sz w:val="24"/>
                <w:szCs w:val="24"/>
              </w:rPr>
              <w:t>.</w:t>
            </w:r>
          </w:p>
        </w:tc>
        <w:tc>
          <w:tcPr>
            <w:tcW w:w="622" w:type="pct"/>
          </w:tcPr>
          <w:p w14:paraId="72643CE6" w14:textId="3B2056D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Population equivalent</w:t>
            </w:r>
          </w:p>
        </w:tc>
      </w:tr>
      <w:tr w:rsidR="001B400B" w:rsidRPr="002E7A00" w14:paraId="5BE650FB" w14:textId="6E92EFA2" w:rsidTr="001C2041">
        <w:tc>
          <w:tcPr>
            <w:tcW w:w="420" w:type="pct"/>
          </w:tcPr>
          <w:p w14:paraId="5A928D28" w14:textId="7B305FD9"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C139DD">
              <w:rPr>
                <w:rFonts w:ascii="Calibri" w:hAnsi="Calibri" w:cs="Calibri"/>
                <w:sz w:val="24"/>
                <w:szCs w:val="24"/>
              </w:rPr>
              <w:t>50</w:t>
            </w:r>
          </w:p>
        </w:tc>
        <w:tc>
          <w:tcPr>
            <w:tcW w:w="1039" w:type="pct"/>
          </w:tcPr>
          <w:p w14:paraId="433E1F9B" w14:textId="246E9085"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 xml:space="preserve">Population equivalent of WWTW sites made </w:t>
            </w:r>
            <w:r w:rsidRPr="002E7A00">
              <w:rPr>
                <w:rFonts w:ascii="Calibri" w:hAnsi="Calibri" w:cs="Calibri"/>
                <w:color w:val="000000"/>
                <w:sz w:val="24"/>
                <w:szCs w:val="24"/>
              </w:rPr>
              <w:lastRenderedPageBreak/>
              <w:t>compliant with standards - sanitary parameters</w:t>
            </w:r>
            <w:r w:rsidR="006C5072">
              <w:rPr>
                <w:rFonts w:ascii="Calibri" w:hAnsi="Calibri" w:cs="Calibri"/>
                <w:color w:val="000000"/>
                <w:sz w:val="24"/>
                <w:szCs w:val="24"/>
              </w:rPr>
              <w:t>*</w:t>
            </w:r>
          </w:p>
        </w:tc>
        <w:tc>
          <w:tcPr>
            <w:tcW w:w="2919" w:type="pct"/>
          </w:tcPr>
          <w:p w14:paraId="14F6AEC6" w14:textId="30090456" w:rsidR="001B400B" w:rsidRDefault="001B400B"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lastRenderedPageBreak/>
              <w:t xml:space="preserve">Outputs and expenditure associated with making WwTW </w:t>
            </w:r>
            <w:r w:rsidRPr="002E7A00">
              <w:rPr>
                <w:rFonts w:ascii="Calibri" w:hAnsi="Calibri" w:cs="Calibri"/>
                <w:szCs w:val="24"/>
              </w:rPr>
              <w:t xml:space="preserve">sites compliant with sanitary parameter standards. Output and expenditure should be linked to WwTWs </w:t>
            </w:r>
            <w:r w:rsidRPr="002E7A00">
              <w:rPr>
                <w:rFonts w:ascii="Calibri" w:hAnsi="Calibri" w:cs="Calibri"/>
                <w:szCs w:val="24"/>
              </w:rPr>
              <w:lastRenderedPageBreak/>
              <w:t xml:space="preserve">at which new or tightened consent conditions for one or more sanitary parameters are met by legislatively driven </w:t>
            </w:r>
            <w:r w:rsidR="0026424A">
              <w:rPr>
                <w:rFonts w:ascii="Calibri" w:hAnsi="Calibri" w:cs="Calibri"/>
                <w:szCs w:val="24"/>
              </w:rPr>
              <w:t>project</w:t>
            </w:r>
            <w:r w:rsidR="0026424A" w:rsidRPr="002E7A00">
              <w:rPr>
                <w:rFonts w:ascii="Calibri" w:hAnsi="Calibri" w:cs="Calibri"/>
                <w:szCs w:val="24"/>
              </w:rPr>
              <w:t xml:space="preserve">s </w:t>
            </w:r>
            <w:r w:rsidRPr="002E7A00">
              <w:rPr>
                <w:rFonts w:ascii="Calibri" w:hAnsi="Calibri" w:cs="Calibri"/>
                <w:szCs w:val="24"/>
              </w:rPr>
              <w:t>delivered in the report year.</w:t>
            </w:r>
          </w:p>
          <w:p w14:paraId="7BBBC219" w14:textId="77777777" w:rsidR="001B400B" w:rsidRDefault="001B400B" w:rsidP="00D07A1C">
            <w:pPr>
              <w:autoSpaceDE w:val="0"/>
              <w:autoSpaceDN w:val="0"/>
              <w:adjustRightInd w:val="0"/>
              <w:spacing w:afterLines="60" w:after="144" w:line="240" w:lineRule="auto"/>
              <w:jc w:val="left"/>
              <w:rPr>
                <w:rFonts w:ascii="Calibri" w:hAnsi="Calibri" w:cs="Calibri"/>
                <w:szCs w:val="24"/>
              </w:rPr>
            </w:pPr>
          </w:p>
          <w:p w14:paraId="414F629D" w14:textId="3299924B" w:rsidR="001B400B" w:rsidRPr="002E7A00" w:rsidRDefault="001B400B" w:rsidP="00D07A1C">
            <w:pPr>
              <w:autoSpaceDE w:val="0"/>
              <w:autoSpaceDN w:val="0"/>
              <w:adjustRightInd w:val="0"/>
              <w:spacing w:afterLines="60" w:after="144" w:line="240" w:lineRule="auto"/>
              <w:jc w:val="left"/>
              <w:rPr>
                <w:rFonts w:ascii="Calibri" w:hAnsi="Calibri" w:cs="Calibri"/>
                <w:szCs w:val="24"/>
              </w:rPr>
            </w:pPr>
            <w:r w:rsidRPr="008F13BC">
              <w:rPr>
                <w:rFonts w:ascii="Calibri" w:hAnsi="Calibri" w:cs="Calibri"/>
                <w:szCs w:val="24"/>
              </w:rPr>
              <w:t>Th</w:t>
            </w:r>
            <w:r>
              <w:rPr>
                <w:rFonts w:ascii="Calibri" w:hAnsi="Calibri" w:cs="Calibri"/>
                <w:szCs w:val="24"/>
              </w:rPr>
              <w:t>i</w:t>
            </w:r>
            <w:r w:rsidRPr="008F13BC">
              <w:rPr>
                <w:rFonts w:ascii="Calibri" w:hAnsi="Calibri" w:cs="Calibri"/>
                <w:szCs w:val="24"/>
              </w:rPr>
              <w:t>s is the same as</w:t>
            </w:r>
            <w:r>
              <w:rPr>
                <w:rFonts w:ascii="Calibri" w:hAnsi="Calibri" w:cs="Calibri"/>
                <w:szCs w:val="24"/>
              </w:rPr>
              <w:t xml:space="preserve"> </w:t>
            </w:r>
            <w:r w:rsidRPr="002E7A00">
              <w:rPr>
                <w:rFonts w:ascii="Calibri" w:hAnsi="Calibri" w:cs="Calibri"/>
                <w:color w:val="000000"/>
                <w:szCs w:val="24"/>
              </w:rPr>
              <w:t>Ofwat RAG4.12 7D.19</w:t>
            </w:r>
            <w:r>
              <w:rPr>
                <w:rFonts w:ascii="Calibri" w:hAnsi="Calibri" w:cs="Calibri"/>
                <w:color w:val="000000"/>
                <w:szCs w:val="24"/>
              </w:rPr>
              <w:t>.</w:t>
            </w:r>
          </w:p>
        </w:tc>
        <w:tc>
          <w:tcPr>
            <w:tcW w:w="622" w:type="pct"/>
          </w:tcPr>
          <w:p w14:paraId="1D86EAB1" w14:textId="62AFE70B"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Population equivalent</w:t>
            </w:r>
          </w:p>
        </w:tc>
      </w:tr>
      <w:tr w:rsidR="001B400B" w:rsidRPr="002E7A00" w14:paraId="2E99A07B" w14:textId="77777777" w:rsidTr="001C2041">
        <w:tc>
          <w:tcPr>
            <w:tcW w:w="420" w:type="pct"/>
          </w:tcPr>
          <w:p w14:paraId="78B37C50" w14:textId="09A001B2" w:rsidR="001B400B" w:rsidRPr="002E7A00" w:rsidRDefault="001B400B" w:rsidP="00954233">
            <w:pPr>
              <w:pStyle w:val="TableParagraph"/>
              <w:rPr>
                <w:rFonts w:ascii="Calibri" w:hAnsi="Calibri" w:cs="Calibri"/>
                <w:sz w:val="24"/>
                <w:szCs w:val="24"/>
              </w:rPr>
            </w:pPr>
            <w:r>
              <w:rPr>
                <w:rFonts w:ascii="Calibri" w:hAnsi="Calibri" w:cs="Calibri"/>
                <w:sz w:val="24"/>
                <w:szCs w:val="24"/>
              </w:rPr>
              <w:t>2.51</w:t>
            </w:r>
          </w:p>
        </w:tc>
        <w:tc>
          <w:tcPr>
            <w:tcW w:w="1039" w:type="pct"/>
          </w:tcPr>
          <w:p w14:paraId="18B4F4AA" w14:textId="36F6764E" w:rsidR="001B400B" w:rsidRPr="002E7A00" w:rsidRDefault="001B400B" w:rsidP="00954233">
            <w:pPr>
              <w:pStyle w:val="TableParagraph"/>
              <w:rPr>
                <w:rFonts w:ascii="Calibri" w:hAnsi="Calibri" w:cs="Calibri"/>
                <w:color w:val="000000"/>
                <w:sz w:val="24"/>
                <w:szCs w:val="24"/>
              </w:rPr>
            </w:pPr>
            <w:r w:rsidRPr="00D13B67">
              <w:rPr>
                <w:rFonts w:ascii="Calibri" w:hAnsi="Calibri" w:cs="Calibri"/>
                <w:color w:val="000000"/>
                <w:sz w:val="24"/>
                <w:szCs w:val="24"/>
              </w:rPr>
              <w:t>Population equivalent of WWTW sites made compliant with standards - other</w:t>
            </w:r>
          </w:p>
        </w:tc>
        <w:tc>
          <w:tcPr>
            <w:tcW w:w="2919" w:type="pct"/>
          </w:tcPr>
          <w:p w14:paraId="711ACAF0" w14:textId="12746752" w:rsidR="001B400B" w:rsidRPr="002E7A00" w:rsidRDefault="001B400B" w:rsidP="00D07A1C">
            <w:pPr>
              <w:autoSpaceDE w:val="0"/>
              <w:autoSpaceDN w:val="0"/>
              <w:adjustRightInd w:val="0"/>
              <w:spacing w:afterLines="60" w:after="144" w:line="240" w:lineRule="auto"/>
              <w:jc w:val="left"/>
              <w:rPr>
                <w:rFonts w:ascii="Calibri" w:hAnsi="Calibri" w:cs="Calibri"/>
                <w:color w:val="000000"/>
                <w:szCs w:val="24"/>
              </w:rPr>
            </w:pPr>
            <w:r w:rsidRPr="00D13B67">
              <w:rPr>
                <w:rFonts w:ascii="Calibri" w:hAnsi="Calibri" w:cs="Calibri"/>
                <w:color w:val="000000"/>
                <w:szCs w:val="24"/>
              </w:rPr>
              <w:t xml:space="preserve">Outputs and expenditure associated with making WwTW sites compliant with </w:t>
            </w:r>
            <w:r>
              <w:rPr>
                <w:rFonts w:ascii="Calibri" w:hAnsi="Calibri" w:cs="Calibri"/>
                <w:color w:val="000000"/>
                <w:szCs w:val="24"/>
              </w:rPr>
              <w:t>other</w:t>
            </w:r>
            <w:r w:rsidRPr="00D13B67">
              <w:rPr>
                <w:rFonts w:ascii="Calibri" w:hAnsi="Calibri" w:cs="Calibri"/>
                <w:color w:val="000000"/>
                <w:szCs w:val="24"/>
              </w:rPr>
              <w:t xml:space="preserve"> standards. Output and expenditure should be linked to WwTWs at which new or tightened consent conditions for one or more sanitary parameters are met by legislatively driven </w:t>
            </w:r>
            <w:r w:rsidR="00662A0C">
              <w:rPr>
                <w:rFonts w:ascii="Calibri" w:hAnsi="Calibri" w:cs="Calibri"/>
                <w:color w:val="000000"/>
                <w:szCs w:val="24"/>
              </w:rPr>
              <w:t>projects</w:t>
            </w:r>
            <w:r w:rsidRPr="00D13B67">
              <w:rPr>
                <w:rFonts w:ascii="Calibri" w:hAnsi="Calibri" w:cs="Calibri"/>
                <w:color w:val="000000"/>
                <w:szCs w:val="24"/>
              </w:rPr>
              <w:t xml:space="preserve"> delivered in the report year.</w:t>
            </w:r>
          </w:p>
        </w:tc>
        <w:tc>
          <w:tcPr>
            <w:tcW w:w="622" w:type="pct"/>
          </w:tcPr>
          <w:p w14:paraId="2BE84755" w14:textId="15FE48BD"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Population equivalent</w:t>
            </w:r>
          </w:p>
        </w:tc>
      </w:tr>
      <w:tr w:rsidR="001B400B" w:rsidRPr="002E7A00" w14:paraId="44D49F3A" w14:textId="0A5565C9" w:rsidTr="001C2041">
        <w:tc>
          <w:tcPr>
            <w:tcW w:w="420" w:type="pct"/>
          </w:tcPr>
          <w:p w14:paraId="6602424C" w14:textId="3DB059B1"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2</w:t>
            </w:r>
          </w:p>
        </w:tc>
        <w:tc>
          <w:tcPr>
            <w:tcW w:w="1039" w:type="pct"/>
          </w:tcPr>
          <w:p w14:paraId="7FB6575D" w14:textId="7D3481DF"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screens installed</w:t>
            </w:r>
            <w:r w:rsidR="006C5072">
              <w:rPr>
                <w:rFonts w:ascii="Calibri" w:hAnsi="Calibri" w:cs="Calibri"/>
                <w:color w:val="000000"/>
                <w:sz w:val="24"/>
                <w:szCs w:val="24"/>
              </w:rPr>
              <w:t>*</w:t>
            </w:r>
          </w:p>
        </w:tc>
        <w:tc>
          <w:tcPr>
            <w:tcW w:w="2919" w:type="pct"/>
          </w:tcPr>
          <w:p w14:paraId="71012563" w14:textId="77777777" w:rsidR="001B400B" w:rsidRDefault="001B400B" w:rsidP="00D07A1C">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t>Outputs and expenditure associated with new or upgraded screening to storm overflows</w:t>
            </w:r>
            <w:r>
              <w:rPr>
                <w:rFonts w:ascii="Calibri" w:hAnsi="Calibri" w:cs="Calibri"/>
                <w:color w:val="000000"/>
                <w:sz w:val="24"/>
                <w:szCs w:val="24"/>
              </w:rPr>
              <w:t>.</w:t>
            </w:r>
          </w:p>
          <w:p w14:paraId="59F5ABB5" w14:textId="77777777" w:rsidR="001B400B" w:rsidRDefault="001B400B" w:rsidP="00D07A1C">
            <w:pPr>
              <w:pStyle w:val="TableParagraph"/>
              <w:spacing w:afterLines="60" w:after="144"/>
              <w:rPr>
                <w:rFonts w:ascii="Calibri" w:hAnsi="Calibri" w:cs="Calibri"/>
                <w:color w:val="000000"/>
                <w:sz w:val="24"/>
                <w:szCs w:val="24"/>
              </w:rPr>
            </w:pPr>
          </w:p>
          <w:p w14:paraId="1142915C" w14:textId="7872819A"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2E7A00">
              <w:rPr>
                <w:rFonts w:ascii="Calibri" w:hAnsi="Calibri" w:cs="Calibri"/>
                <w:color w:val="000000"/>
                <w:sz w:val="24"/>
                <w:szCs w:val="24"/>
              </w:rPr>
              <w:t>Ofwat PR24 BP table guidance CWW3.46-3.48</w:t>
            </w:r>
            <w:r>
              <w:rPr>
                <w:rFonts w:ascii="Calibri" w:hAnsi="Calibri" w:cs="Calibri"/>
                <w:color w:val="000000"/>
                <w:sz w:val="24"/>
                <w:szCs w:val="24"/>
              </w:rPr>
              <w:t>.</w:t>
            </w:r>
          </w:p>
        </w:tc>
        <w:tc>
          <w:tcPr>
            <w:tcW w:w="622" w:type="pct"/>
          </w:tcPr>
          <w:p w14:paraId="41CF3297" w14:textId="4BC3E4F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7BE84C27" w14:textId="216C1C8C" w:rsidTr="001C2041">
        <w:tc>
          <w:tcPr>
            <w:tcW w:w="420" w:type="pct"/>
          </w:tcPr>
          <w:p w14:paraId="704D2830" w14:textId="56BFCF49"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3</w:t>
            </w:r>
          </w:p>
        </w:tc>
        <w:tc>
          <w:tcPr>
            <w:tcW w:w="1039" w:type="pct"/>
          </w:tcPr>
          <w:p w14:paraId="5B0BB9B7" w14:textId="02553201"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studies completed</w:t>
            </w:r>
            <w:r w:rsidR="006C5072">
              <w:rPr>
                <w:rFonts w:ascii="Calibri" w:hAnsi="Calibri" w:cs="Calibri"/>
                <w:color w:val="000000"/>
                <w:sz w:val="24"/>
                <w:szCs w:val="24"/>
              </w:rPr>
              <w:t>*</w:t>
            </w:r>
          </w:p>
        </w:tc>
        <w:tc>
          <w:tcPr>
            <w:tcW w:w="2919" w:type="pct"/>
          </w:tcPr>
          <w:p w14:paraId="678CD4FF" w14:textId="622D943A" w:rsidR="001B400B"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Outputs and expenditure associated with investigations and options appraisals that aim to identify actions or determine impacts, costs and/or technical feasibility of meeting environmental targets. Investigations are likely to be linked to the different categories such as WFD (Flow Investigations) Water; WFD (Water Quality); WFD- Ground Water; and WFD Water.</w:t>
            </w:r>
          </w:p>
          <w:p w14:paraId="519148BA" w14:textId="77777777" w:rsidR="001B400B" w:rsidRDefault="001B400B" w:rsidP="00D07A1C">
            <w:pPr>
              <w:pStyle w:val="TableParagraph"/>
              <w:spacing w:afterLines="60" w:after="144"/>
              <w:rPr>
                <w:rFonts w:ascii="Calibri" w:hAnsi="Calibri" w:cs="Calibri"/>
                <w:sz w:val="24"/>
                <w:szCs w:val="24"/>
              </w:rPr>
            </w:pPr>
          </w:p>
          <w:p w14:paraId="6BE07A1E" w14:textId="14F80BFF"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2E7A00">
              <w:rPr>
                <w:rFonts w:ascii="Calibri" w:hAnsi="Calibri" w:cs="Calibri"/>
                <w:color w:val="000000"/>
                <w:sz w:val="24"/>
                <w:szCs w:val="24"/>
              </w:rPr>
              <w:t xml:space="preserve">Ofwat PR24 draft determinations: Price control deliverables appendix, page 75 &amp; this </w:t>
            </w:r>
            <w:hyperlink r:id="rId19" w:history="1">
              <w:r w:rsidRPr="002E7A00">
                <w:rPr>
                  <w:rStyle w:val="Hyperlink"/>
                  <w:szCs w:val="24"/>
                </w:rPr>
                <w:t>PR24 draft determination file</w:t>
              </w:r>
            </w:hyperlink>
            <w:r w:rsidRPr="002E7A00">
              <w:rPr>
                <w:rFonts w:ascii="Calibri" w:hAnsi="Calibri" w:cs="Calibri"/>
                <w:color w:val="000000"/>
                <w:sz w:val="24"/>
                <w:szCs w:val="24"/>
              </w:rPr>
              <w:t>)</w:t>
            </w:r>
          </w:p>
        </w:tc>
        <w:tc>
          <w:tcPr>
            <w:tcW w:w="622" w:type="pct"/>
          </w:tcPr>
          <w:p w14:paraId="1DB9CC88" w14:textId="35333F74"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6B9E024D" w14:textId="116C6C22" w:rsidTr="001C2041">
        <w:tc>
          <w:tcPr>
            <w:tcW w:w="420" w:type="pct"/>
          </w:tcPr>
          <w:p w14:paraId="59D1A40F" w14:textId="2740E067"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lastRenderedPageBreak/>
              <w:t>2.</w:t>
            </w:r>
            <w:r w:rsidR="00101DC0">
              <w:rPr>
                <w:rFonts w:ascii="Calibri" w:hAnsi="Calibri" w:cs="Calibri"/>
                <w:sz w:val="24"/>
                <w:szCs w:val="24"/>
              </w:rPr>
              <w:t>5</w:t>
            </w:r>
            <w:r w:rsidR="005208F3">
              <w:rPr>
                <w:rFonts w:ascii="Calibri" w:hAnsi="Calibri" w:cs="Calibri"/>
                <w:sz w:val="24"/>
                <w:szCs w:val="24"/>
              </w:rPr>
              <w:t>4</w:t>
            </w:r>
          </w:p>
        </w:tc>
        <w:tc>
          <w:tcPr>
            <w:tcW w:w="1039" w:type="pct"/>
          </w:tcPr>
          <w:p w14:paraId="5A8FAEDC" w14:textId="025E98E5"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Reduction in leakage</w:t>
            </w:r>
            <w:r w:rsidR="006C5072">
              <w:rPr>
                <w:rFonts w:ascii="Calibri" w:hAnsi="Calibri" w:cs="Calibri"/>
                <w:sz w:val="24"/>
                <w:szCs w:val="24"/>
              </w:rPr>
              <w:t>*</w:t>
            </w:r>
          </w:p>
        </w:tc>
        <w:tc>
          <w:tcPr>
            <w:tcW w:w="2919" w:type="pct"/>
          </w:tcPr>
          <w:p w14:paraId="0690D8DA" w14:textId="2166FEF5"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Outputs and expenditure associated with incremental leakage enhancement reductions for each year. This is expected to include but not be limited to expenditure on active leakage control, pressure management and mains replacement. Expenditure on maintaining leakage should be excluded.</w:t>
            </w:r>
          </w:p>
          <w:p w14:paraId="6BE5452E" w14:textId="77777777" w:rsidR="001B400B"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Report reductions as negative numbers.</w:t>
            </w:r>
          </w:p>
          <w:p w14:paraId="17C67C25" w14:textId="77777777" w:rsidR="001B400B" w:rsidRDefault="001B400B" w:rsidP="00D07A1C">
            <w:pPr>
              <w:pStyle w:val="TableParagraph"/>
              <w:spacing w:afterLines="60" w:after="144"/>
              <w:rPr>
                <w:rFonts w:ascii="Calibri" w:hAnsi="Calibri" w:cs="Calibri"/>
                <w:sz w:val="24"/>
                <w:szCs w:val="24"/>
              </w:rPr>
            </w:pPr>
          </w:p>
          <w:p w14:paraId="55341ED6" w14:textId="237897DD"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E63217">
              <w:rPr>
                <w:rFonts w:ascii="Calibri" w:hAnsi="Calibri" w:cs="Calibri"/>
                <w:sz w:val="24"/>
                <w:szCs w:val="24"/>
              </w:rPr>
              <w:t>Ofwat RAG4.12 6D.22-23</w:t>
            </w:r>
            <w:r>
              <w:rPr>
                <w:rFonts w:ascii="Calibri" w:hAnsi="Calibri" w:cs="Calibri"/>
                <w:sz w:val="24"/>
                <w:szCs w:val="24"/>
              </w:rPr>
              <w:t>.</w:t>
            </w:r>
          </w:p>
        </w:tc>
        <w:tc>
          <w:tcPr>
            <w:tcW w:w="622" w:type="pct"/>
          </w:tcPr>
          <w:p w14:paraId="4B8FEDAE" w14:textId="0A1624AE"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Ml/d</w:t>
            </w:r>
          </w:p>
        </w:tc>
      </w:tr>
      <w:tr w:rsidR="001B400B" w:rsidRPr="002E7A00" w14:paraId="6700EECF" w14:textId="2E18FF53" w:rsidTr="001C2041">
        <w:tc>
          <w:tcPr>
            <w:tcW w:w="420" w:type="pct"/>
          </w:tcPr>
          <w:p w14:paraId="287F08C9" w14:textId="6396C55F"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5</w:t>
            </w:r>
          </w:p>
        </w:tc>
        <w:tc>
          <w:tcPr>
            <w:tcW w:w="1039" w:type="pct"/>
          </w:tcPr>
          <w:p w14:paraId="2C80C8CF" w14:textId="1B9B7ADA"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properties connected to Scottish Water's network from private water supplies</w:t>
            </w:r>
          </w:p>
        </w:tc>
        <w:tc>
          <w:tcPr>
            <w:tcW w:w="2919" w:type="pct"/>
          </w:tcPr>
          <w:p w14:paraId="17C7F712" w14:textId="77777777" w:rsidR="001B400B" w:rsidRDefault="001B400B"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t xml:space="preserve">Outputs and expenditure associated with properties connecting to Scottish Water’s network when previously supplied by a private </w:t>
            </w:r>
            <w:r w:rsidRPr="002E7A00">
              <w:rPr>
                <w:rFonts w:ascii="Calibri" w:hAnsi="Calibri" w:cs="Calibri"/>
                <w:szCs w:val="24"/>
              </w:rPr>
              <w:t>supply. Include the costs associated with any meter, communication pipe and stop tap required, and any requisition mains (e.g., to connect the private supply/supplies to the existing network)</w:t>
            </w:r>
            <w:r>
              <w:rPr>
                <w:rFonts w:ascii="Calibri" w:hAnsi="Calibri" w:cs="Calibri"/>
                <w:szCs w:val="24"/>
              </w:rPr>
              <w:t>.</w:t>
            </w:r>
          </w:p>
          <w:p w14:paraId="1540E42E" w14:textId="77777777" w:rsidR="001B400B" w:rsidRDefault="001B400B" w:rsidP="00D07A1C">
            <w:pPr>
              <w:autoSpaceDE w:val="0"/>
              <w:autoSpaceDN w:val="0"/>
              <w:adjustRightInd w:val="0"/>
              <w:spacing w:afterLines="60" w:after="144" w:line="240" w:lineRule="auto"/>
              <w:jc w:val="left"/>
              <w:rPr>
                <w:rFonts w:ascii="Calibri" w:hAnsi="Calibri" w:cs="Calibri"/>
                <w:szCs w:val="24"/>
              </w:rPr>
            </w:pPr>
          </w:p>
          <w:p w14:paraId="63A4731B" w14:textId="6104B74E" w:rsidR="001B400B" w:rsidRPr="002E7A00" w:rsidRDefault="001B400B" w:rsidP="00D07A1C">
            <w:pPr>
              <w:autoSpaceDE w:val="0"/>
              <w:autoSpaceDN w:val="0"/>
              <w:adjustRightInd w:val="0"/>
              <w:spacing w:afterLines="60" w:after="144" w:line="240" w:lineRule="auto"/>
              <w:jc w:val="left"/>
              <w:rPr>
                <w:rFonts w:ascii="Calibri" w:hAnsi="Calibri" w:cs="Calibri"/>
                <w:szCs w:val="24"/>
              </w:rPr>
            </w:pPr>
            <w:r w:rsidRPr="008F13BC">
              <w:rPr>
                <w:rFonts w:ascii="Calibri" w:hAnsi="Calibri" w:cs="Calibri"/>
                <w:szCs w:val="24"/>
              </w:rPr>
              <w:t>Th</w:t>
            </w:r>
            <w:r>
              <w:rPr>
                <w:rFonts w:ascii="Calibri" w:hAnsi="Calibri" w:cs="Calibri"/>
                <w:szCs w:val="24"/>
              </w:rPr>
              <w:t>i</w:t>
            </w:r>
            <w:r w:rsidRPr="008F13BC">
              <w:rPr>
                <w:rFonts w:ascii="Calibri" w:hAnsi="Calibri" w:cs="Calibri"/>
                <w:szCs w:val="24"/>
              </w:rPr>
              <w:t>s is the same as</w:t>
            </w:r>
            <w:r>
              <w:rPr>
                <w:rFonts w:ascii="Calibri" w:hAnsi="Calibri" w:cs="Calibri"/>
                <w:szCs w:val="24"/>
              </w:rPr>
              <w:t xml:space="preserve"> </w:t>
            </w:r>
            <w:r w:rsidRPr="00E63217">
              <w:rPr>
                <w:rFonts w:ascii="Calibri" w:hAnsi="Calibri" w:cs="Calibri"/>
                <w:szCs w:val="24"/>
              </w:rPr>
              <w:t>Ofwat RAG4.12 4N.1</w:t>
            </w:r>
            <w:r>
              <w:rPr>
                <w:rFonts w:ascii="Calibri" w:hAnsi="Calibri" w:cs="Calibri"/>
                <w:szCs w:val="24"/>
              </w:rPr>
              <w:t>.</w:t>
            </w:r>
          </w:p>
        </w:tc>
        <w:tc>
          <w:tcPr>
            <w:tcW w:w="622" w:type="pct"/>
          </w:tcPr>
          <w:p w14:paraId="36E0BEB5" w14:textId="573E9EA3"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22B7BF47" w14:textId="6593B291" w:rsidTr="001C2041">
        <w:tc>
          <w:tcPr>
            <w:tcW w:w="420" w:type="pct"/>
          </w:tcPr>
          <w:p w14:paraId="1229F230" w14:textId="793FC8BD"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6</w:t>
            </w:r>
          </w:p>
        </w:tc>
        <w:tc>
          <w:tcPr>
            <w:tcW w:w="1039" w:type="pct"/>
          </w:tcPr>
          <w:p w14:paraId="6E3CDE32" w14:textId="36C4B205"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Number of lead communication pipes relined</w:t>
            </w:r>
          </w:p>
        </w:tc>
        <w:tc>
          <w:tcPr>
            <w:tcW w:w="2919" w:type="pct"/>
          </w:tcPr>
          <w:p w14:paraId="583814CF" w14:textId="77777777" w:rsidR="001B400B"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relining </w:t>
            </w:r>
            <w:r w:rsidRPr="002E7A00">
              <w:rPr>
                <w:rFonts w:ascii="Calibri" w:hAnsi="Calibri" w:cs="Calibri"/>
                <w:sz w:val="24"/>
                <w:szCs w:val="24"/>
              </w:rPr>
              <w:t>lead communication pipes for quality reasons (as per any agreed programme and schedule of works with the DWQR and the associated instruments of works). Include all lead communication pipes replaced at customers' request through water quality regulations.</w:t>
            </w:r>
          </w:p>
          <w:p w14:paraId="75EA8B16" w14:textId="77777777" w:rsidR="001B400B" w:rsidRDefault="001B400B" w:rsidP="00D07A1C">
            <w:pPr>
              <w:pStyle w:val="TableParagraph"/>
              <w:spacing w:afterLines="60" w:after="144"/>
              <w:rPr>
                <w:rFonts w:ascii="Calibri" w:hAnsi="Calibri" w:cs="Calibri"/>
                <w:sz w:val="24"/>
                <w:szCs w:val="24"/>
              </w:rPr>
            </w:pPr>
          </w:p>
          <w:p w14:paraId="30251E4C" w14:textId="59BD09F8" w:rsidR="001B400B" w:rsidRPr="002E7A00" w:rsidRDefault="001B400B" w:rsidP="00D07A1C">
            <w:pPr>
              <w:pStyle w:val="TableParagraph"/>
              <w:spacing w:afterLines="60" w:after="144"/>
              <w:rPr>
                <w:rFonts w:ascii="Calibri" w:hAnsi="Calibri" w:cs="Calibri"/>
                <w:sz w:val="24"/>
                <w:szCs w:val="24"/>
              </w:rPr>
            </w:pPr>
            <w:r w:rsidRPr="008F13BC">
              <w:rPr>
                <w:rFonts w:ascii="Calibri" w:hAnsi="Calibri" w:cs="Calibri"/>
                <w:sz w:val="24"/>
                <w:szCs w:val="24"/>
              </w:rPr>
              <w:t>Th</w:t>
            </w:r>
            <w:r>
              <w:rPr>
                <w:rFonts w:ascii="Calibri" w:hAnsi="Calibri" w:cs="Calibri"/>
                <w:sz w:val="24"/>
                <w:szCs w:val="24"/>
              </w:rPr>
              <w:t>i</w:t>
            </w:r>
            <w:r w:rsidRPr="008F13BC">
              <w:rPr>
                <w:rFonts w:ascii="Calibri" w:hAnsi="Calibri" w:cs="Calibri"/>
                <w:sz w:val="24"/>
                <w:szCs w:val="24"/>
              </w:rPr>
              <w:t>s is the same as</w:t>
            </w:r>
            <w:r>
              <w:rPr>
                <w:rFonts w:ascii="Calibri" w:hAnsi="Calibri" w:cs="Calibri"/>
                <w:sz w:val="24"/>
                <w:szCs w:val="24"/>
              </w:rPr>
              <w:t xml:space="preserve"> </w:t>
            </w:r>
            <w:r w:rsidRPr="00E63217">
              <w:rPr>
                <w:rFonts w:ascii="Calibri" w:hAnsi="Calibri" w:cs="Calibri"/>
                <w:sz w:val="24"/>
                <w:szCs w:val="24"/>
              </w:rPr>
              <w:t>Ofwat RAG 4.12 6C.21</w:t>
            </w:r>
            <w:r>
              <w:rPr>
                <w:rFonts w:ascii="Calibri" w:hAnsi="Calibri" w:cs="Calibri"/>
                <w:sz w:val="24"/>
                <w:szCs w:val="24"/>
              </w:rPr>
              <w:t>.</w:t>
            </w:r>
          </w:p>
        </w:tc>
        <w:tc>
          <w:tcPr>
            <w:tcW w:w="622" w:type="pct"/>
          </w:tcPr>
          <w:p w14:paraId="1B082673" w14:textId="1858BDEA"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Number</w:t>
            </w:r>
          </w:p>
        </w:tc>
      </w:tr>
      <w:tr w:rsidR="001B400B" w:rsidRPr="002E7A00" w14:paraId="1BA8F326" w14:textId="6E35D03B" w:rsidTr="001C2041">
        <w:tc>
          <w:tcPr>
            <w:tcW w:w="420" w:type="pct"/>
          </w:tcPr>
          <w:p w14:paraId="1192D661" w14:textId="1AC89CAD"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7</w:t>
            </w:r>
          </w:p>
        </w:tc>
        <w:tc>
          <w:tcPr>
            <w:tcW w:w="1039" w:type="pct"/>
          </w:tcPr>
          <w:p w14:paraId="49370A39" w14:textId="32EE45D4"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Reduction in emissions</w:t>
            </w:r>
          </w:p>
        </w:tc>
        <w:tc>
          <w:tcPr>
            <w:tcW w:w="2919" w:type="pct"/>
          </w:tcPr>
          <w:p w14:paraId="5F901561" w14:textId="28E7B8D2"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reducing operational and investment emissions. Output in terms of emissions should be consistent with the emissions </w:t>
            </w:r>
            <w:r w:rsidRPr="002E7A00">
              <w:rPr>
                <w:rFonts w:ascii="Calibri" w:hAnsi="Calibri" w:cs="Calibri"/>
                <w:color w:val="000000"/>
                <w:sz w:val="24"/>
                <w:szCs w:val="24"/>
              </w:rPr>
              <w:lastRenderedPageBreak/>
              <w:t>outcomes defined in table 1 above.</w:t>
            </w:r>
          </w:p>
        </w:tc>
        <w:tc>
          <w:tcPr>
            <w:tcW w:w="622" w:type="pct"/>
          </w:tcPr>
          <w:p w14:paraId="359120ED" w14:textId="1F7A86A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lastRenderedPageBreak/>
              <w:t>tCO2e</w:t>
            </w:r>
          </w:p>
        </w:tc>
      </w:tr>
      <w:tr w:rsidR="001B400B" w:rsidRPr="002E7A00" w14:paraId="77E32D79" w14:textId="67E5C5AB" w:rsidTr="001C2041">
        <w:tc>
          <w:tcPr>
            <w:tcW w:w="420" w:type="pct"/>
          </w:tcPr>
          <w:p w14:paraId="652DA50A" w14:textId="4F1DAB91" w:rsidR="001B400B" w:rsidRPr="002E7A00" w:rsidRDefault="001B400B" w:rsidP="00954233">
            <w:pPr>
              <w:pStyle w:val="TableParagraph"/>
              <w:rPr>
                <w:rFonts w:ascii="Calibri" w:hAnsi="Calibri" w:cs="Calibri"/>
                <w:sz w:val="24"/>
                <w:szCs w:val="24"/>
              </w:rPr>
            </w:pPr>
            <w:r w:rsidRPr="002E7A00">
              <w:rPr>
                <w:rFonts w:ascii="Calibri" w:hAnsi="Calibri" w:cs="Calibri"/>
                <w:sz w:val="24"/>
                <w:szCs w:val="24"/>
              </w:rPr>
              <w:t>2.</w:t>
            </w:r>
            <w:r w:rsidR="00101DC0">
              <w:rPr>
                <w:rFonts w:ascii="Calibri" w:hAnsi="Calibri" w:cs="Calibri"/>
                <w:sz w:val="24"/>
                <w:szCs w:val="24"/>
              </w:rPr>
              <w:t>5</w:t>
            </w:r>
            <w:r w:rsidR="005208F3">
              <w:rPr>
                <w:rFonts w:ascii="Calibri" w:hAnsi="Calibri" w:cs="Calibri"/>
                <w:sz w:val="24"/>
                <w:szCs w:val="24"/>
              </w:rPr>
              <w:t>8</w:t>
            </w:r>
          </w:p>
        </w:tc>
        <w:tc>
          <w:tcPr>
            <w:tcW w:w="1039" w:type="pct"/>
          </w:tcPr>
          <w:p w14:paraId="23215856" w14:textId="404BC3C6"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Other enhancement expenditure</w:t>
            </w:r>
          </w:p>
        </w:tc>
        <w:tc>
          <w:tcPr>
            <w:tcW w:w="2919" w:type="pct"/>
          </w:tcPr>
          <w:p w14:paraId="51469DB4" w14:textId="4023AF1C"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A balancing line for </w:t>
            </w:r>
            <w:r w:rsidRPr="002E7A00" w:rsidDel="005D2883">
              <w:rPr>
                <w:rFonts w:ascii="Calibri" w:hAnsi="Calibri" w:cs="Calibri"/>
                <w:sz w:val="24"/>
                <w:szCs w:val="24"/>
              </w:rPr>
              <w:t>enhancement</w:t>
            </w:r>
            <w:r w:rsidRPr="002E7A00">
              <w:rPr>
                <w:rFonts w:ascii="Calibri" w:hAnsi="Calibri" w:cs="Calibri"/>
                <w:sz w:val="24"/>
                <w:szCs w:val="24"/>
              </w:rPr>
              <w:t>-related expenditure where the expenditure total in this table does not align with the total enhancement-related expenditure in table 5. Output columns for this line are not applicable.</w:t>
            </w:r>
          </w:p>
        </w:tc>
        <w:tc>
          <w:tcPr>
            <w:tcW w:w="622" w:type="pct"/>
          </w:tcPr>
          <w:p w14:paraId="1D1CE0A7" w14:textId="58BC7818"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w:t>
            </w:r>
          </w:p>
        </w:tc>
      </w:tr>
      <w:tr w:rsidR="001B400B" w:rsidRPr="002E7A00" w14:paraId="075752D1" w14:textId="77777777" w:rsidTr="001C2041">
        <w:tc>
          <w:tcPr>
            <w:tcW w:w="420" w:type="pct"/>
          </w:tcPr>
          <w:p w14:paraId="7D1AC427" w14:textId="31F8B5CA" w:rsidR="001B400B" w:rsidRPr="002E7A00" w:rsidRDefault="007619C1" w:rsidP="00954233">
            <w:pPr>
              <w:pStyle w:val="TableParagraph"/>
              <w:rPr>
                <w:rFonts w:ascii="Calibri" w:hAnsi="Calibri" w:cs="Calibri"/>
                <w:sz w:val="24"/>
                <w:szCs w:val="24"/>
              </w:rPr>
            </w:pPr>
            <w:r w:rsidRPr="002E7A00">
              <w:rPr>
                <w:rFonts w:ascii="Calibri" w:hAnsi="Calibri" w:cs="Calibri"/>
                <w:sz w:val="24"/>
                <w:szCs w:val="24"/>
              </w:rPr>
              <w:t>2.</w:t>
            </w:r>
            <w:r w:rsidR="005208F3">
              <w:rPr>
                <w:rFonts w:ascii="Calibri" w:hAnsi="Calibri" w:cs="Calibri"/>
                <w:sz w:val="24"/>
                <w:szCs w:val="24"/>
              </w:rPr>
              <w:t>59</w:t>
            </w:r>
          </w:p>
        </w:tc>
        <w:tc>
          <w:tcPr>
            <w:tcW w:w="1039" w:type="pct"/>
          </w:tcPr>
          <w:p w14:paraId="06E3F931" w14:textId="34019306"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Other growth expenditure</w:t>
            </w:r>
          </w:p>
        </w:tc>
        <w:tc>
          <w:tcPr>
            <w:tcW w:w="2919" w:type="pct"/>
          </w:tcPr>
          <w:p w14:paraId="72DB8B5D" w14:textId="44328889"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A balancing line for </w:t>
            </w:r>
            <w:r w:rsidRPr="002E7A00" w:rsidDel="005D2883">
              <w:rPr>
                <w:rFonts w:ascii="Calibri" w:hAnsi="Calibri" w:cs="Calibri"/>
                <w:sz w:val="24"/>
                <w:szCs w:val="24"/>
              </w:rPr>
              <w:t>growth</w:t>
            </w:r>
            <w:r w:rsidRPr="002E7A00">
              <w:rPr>
                <w:rFonts w:ascii="Calibri" w:hAnsi="Calibri" w:cs="Calibri"/>
                <w:sz w:val="24"/>
                <w:szCs w:val="24"/>
              </w:rPr>
              <w:t>-related expenditure where the expenditure total in this table does not align with the total growth-related expenditure in table 5</w:t>
            </w:r>
            <w:r w:rsidR="00514E59" w:rsidRPr="002E7A00">
              <w:rPr>
                <w:rFonts w:ascii="Calibri" w:hAnsi="Calibri" w:cs="Calibri"/>
                <w:sz w:val="24"/>
                <w:szCs w:val="24"/>
              </w:rPr>
              <w:t>.</w:t>
            </w:r>
            <w:r w:rsidRPr="002E7A00">
              <w:rPr>
                <w:rFonts w:ascii="Calibri" w:hAnsi="Calibri" w:cs="Calibri"/>
                <w:sz w:val="24"/>
                <w:szCs w:val="24"/>
              </w:rPr>
              <w:t xml:space="preserve"> Output columns for this line are not applicable.</w:t>
            </w:r>
          </w:p>
        </w:tc>
        <w:tc>
          <w:tcPr>
            <w:tcW w:w="622" w:type="pct"/>
          </w:tcPr>
          <w:p w14:paraId="6B7E6253" w14:textId="611A1400"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£m</w:t>
            </w:r>
          </w:p>
        </w:tc>
      </w:tr>
      <w:tr w:rsidR="001B400B" w:rsidRPr="002E7A00" w14:paraId="158284C9" w14:textId="53896015" w:rsidTr="001C2041">
        <w:tc>
          <w:tcPr>
            <w:tcW w:w="420" w:type="pct"/>
          </w:tcPr>
          <w:p w14:paraId="22ECF20F" w14:textId="3D3DB1A7" w:rsidR="001B400B" w:rsidRPr="002E7A00" w:rsidRDefault="007619C1" w:rsidP="00954233">
            <w:pPr>
              <w:pStyle w:val="TableParagraph"/>
              <w:rPr>
                <w:rFonts w:ascii="Calibri" w:hAnsi="Calibri" w:cs="Calibri"/>
                <w:sz w:val="24"/>
                <w:szCs w:val="24"/>
              </w:rPr>
            </w:pPr>
            <w:r w:rsidRPr="002E7A00">
              <w:rPr>
                <w:rFonts w:ascii="Calibri" w:hAnsi="Calibri" w:cs="Calibri"/>
                <w:sz w:val="24"/>
                <w:szCs w:val="24"/>
              </w:rPr>
              <w:t>2.</w:t>
            </w:r>
            <w:r w:rsidR="005208F3">
              <w:rPr>
                <w:rFonts w:ascii="Calibri" w:hAnsi="Calibri" w:cs="Calibri"/>
                <w:sz w:val="24"/>
                <w:szCs w:val="24"/>
              </w:rPr>
              <w:t>60</w:t>
            </w:r>
          </w:p>
        </w:tc>
        <w:tc>
          <w:tcPr>
            <w:tcW w:w="1039" w:type="pct"/>
          </w:tcPr>
          <w:p w14:paraId="770EF4D3" w14:textId="5B50485F" w:rsidR="001B400B" w:rsidRPr="002E7A00" w:rsidRDefault="001B400B" w:rsidP="00954233">
            <w:pPr>
              <w:pStyle w:val="TableParagraph"/>
              <w:rPr>
                <w:rFonts w:ascii="Calibri" w:hAnsi="Calibri" w:cs="Calibri"/>
                <w:color w:val="000000"/>
                <w:sz w:val="24"/>
                <w:szCs w:val="24"/>
              </w:rPr>
            </w:pPr>
            <w:r w:rsidRPr="002E7A00">
              <w:rPr>
                <w:rFonts w:ascii="Calibri" w:hAnsi="Calibri" w:cs="Calibri"/>
                <w:color w:val="000000"/>
                <w:sz w:val="24"/>
                <w:szCs w:val="24"/>
              </w:rPr>
              <w:t>Total</w:t>
            </w:r>
          </w:p>
        </w:tc>
        <w:tc>
          <w:tcPr>
            <w:tcW w:w="2919" w:type="pct"/>
          </w:tcPr>
          <w:p w14:paraId="13D33884" w14:textId="30D811F5" w:rsidR="001B400B" w:rsidRPr="002E7A00" w:rsidRDefault="001B400B" w:rsidP="00D07A1C">
            <w:pPr>
              <w:pStyle w:val="TableParagraph"/>
              <w:spacing w:afterLines="60" w:after="144"/>
              <w:rPr>
                <w:rFonts w:ascii="Calibri" w:hAnsi="Calibri" w:cs="Calibri"/>
                <w:sz w:val="24"/>
                <w:szCs w:val="24"/>
              </w:rPr>
            </w:pPr>
            <w:r w:rsidRPr="002E7A00">
              <w:rPr>
                <w:rFonts w:ascii="Calibri" w:hAnsi="Calibri" w:cs="Calibri"/>
                <w:sz w:val="24"/>
                <w:szCs w:val="24"/>
              </w:rPr>
              <w:t>Total enhancement and growth expenditure. Output columns for this line are not applicable.</w:t>
            </w:r>
          </w:p>
        </w:tc>
        <w:tc>
          <w:tcPr>
            <w:tcW w:w="622" w:type="pct"/>
          </w:tcPr>
          <w:p w14:paraId="292BEF27" w14:textId="65BFD9D9" w:rsidR="001B400B" w:rsidRPr="002E7A00" w:rsidRDefault="001B400B" w:rsidP="00954233">
            <w:pPr>
              <w:pStyle w:val="TableParagraph"/>
              <w:rPr>
                <w:rFonts w:ascii="Calibri" w:hAnsi="Calibri" w:cs="Calibri"/>
                <w:sz w:val="24"/>
                <w:szCs w:val="24"/>
              </w:rPr>
            </w:pPr>
            <w:r w:rsidRPr="002E7A00">
              <w:rPr>
                <w:rFonts w:ascii="Calibri" w:hAnsi="Calibri" w:cs="Calibri"/>
                <w:color w:val="000000"/>
                <w:sz w:val="24"/>
                <w:szCs w:val="24"/>
              </w:rPr>
              <w:t>£m</w:t>
            </w:r>
          </w:p>
        </w:tc>
      </w:tr>
    </w:tbl>
    <w:p w14:paraId="2D2B2D65" w14:textId="77777777" w:rsidR="00CA36E1" w:rsidRDefault="00CA36E1" w:rsidP="00E6436F">
      <w:pPr>
        <w:rPr>
          <w:rStyle w:val="Hyperlink"/>
        </w:rPr>
      </w:pPr>
    </w:p>
    <w:p w14:paraId="75B14350" w14:textId="77777777" w:rsidR="00620AE0" w:rsidRDefault="00620AE0" w:rsidP="00F312CE">
      <w:pPr>
        <w:sectPr w:rsidR="00620AE0" w:rsidSect="00620AE0">
          <w:pgSz w:w="16838" w:h="11906" w:orient="landscape" w:code="9"/>
          <w:pgMar w:top="1134" w:right="1134" w:bottom="1134" w:left="1134" w:header="567" w:footer="567" w:gutter="0"/>
          <w:cols w:space="708"/>
          <w:docGrid w:linePitch="360"/>
        </w:sectPr>
      </w:pPr>
    </w:p>
    <w:p w14:paraId="63A5A0C9" w14:textId="3315B7A4" w:rsidR="00F312CE" w:rsidRDefault="00F312CE">
      <w:pPr>
        <w:pStyle w:val="heading10"/>
        <w:numPr>
          <w:ilvl w:val="0"/>
          <w:numId w:val="34"/>
        </w:numPr>
        <w:outlineLvl w:val="0"/>
      </w:pPr>
      <w:bookmarkStart w:id="18" w:name="_Toc184736038"/>
      <w:r>
        <w:lastRenderedPageBreak/>
        <w:t xml:space="preserve">Maintenance </w:t>
      </w:r>
      <w:r w:rsidR="005E1A53">
        <w:t>e</w:t>
      </w:r>
      <w:r w:rsidR="00F030BD">
        <w:t>xpenditure</w:t>
      </w:r>
      <w:r w:rsidR="00A066AD">
        <w:t xml:space="preserve"> and </w:t>
      </w:r>
      <w:r w:rsidR="007B2DE5">
        <w:t>a</w:t>
      </w:r>
      <w:r w:rsidR="00A066AD">
        <w:t xml:space="preserve">sset </w:t>
      </w:r>
      <w:r w:rsidR="007B2DE5">
        <w:t>h</w:t>
      </w:r>
      <w:r w:rsidR="00A066AD">
        <w:t>ealth</w:t>
      </w:r>
      <w:bookmarkEnd w:id="18"/>
    </w:p>
    <w:p w14:paraId="0C47761F" w14:textId="19480040" w:rsidR="004E17C3" w:rsidRDefault="00E97C27" w:rsidP="004E17C3">
      <w:r>
        <w:t xml:space="preserve">The draft </w:t>
      </w:r>
      <w:r w:rsidR="00A01D6A">
        <w:t xml:space="preserve">tables, guidance and definitions to the business plan contained </w:t>
      </w:r>
      <w:r w:rsidR="00B85BAE">
        <w:t>one “Table 3. Maintenance expenditure” which aimed to capture both expenditure and asset health</w:t>
      </w:r>
      <w:r w:rsidR="00926FC6">
        <w:t xml:space="preserve">. Following Scottish Water’s response to </w:t>
      </w:r>
      <w:r w:rsidR="00F96BAA">
        <w:t xml:space="preserve">the </w:t>
      </w:r>
      <w:r w:rsidR="007256C9">
        <w:t>consultation on this draft</w:t>
      </w:r>
      <w:r w:rsidR="00477FEB">
        <w:t xml:space="preserve">, the </w:t>
      </w:r>
      <w:r w:rsidR="004D0480">
        <w:t xml:space="preserve">final tables split the reporting of this data into </w:t>
      </w:r>
      <w:r w:rsidR="00810F5D">
        <w:t>“</w:t>
      </w:r>
      <w:r w:rsidR="004D0480">
        <w:t>Table 3a. Maintenance Expenditure</w:t>
      </w:r>
      <w:r w:rsidR="00810F5D">
        <w:t>”</w:t>
      </w:r>
      <w:r w:rsidR="004D0480">
        <w:t xml:space="preserve"> and </w:t>
      </w:r>
      <w:r w:rsidR="00810F5D">
        <w:t>“</w:t>
      </w:r>
      <w:r w:rsidR="004D0480">
        <w:t>Table 3b. Asset Health</w:t>
      </w:r>
      <w:r w:rsidR="00810F5D">
        <w:t xml:space="preserve">” to allow </w:t>
      </w:r>
      <w:r w:rsidR="00981A03">
        <w:t>asset health to be reported by the asset categories Scottish Water uses for its asset modelling.</w:t>
      </w:r>
    </w:p>
    <w:p w14:paraId="38BD12EA" w14:textId="77777777" w:rsidR="009C72D4" w:rsidRDefault="009C72D4" w:rsidP="004E17C3"/>
    <w:p w14:paraId="75518D9A" w14:textId="3AB66BA0" w:rsidR="009C72D4" w:rsidRDefault="000A1463" w:rsidP="009C72D4">
      <w:pPr>
        <w:pStyle w:val="heading20"/>
        <w:ind w:left="788" w:hanging="431"/>
        <w:outlineLvl w:val="1"/>
      </w:pPr>
      <w:bookmarkStart w:id="19" w:name="_Toc184736039"/>
      <w:r>
        <w:t>Table 3a</w:t>
      </w:r>
      <w:r w:rsidR="003E27EA">
        <w:t>: Maintenance expenditure</w:t>
      </w:r>
      <w:bookmarkEnd w:id="19"/>
    </w:p>
    <w:p w14:paraId="7796A76E" w14:textId="77777777" w:rsidR="00F312CE" w:rsidRDefault="00F312CE" w:rsidP="0076460B">
      <w:pPr>
        <w:pStyle w:val="heading30"/>
        <w:outlineLvl w:val="3"/>
      </w:pPr>
      <w:r>
        <w:t>Purpose</w:t>
      </w:r>
    </w:p>
    <w:p w14:paraId="00C606C2" w14:textId="77777777" w:rsidR="00212FC1" w:rsidRDefault="00212FC1" w:rsidP="00F312CE"/>
    <w:p w14:paraId="69A20FDC" w14:textId="7A3F07A7" w:rsidR="00F312CE" w:rsidRDefault="00414653" w:rsidP="00F312CE">
      <w:r>
        <w:t xml:space="preserve">This </w:t>
      </w:r>
      <w:r w:rsidR="00CD1691">
        <w:t xml:space="preserve">table </w:t>
      </w:r>
      <w:r w:rsidR="00F751AE">
        <w:t>captures</w:t>
      </w:r>
      <w:r w:rsidR="00F312CE">
        <w:t xml:space="preserve"> the asset </w:t>
      </w:r>
      <w:r w:rsidR="00793DD7">
        <w:t>maintenance</w:t>
      </w:r>
      <w:r w:rsidR="00F312CE">
        <w:t xml:space="preserve"> work planned for SRC27. This expenditure on each asset category </w:t>
      </w:r>
      <w:r w:rsidR="001E0B40">
        <w:t xml:space="preserve">is </w:t>
      </w:r>
      <w:r w:rsidR="0002683A">
        <w:t>categorised</w:t>
      </w:r>
      <w:r w:rsidR="00512E0F">
        <w:t xml:space="preserve"> as </w:t>
      </w:r>
      <w:r w:rsidR="0002683A">
        <w:t xml:space="preserve">either replacement or repair </w:t>
      </w:r>
      <w:r>
        <w:t xml:space="preserve">and </w:t>
      </w:r>
      <w:r w:rsidR="00CD1691">
        <w:t>refurbishment</w:t>
      </w:r>
      <w:r w:rsidR="0002683A">
        <w:t>. The table</w:t>
      </w:r>
      <w:r w:rsidR="00F312CE">
        <w:t xml:space="preserve"> includes information relating to the overall asset inventory of Scottish Water in order to capture the difference between economic depreciation and asset maintenance expenditure. This table provides information on: </w:t>
      </w:r>
    </w:p>
    <w:p w14:paraId="09475027" w14:textId="192C8C06" w:rsidR="00F312CE" w:rsidRDefault="00F312CE" w:rsidP="00212FC1">
      <w:pPr>
        <w:pStyle w:val="Bullet1"/>
      </w:pPr>
      <w:r>
        <w:t>the expenditure of asset replacement and repair/refurbishment interventions</w:t>
      </w:r>
      <w:r w:rsidR="007A23AC">
        <w:t xml:space="preserve"> </w:t>
      </w:r>
      <w:r w:rsidR="007A23AC" w:rsidRPr="007A23AC">
        <w:t xml:space="preserve">forecast in each year of the SRC27 </w:t>
      </w:r>
      <w:r w:rsidR="00414653">
        <w:t xml:space="preserve">regulatory control </w:t>
      </w:r>
      <w:r w:rsidR="007A23AC" w:rsidRPr="007A23AC">
        <w:t>period</w:t>
      </w:r>
      <w:r>
        <w:t>;</w:t>
      </w:r>
    </w:p>
    <w:p w14:paraId="52D9605C" w14:textId="1455824C" w:rsidR="00F312CE" w:rsidRDefault="00F312CE" w:rsidP="00212FC1">
      <w:pPr>
        <w:pStyle w:val="Bullet1"/>
      </w:pPr>
      <w:r>
        <w:t>the number of assets, their unit cost of replacement</w:t>
      </w:r>
      <w:r w:rsidR="00A61162">
        <w:t xml:space="preserve">, </w:t>
      </w:r>
      <w:r>
        <w:t>capacity</w:t>
      </w:r>
      <w:r w:rsidR="00A61162">
        <w:t>, asset value</w:t>
      </w:r>
      <w:r w:rsidR="00002EE1">
        <w:t xml:space="preserve"> and </w:t>
      </w:r>
      <w:r w:rsidR="00A61162">
        <w:t>expected asset lifetime</w:t>
      </w:r>
      <w:r w:rsidR="00002EE1">
        <w:t>;</w:t>
      </w:r>
      <w:r w:rsidR="00A61162" w:rsidDel="00002EE1">
        <w:t xml:space="preserve"> and</w:t>
      </w:r>
    </w:p>
    <w:p w14:paraId="23EF3836" w14:textId="34A0DCB2" w:rsidR="00BD0BB9" w:rsidRDefault="00EC4DDD" w:rsidP="00212FC1">
      <w:pPr>
        <w:pStyle w:val="Bullet1"/>
      </w:pPr>
      <w:r>
        <w:t>the a</w:t>
      </w:r>
      <w:r w:rsidRPr="00EC4DDD">
        <w:t>sset replacement surplus</w:t>
      </w:r>
      <w:r w:rsidR="005221D8">
        <w:t xml:space="preserve"> or </w:t>
      </w:r>
      <w:r w:rsidRPr="00EC4DDD">
        <w:t xml:space="preserve">deficit </w:t>
      </w:r>
      <w:r w:rsidR="00002EE1">
        <w:t xml:space="preserve">generated </w:t>
      </w:r>
      <w:r w:rsidRPr="00EC4DDD">
        <w:t>in SRC27</w:t>
      </w:r>
      <w:r>
        <w:t>, i</w:t>
      </w:r>
      <w:r w:rsidR="00CD186C">
        <w:t>.</w:t>
      </w:r>
      <w:r>
        <w:t>e</w:t>
      </w:r>
      <w:r w:rsidR="00CD186C">
        <w:t>.</w:t>
      </w:r>
      <w:r w:rsidR="001E67DD">
        <w:t>,</w:t>
      </w:r>
      <w:r>
        <w:t xml:space="preserve"> the difference between the actual replacement expenditure and the </w:t>
      </w:r>
      <w:r w:rsidR="00D25A82">
        <w:t>average a</w:t>
      </w:r>
      <w:r w:rsidR="00D25A82" w:rsidRPr="00D25A82">
        <w:t>nnual run-rate for replacement</w:t>
      </w:r>
      <w:r w:rsidR="00F83D89">
        <w:t xml:space="preserve"> calculated based on the </w:t>
      </w:r>
      <w:r w:rsidR="005221D8">
        <w:t>asset value divided by the assumed asset life.</w:t>
      </w:r>
    </w:p>
    <w:p w14:paraId="07178B64" w14:textId="77777777" w:rsidR="00F312CE" w:rsidRDefault="00F312CE" w:rsidP="00F312CE"/>
    <w:p w14:paraId="2D4B26A3" w14:textId="77777777" w:rsidR="00F312CE" w:rsidRDefault="00F312CE" w:rsidP="00954233">
      <w:pPr>
        <w:pStyle w:val="heading30"/>
        <w:outlineLvl w:val="3"/>
      </w:pPr>
      <w:r>
        <w:t>Guidance</w:t>
      </w:r>
    </w:p>
    <w:p w14:paraId="4C04274F" w14:textId="77777777" w:rsidR="0006555C" w:rsidRDefault="0006555C" w:rsidP="00212FC1"/>
    <w:p w14:paraId="7D03559E" w14:textId="77777777" w:rsidR="00CE5569" w:rsidRDefault="00CE5569" w:rsidP="00CE5569">
      <w:r w:rsidRPr="00CA322A">
        <w:t xml:space="preserve">Maintenance expenditure is investment in assets in order to maintain existing service levels to customers. This can comprise fixing an existing asset to ensure it meets its expected life (asset repair), extending the life of an existing asset (asset refurbishment) or replacing the asset outright (asset replacement). This may also be referred to as capital maintenance. </w:t>
      </w:r>
    </w:p>
    <w:p w14:paraId="10A9E91B" w14:textId="77777777" w:rsidR="00CE5569" w:rsidRPr="00CA322A" w:rsidRDefault="00CE5569" w:rsidP="00CE5569"/>
    <w:p w14:paraId="11CF24FD" w14:textId="6656422F" w:rsidR="0006555C" w:rsidRDefault="00380923" w:rsidP="0006555C">
      <w:r>
        <w:t>Table 3</w:t>
      </w:r>
      <w:r w:rsidR="000A2F70">
        <w:t>a</w:t>
      </w:r>
      <w:r>
        <w:t xml:space="preserve"> has</w:t>
      </w:r>
      <w:r w:rsidR="0006555C">
        <w:t xml:space="preserve"> an</w:t>
      </w:r>
      <w:r w:rsidR="0006555C" w:rsidRPr="00E6436F">
        <w:t xml:space="preserve"> input</w:t>
      </w:r>
      <w:r w:rsidR="0006555C">
        <w:t xml:space="preserve"> line for each </w:t>
      </w:r>
      <w:r w:rsidR="0006555C" w:rsidDel="00301948">
        <w:t>sub</w:t>
      </w:r>
      <w:r w:rsidR="00301948">
        <w:t>-asset</w:t>
      </w:r>
      <w:r w:rsidR="0006555C">
        <w:t xml:space="preserve"> category. There are </w:t>
      </w:r>
      <w:r w:rsidR="0006555C" w:rsidDel="00301948">
        <w:t>sub</w:t>
      </w:r>
      <w:r w:rsidR="00301948">
        <w:t>-total lines for each service level and a total line that</w:t>
      </w:r>
      <w:r w:rsidR="004A08B0">
        <w:t xml:space="preserve"> captures the position over applicable </w:t>
      </w:r>
      <w:r w:rsidR="00301948">
        <w:t xml:space="preserve">regulatory control </w:t>
      </w:r>
      <w:r w:rsidR="004A08B0">
        <w:t>periods</w:t>
      </w:r>
      <w:r w:rsidR="00CF62BB">
        <w:t>.</w:t>
      </w:r>
      <w:r w:rsidR="0006555C" w:rsidRPr="00E6436F">
        <w:t xml:space="preserve"> Scottish Water should report </w:t>
      </w:r>
      <w:r>
        <w:t xml:space="preserve">maintenance </w:t>
      </w:r>
      <w:r w:rsidR="0006555C" w:rsidRPr="00E6436F">
        <w:t>expenditure in 2024</w:t>
      </w:r>
      <w:r w:rsidR="006837C8">
        <w:t>-</w:t>
      </w:r>
      <w:r w:rsidR="0006555C" w:rsidRPr="00E6436F">
        <w:t xml:space="preserve">25 price base. The units of expenditure are £m to 3 decimal places. </w:t>
      </w:r>
      <w:r w:rsidR="005A2DDB">
        <w:t xml:space="preserve">The expenditure forecasts in this table should be inclusive of risk allowances. </w:t>
      </w:r>
      <w:r w:rsidR="0006555C">
        <w:t xml:space="preserve">Units </w:t>
      </w:r>
      <w:r w:rsidR="0006555C">
        <w:lastRenderedPageBreak/>
        <w:t>for</w:t>
      </w:r>
      <w:r w:rsidR="0006555C" w:rsidRPr="00E6436F">
        <w:t xml:space="preserve"> </w:t>
      </w:r>
      <w:r w:rsidR="00B5333D">
        <w:t>other asset inventory data</w:t>
      </w:r>
      <w:r w:rsidR="0006555C" w:rsidRPr="00E6436F">
        <w:t xml:space="preserve"> are given in the definition</w:t>
      </w:r>
      <w:r w:rsidR="00D458E1">
        <w:t>s</w:t>
      </w:r>
      <w:r w:rsidR="0006555C" w:rsidRPr="00E6436F">
        <w:t xml:space="preserve"> below.</w:t>
      </w:r>
      <w:r w:rsidR="00B5333D">
        <w:t xml:space="preserve"> Data is requested annually over the SRC27 period</w:t>
      </w:r>
      <w:r w:rsidR="00C81A5D">
        <w:t xml:space="preserve">, with a calculated total for </w:t>
      </w:r>
      <w:r w:rsidR="006D0A4E">
        <w:t>aggregating</w:t>
      </w:r>
      <w:r w:rsidR="00C81A5D">
        <w:t xml:space="preserve"> the six years</w:t>
      </w:r>
      <w:r w:rsidR="00B5333D">
        <w:t xml:space="preserve">. </w:t>
      </w:r>
    </w:p>
    <w:p w14:paraId="498196CC" w14:textId="77777777" w:rsidR="0006555C" w:rsidRDefault="0006555C" w:rsidP="0006555C"/>
    <w:p w14:paraId="32BD9523" w14:textId="6F304D3C" w:rsidR="006E227C" w:rsidRPr="00CA322A" w:rsidRDefault="006E227C" w:rsidP="006E227C">
      <w:r w:rsidRPr="00CA322A">
        <w:t xml:space="preserve">For those investment projects or programmes involving the replacement of an asset with another that provides a higher level of service or additional capacity, the allocation to asset replacement should be the optimised replacement cost of the asset. </w:t>
      </w:r>
      <w:r w:rsidR="004C7169" w:rsidRPr="00CD2C81">
        <w:rPr>
          <w:rFonts w:cstheme="minorHAnsi"/>
        </w:rPr>
        <w:t xml:space="preserve">Optimised replacement is defined as replacing an asset with one </w:t>
      </w:r>
      <w:r w:rsidR="006D0A4E">
        <w:rPr>
          <w:rFonts w:cstheme="minorHAnsi"/>
        </w:rPr>
        <w:t>with</w:t>
      </w:r>
      <w:r w:rsidR="004C7169" w:rsidRPr="00CD2C81">
        <w:rPr>
          <w:rFonts w:cstheme="minorHAnsi"/>
        </w:rPr>
        <w:t xml:space="preserve"> the equivalent productive capacity, taking account of modern materials, techniques and design.</w:t>
      </w:r>
      <w:r w:rsidR="004C7169">
        <w:rPr>
          <w:rFonts w:cstheme="minorHAnsi"/>
        </w:rPr>
        <w:t xml:space="preserve"> </w:t>
      </w:r>
      <w:r w:rsidRPr="00CA322A">
        <w:t>Any incremental expenditure over and above the optimised replacement cost of the asset should either be allocated to:</w:t>
      </w:r>
    </w:p>
    <w:p w14:paraId="2E0F2EB1" w14:textId="77777777" w:rsidR="006E227C" w:rsidRPr="00CA322A" w:rsidRDefault="006E227C" w:rsidP="006E227C">
      <w:pPr>
        <w:pStyle w:val="Bullet1"/>
        <w:rPr>
          <w:color w:val="auto"/>
        </w:rPr>
      </w:pPr>
      <w:r w:rsidRPr="00CA322A">
        <w:rPr>
          <w:color w:val="auto"/>
        </w:rPr>
        <w:t>enhancement – if the project involves replacement of an asset with another that provides a higher level of service in response to a legislative or other requirement; or</w:t>
      </w:r>
    </w:p>
    <w:p w14:paraId="177F0103" w14:textId="36FB6F31" w:rsidR="006E227C" w:rsidRPr="00CA322A" w:rsidRDefault="006E227C" w:rsidP="006E227C">
      <w:pPr>
        <w:pStyle w:val="Bullet1"/>
        <w:rPr>
          <w:color w:val="auto"/>
        </w:rPr>
      </w:pPr>
      <w:r w:rsidRPr="00CA322A">
        <w:rPr>
          <w:color w:val="auto"/>
        </w:rPr>
        <w:t>growth – if the project involves the replacement of an asset with another that provides additional capacity.</w:t>
      </w:r>
    </w:p>
    <w:p w14:paraId="7E569937" w14:textId="77777777" w:rsidR="006E227C" w:rsidRDefault="006E227C" w:rsidP="006E227C">
      <w:pPr>
        <w:rPr>
          <w:color w:val="FF0000"/>
        </w:rPr>
      </w:pPr>
    </w:p>
    <w:p w14:paraId="412E84B7" w14:textId="1D7367F4" w:rsidR="006D0A4E" w:rsidRDefault="006D0A4E" w:rsidP="006E227C">
      <w:pPr>
        <w:rPr>
          <w:rFonts w:cstheme="minorHAnsi"/>
        </w:rPr>
      </w:pPr>
      <w:r>
        <w:rPr>
          <w:rFonts w:cstheme="minorHAnsi"/>
        </w:rPr>
        <w:t xml:space="preserve">For the avoidance of doubt, this guidance uses optimised replacement and Modern Equivalent Asset Value (MEAV) interchangeably. </w:t>
      </w:r>
    </w:p>
    <w:p w14:paraId="2811D780" w14:textId="77777777" w:rsidR="006D0A4E" w:rsidRDefault="006D0A4E" w:rsidP="006E227C">
      <w:pPr>
        <w:rPr>
          <w:rFonts w:cstheme="minorHAnsi"/>
        </w:rPr>
      </w:pPr>
    </w:p>
    <w:p w14:paraId="5B40DDF9" w14:textId="072B6D6E" w:rsidR="006E227C" w:rsidRPr="005A3394" w:rsidRDefault="00486D49" w:rsidP="006E227C">
      <w:pPr>
        <w:rPr>
          <w:color w:val="FF0000"/>
        </w:rPr>
      </w:pPr>
      <w:r>
        <w:t>See chapter 2.2 for how climate change should be treated.</w:t>
      </w:r>
    </w:p>
    <w:p w14:paraId="3C65BDD4" w14:textId="77777777" w:rsidR="006E227C" w:rsidRDefault="006E227C" w:rsidP="0006555C"/>
    <w:p w14:paraId="49A4FD5C" w14:textId="192E3941" w:rsidR="0006555C" w:rsidRDefault="0006555C" w:rsidP="0006555C">
      <w:r>
        <w:t>Tables 2 and 3</w:t>
      </w:r>
      <w:r w:rsidR="00A960B4">
        <w:t>a</w:t>
      </w:r>
      <w:r>
        <w:t xml:space="preserve"> are intended to </w:t>
      </w:r>
      <w:r w:rsidR="00FF4792">
        <w:t xml:space="preserve">represent a subset of the project and programme expenditure captured in </w:t>
      </w:r>
      <w:r w:rsidR="000E7851">
        <w:t>table</w:t>
      </w:r>
      <w:r>
        <w:t xml:space="preserve"> </w:t>
      </w:r>
      <w:r w:rsidR="00E91B02">
        <w:t>5</w:t>
      </w:r>
      <w:r>
        <w:t xml:space="preserve">. </w:t>
      </w:r>
    </w:p>
    <w:p w14:paraId="22BFD788" w14:textId="77777777" w:rsidR="0006555C" w:rsidRDefault="0006555C" w:rsidP="0006555C"/>
    <w:p w14:paraId="5FD55934" w14:textId="143713EB" w:rsidR="0006555C" w:rsidRDefault="009F3630">
      <w:pPr>
        <w:spacing w:after="160" w:line="259" w:lineRule="auto"/>
        <w:jc w:val="left"/>
      </w:pPr>
      <w:r>
        <w:br w:type="page"/>
      </w:r>
    </w:p>
    <w:p w14:paraId="728CE0EA" w14:textId="77777777" w:rsidR="009F3630" w:rsidRDefault="009F3630" w:rsidP="00C80D73">
      <w:pPr>
        <w:pStyle w:val="heading20"/>
        <w:numPr>
          <w:ilvl w:val="0"/>
          <w:numId w:val="0"/>
        </w:numPr>
        <w:ind w:left="10071" w:hanging="432"/>
        <w:outlineLvl w:val="1"/>
        <w:sectPr w:rsidR="009F3630" w:rsidSect="006312CE">
          <w:pgSz w:w="11906" w:h="16838" w:code="9"/>
          <w:pgMar w:top="1134" w:right="1134" w:bottom="1134" w:left="1134" w:header="567" w:footer="567" w:gutter="0"/>
          <w:cols w:space="708"/>
          <w:docGrid w:linePitch="360"/>
        </w:sectPr>
      </w:pPr>
    </w:p>
    <w:p w14:paraId="003C60CC" w14:textId="77777777" w:rsidR="00205CBB" w:rsidRDefault="00205CBB" w:rsidP="00954233">
      <w:pPr>
        <w:pStyle w:val="heading30"/>
        <w:outlineLvl w:val="3"/>
      </w:pPr>
      <w:r>
        <w:lastRenderedPageBreak/>
        <w:t>Definitions</w:t>
      </w:r>
    </w:p>
    <w:p w14:paraId="4AFEA56E" w14:textId="77777777" w:rsidR="00CA322A" w:rsidRDefault="00CA322A" w:rsidP="001566FE"/>
    <w:p w14:paraId="70BBEA63" w14:textId="35B4671C" w:rsidR="001566FE" w:rsidRDefault="001566FE" w:rsidP="001566FE">
      <w:r>
        <w:t xml:space="preserve">An asset intervention relates to activity carried out by Scottish Water on an asset. The definition of intervention(s) depends on the type of investment. These definitions </w:t>
      </w:r>
      <w:r w:rsidR="00314B60">
        <w:t xml:space="preserve">for maintenance investments </w:t>
      </w:r>
      <w:r>
        <w:t xml:space="preserve">are: </w:t>
      </w:r>
    </w:p>
    <w:p w14:paraId="741BD6AA" w14:textId="2D1AEFBA" w:rsidR="001566FE" w:rsidRDefault="001566FE" w:rsidP="001566FE">
      <w:pPr>
        <w:pStyle w:val="Bullet1"/>
      </w:pPr>
      <w:r>
        <w:t xml:space="preserve">asset replacement: the number or length of assets replaced; </w:t>
      </w:r>
    </w:p>
    <w:p w14:paraId="6B073DF4" w14:textId="77777777" w:rsidR="001566FE" w:rsidRDefault="001566FE" w:rsidP="001566FE">
      <w:pPr>
        <w:pStyle w:val="Bullet1"/>
      </w:pPr>
      <w:r>
        <w:t xml:space="preserve">asset refurbishment: the number of discrete refurbishments carried out on an asset; and </w:t>
      </w:r>
    </w:p>
    <w:p w14:paraId="0FE09FC5" w14:textId="200DBFCE" w:rsidR="001566FE" w:rsidRDefault="001566FE" w:rsidP="001566FE">
      <w:pPr>
        <w:pStyle w:val="Bullet1"/>
      </w:pPr>
      <w:r>
        <w:t xml:space="preserve">asset repair: the number of discrete repairs carried out on an asset. </w:t>
      </w:r>
    </w:p>
    <w:p w14:paraId="0B2A78AA" w14:textId="77777777" w:rsidR="003226EB" w:rsidRDefault="003226EB" w:rsidP="003226EB">
      <w:pPr>
        <w:pStyle w:val="Bullet1"/>
        <w:numPr>
          <w:ilvl w:val="0"/>
          <w:numId w:val="0"/>
        </w:numPr>
      </w:pPr>
    </w:p>
    <w:p w14:paraId="160F1463" w14:textId="79DBCEFA" w:rsidR="003226EB" w:rsidRPr="00B74E34" w:rsidRDefault="003226EB" w:rsidP="003226EB">
      <w:r w:rsidRPr="00B74E34">
        <w:t xml:space="preserve">Confidence grades should be </w:t>
      </w:r>
      <w:r w:rsidR="00843363">
        <w:t>assigned</w:t>
      </w:r>
      <w:r w:rsidRPr="00B74E34">
        <w:t xml:space="preserve"> in accordance with </w:t>
      </w:r>
      <w:r w:rsidR="00481B0D">
        <w:t xml:space="preserve">the </w:t>
      </w:r>
      <w:r w:rsidRPr="00B74E34">
        <w:t>guidance in</w:t>
      </w:r>
      <w:r w:rsidR="005E1809">
        <w:t xml:space="preserve"> </w:t>
      </w:r>
      <w:r w:rsidR="000840A1">
        <w:t>c</w:t>
      </w:r>
      <w:r w:rsidR="00775266">
        <w:t xml:space="preserve">hapter </w:t>
      </w:r>
      <w:r w:rsidR="005E1809">
        <w:t>‘Common Definitions’</w:t>
      </w:r>
      <w:r w:rsidRPr="00B74E34">
        <w:t xml:space="preserve">. </w:t>
      </w:r>
    </w:p>
    <w:p w14:paraId="275A27E9" w14:textId="77777777" w:rsidR="00205CBB" w:rsidRDefault="00205CBB" w:rsidP="00205CBB"/>
    <w:tbl>
      <w:tblPr>
        <w:tblStyle w:val="Blueline"/>
        <w:tblW w:w="0" w:type="auto"/>
        <w:tblLook w:val="04A0" w:firstRow="1" w:lastRow="0" w:firstColumn="1" w:lastColumn="0" w:noHBand="0" w:noVBand="1"/>
      </w:tblPr>
      <w:tblGrid>
        <w:gridCol w:w="1379"/>
        <w:gridCol w:w="2913"/>
        <w:gridCol w:w="7497"/>
        <w:gridCol w:w="2781"/>
      </w:tblGrid>
      <w:tr w:rsidR="007B193B" w:rsidRPr="00644B4B" w14:paraId="0D58C44F"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6802D87" w14:textId="0738B12A" w:rsidR="007B193B" w:rsidRPr="00E06E8A" w:rsidRDefault="00D72643" w:rsidP="00954233">
            <w:pPr>
              <w:pStyle w:val="BodyText"/>
              <w:spacing w:before="0"/>
              <w:rPr>
                <w:rFonts w:asciiTheme="minorHAnsi" w:hAnsiTheme="minorHAnsi" w:cstheme="minorHAnsi"/>
              </w:rPr>
            </w:pPr>
            <w:r>
              <w:rPr>
                <w:rFonts w:asciiTheme="minorHAnsi" w:hAnsiTheme="minorHAnsi" w:cstheme="minorHAnsi"/>
              </w:rPr>
              <w:t>Column</w:t>
            </w:r>
            <w:r w:rsidR="004D3CCC" w:rsidRPr="00E06E8A">
              <w:rPr>
                <w:rFonts w:asciiTheme="minorHAnsi" w:hAnsiTheme="minorHAnsi" w:cstheme="minorHAnsi"/>
              </w:rPr>
              <w:t xml:space="preserve"> </w:t>
            </w:r>
            <w:r w:rsidR="007B193B" w:rsidRPr="00E06E8A">
              <w:rPr>
                <w:rFonts w:asciiTheme="minorHAnsi" w:hAnsiTheme="minorHAnsi" w:cstheme="minorHAnsi"/>
              </w:rPr>
              <w:t>Reference</w:t>
            </w:r>
          </w:p>
        </w:tc>
        <w:tc>
          <w:tcPr>
            <w:tcW w:w="0" w:type="auto"/>
            <w:vAlign w:val="center"/>
          </w:tcPr>
          <w:p w14:paraId="2E5F8902" w14:textId="77777777" w:rsidR="007B193B" w:rsidRPr="00E06E8A" w:rsidRDefault="007B193B" w:rsidP="00954233">
            <w:pPr>
              <w:pStyle w:val="BodyText"/>
              <w:spacing w:before="0"/>
              <w:rPr>
                <w:rFonts w:asciiTheme="minorHAnsi" w:hAnsiTheme="minorHAnsi" w:cstheme="minorHAnsi"/>
              </w:rPr>
            </w:pPr>
            <w:r w:rsidRPr="00E06E8A">
              <w:rPr>
                <w:rFonts w:asciiTheme="minorHAnsi" w:hAnsiTheme="minorHAnsi" w:cstheme="minorHAnsi"/>
              </w:rPr>
              <w:t>Column Title</w:t>
            </w:r>
          </w:p>
        </w:tc>
        <w:tc>
          <w:tcPr>
            <w:tcW w:w="0" w:type="auto"/>
            <w:vAlign w:val="center"/>
          </w:tcPr>
          <w:p w14:paraId="2217DA09" w14:textId="77777777" w:rsidR="007B193B" w:rsidRPr="00E06E8A" w:rsidRDefault="007B193B" w:rsidP="00954233">
            <w:pPr>
              <w:pStyle w:val="BodyText"/>
              <w:spacing w:before="0"/>
              <w:rPr>
                <w:rFonts w:asciiTheme="minorHAnsi" w:hAnsiTheme="minorHAnsi" w:cstheme="minorHAnsi"/>
              </w:rPr>
            </w:pPr>
            <w:r w:rsidRPr="00E06E8A">
              <w:rPr>
                <w:rFonts w:asciiTheme="minorHAnsi" w:hAnsiTheme="minorHAnsi" w:cstheme="minorHAnsi"/>
              </w:rPr>
              <w:t>Description</w:t>
            </w:r>
          </w:p>
        </w:tc>
        <w:tc>
          <w:tcPr>
            <w:tcW w:w="0" w:type="auto"/>
            <w:vAlign w:val="center"/>
          </w:tcPr>
          <w:p w14:paraId="0814499D" w14:textId="77777777" w:rsidR="007B193B" w:rsidRPr="00E06E8A" w:rsidRDefault="007B193B" w:rsidP="00954233">
            <w:pPr>
              <w:pStyle w:val="BodyText"/>
              <w:spacing w:before="0"/>
              <w:rPr>
                <w:rFonts w:asciiTheme="minorHAnsi" w:hAnsiTheme="minorHAnsi" w:cstheme="minorHAnsi"/>
              </w:rPr>
            </w:pPr>
            <w:r w:rsidRPr="00E06E8A">
              <w:rPr>
                <w:rFonts w:asciiTheme="minorHAnsi" w:hAnsiTheme="minorHAnsi" w:cstheme="minorHAnsi"/>
              </w:rPr>
              <w:t>Units</w:t>
            </w:r>
          </w:p>
        </w:tc>
      </w:tr>
      <w:tr w:rsidR="007B193B" w:rsidRPr="00644B4B" w14:paraId="6CC42F4B" w14:textId="77777777" w:rsidTr="003E4601">
        <w:tc>
          <w:tcPr>
            <w:tcW w:w="0" w:type="auto"/>
          </w:tcPr>
          <w:p w14:paraId="216FCDFD" w14:textId="1E68F161" w:rsidR="007B193B" w:rsidRPr="00E06E8A" w:rsidRDefault="00A521BE">
            <w:pPr>
              <w:pStyle w:val="BodyText"/>
              <w:rPr>
                <w:rFonts w:asciiTheme="minorHAnsi" w:hAnsiTheme="minorHAnsi" w:cstheme="minorHAnsi"/>
              </w:rPr>
            </w:pPr>
            <w:r>
              <w:rPr>
                <w:rFonts w:asciiTheme="minorHAnsi" w:hAnsiTheme="minorHAnsi" w:cstheme="minorHAnsi"/>
              </w:rPr>
              <w:t>N/A</w:t>
            </w:r>
          </w:p>
        </w:tc>
        <w:tc>
          <w:tcPr>
            <w:tcW w:w="0" w:type="auto"/>
          </w:tcPr>
          <w:p w14:paraId="593E1ABB" w14:textId="2CC79F37" w:rsidR="007B193B" w:rsidRPr="00E06E8A" w:rsidRDefault="00295A6D">
            <w:pPr>
              <w:pStyle w:val="BodyText"/>
              <w:rPr>
                <w:rFonts w:asciiTheme="minorHAnsi" w:hAnsiTheme="minorHAnsi" w:cstheme="minorHAnsi"/>
              </w:rPr>
            </w:pPr>
            <w:r>
              <w:rPr>
                <w:rFonts w:asciiTheme="minorHAnsi" w:hAnsiTheme="minorHAnsi" w:cstheme="minorHAnsi"/>
              </w:rPr>
              <w:t xml:space="preserve">Block A: </w:t>
            </w:r>
            <w:r w:rsidR="001F6A37" w:rsidRPr="00E06E8A">
              <w:rPr>
                <w:rFonts w:asciiTheme="minorHAnsi" w:hAnsiTheme="minorHAnsi" w:cstheme="minorHAnsi"/>
              </w:rPr>
              <w:t>Asset</w:t>
            </w:r>
            <w:r w:rsidR="00A521BE">
              <w:rPr>
                <w:rFonts w:asciiTheme="minorHAnsi" w:hAnsiTheme="minorHAnsi" w:cstheme="minorHAnsi"/>
              </w:rPr>
              <w:t>s</w:t>
            </w:r>
          </w:p>
        </w:tc>
        <w:tc>
          <w:tcPr>
            <w:tcW w:w="0" w:type="auto"/>
          </w:tcPr>
          <w:p w14:paraId="605DEF87" w14:textId="4BA09AE2" w:rsidR="00F83BA5" w:rsidRPr="00E06E8A" w:rsidRDefault="001F6A37" w:rsidP="001F6A37">
            <w:pPr>
              <w:pStyle w:val="BodyText"/>
              <w:rPr>
                <w:rFonts w:asciiTheme="minorHAnsi" w:hAnsiTheme="minorHAnsi" w:cstheme="minorHAnsi"/>
              </w:rPr>
            </w:pPr>
            <w:r w:rsidRPr="00E06E8A">
              <w:rPr>
                <w:rFonts w:asciiTheme="minorHAnsi" w:hAnsiTheme="minorHAnsi" w:cstheme="minorHAnsi"/>
              </w:rPr>
              <w:t>Asset</w:t>
            </w:r>
            <w:r w:rsidR="00762F44" w:rsidRPr="00E06E8A">
              <w:rPr>
                <w:rFonts w:asciiTheme="minorHAnsi" w:hAnsiTheme="minorHAnsi" w:cstheme="minorHAnsi"/>
              </w:rPr>
              <w:t>s</w:t>
            </w:r>
            <w:r w:rsidRPr="00E06E8A">
              <w:rPr>
                <w:rFonts w:asciiTheme="minorHAnsi" w:hAnsiTheme="minorHAnsi" w:cstheme="minorHAnsi"/>
              </w:rPr>
              <w:t xml:space="preserve"> are classified </w:t>
            </w:r>
            <w:r w:rsidR="00F83BA5" w:rsidRPr="00E06E8A">
              <w:rPr>
                <w:rFonts w:asciiTheme="minorHAnsi" w:hAnsiTheme="minorHAnsi" w:cstheme="minorHAnsi"/>
              </w:rPr>
              <w:t>as:</w:t>
            </w:r>
          </w:p>
          <w:p w14:paraId="7E127D5B" w14:textId="1371CB2D" w:rsidR="0052556D" w:rsidRPr="00E06E8A" w:rsidRDefault="001F6A37" w:rsidP="0052556D">
            <w:pPr>
              <w:pStyle w:val="BodyText"/>
              <w:rPr>
                <w:rFonts w:asciiTheme="minorHAnsi" w:hAnsiTheme="minorHAnsi" w:cstheme="minorHAnsi"/>
              </w:rPr>
            </w:pPr>
            <w:r w:rsidRPr="00E06E8A">
              <w:rPr>
                <w:rFonts w:asciiTheme="minorHAnsi" w:hAnsiTheme="minorHAnsi" w:cstheme="minorHAnsi"/>
                <w:u w:val="single"/>
              </w:rPr>
              <w:t>Service</w:t>
            </w:r>
            <w:r w:rsidR="0052556D" w:rsidRPr="00E06E8A">
              <w:rPr>
                <w:rFonts w:asciiTheme="minorHAnsi" w:hAnsiTheme="minorHAnsi" w:cstheme="minorHAnsi"/>
                <w:u w:val="single"/>
              </w:rPr>
              <w:t>:</w:t>
            </w:r>
            <w:r w:rsidR="0052556D" w:rsidRPr="00E06E8A">
              <w:rPr>
                <w:rFonts w:asciiTheme="minorHAnsi" w:hAnsiTheme="minorHAnsi" w:cstheme="minorHAnsi"/>
              </w:rPr>
              <w:t xml:space="preserve"> Water, Foul sewage &amp; surface water shared assets, Foul sewage only, Surface water only</w:t>
            </w:r>
          </w:p>
          <w:p w14:paraId="5107C19A" w14:textId="77777777" w:rsidR="003713A9" w:rsidRPr="00E06E8A" w:rsidRDefault="00F24CCF" w:rsidP="0052556D">
            <w:pPr>
              <w:pStyle w:val="BodyText"/>
              <w:rPr>
                <w:rFonts w:asciiTheme="minorHAnsi" w:hAnsiTheme="minorHAnsi" w:cstheme="minorHAnsi"/>
                <w:u w:val="single"/>
              </w:rPr>
            </w:pPr>
            <w:r w:rsidRPr="00E06E8A">
              <w:rPr>
                <w:rFonts w:asciiTheme="minorHAnsi" w:hAnsiTheme="minorHAnsi" w:cstheme="minorHAnsi"/>
                <w:u w:val="single"/>
              </w:rPr>
              <w:t xml:space="preserve">Functional Activity: </w:t>
            </w:r>
          </w:p>
          <w:p w14:paraId="0247B250" w14:textId="2053D2FF" w:rsidR="00BD4F4C" w:rsidRPr="00E06E8A" w:rsidRDefault="003713A9" w:rsidP="00BD4F4C">
            <w:pPr>
              <w:spacing w:line="240" w:lineRule="auto"/>
              <w:jc w:val="left"/>
              <w:rPr>
                <w:rFonts w:eastAsia="Arial" w:cstheme="minorHAnsi"/>
                <w:szCs w:val="24"/>
              </w:rPr>
            </w:pPr>
            <w:r w:rsidRPr="00E06E8A">
              <w:rPr>
                <w:rFonts w:eastAsia="Arial" w:cstheme="minorHAnsi"/>
                <w:szCs w:val="24"/>
              </w:rPr>
              <w:t>Source (Raw), Distribution, Collection,</w:t>
            </w:r>
            <w:r w:rsidR="00D440D2">
              <w:rPr>
                <w:rFonts w:eastAsia="Arial" w:cstheme="minorHAnsi"/>
                <w:szCs w:val="24"/>
              </w:rPr>
              <w:t xml:space="preserve"> </w:t>
            </w:r>
            <w:r w:rsidR="00BD4F4C" w:rsidRPr="00E06E8A">
              <w:rPr>
                <w:rFonts w:eastAsia="Arial" w:cstheme="minorHAnsi"/>
                <w:szCs w:val="24"/>
              </w:rPr>
              <w:t>Wastewater Treatment Works, Discharge</w:t>
            </w:r>
            <w:r w:rsidR="00DE73BA">
              <w:rPr>
                <w:rFonts w:eastAsia="Arial" w:cstheme="minorHAnsi"/>
                <w:szCs w:val="24"/>
              </w:rPr>
              <w:t>,</w:t>
            </w:r>
            <w:r w:rsidR="00BD4F4C" w:rsidRPr="00E06E8A">
              <w:rPr>
                <w:rFonts w:eastAsia="Arial" w:cstheme="minorHAnsi"/>
                <w:szCs w:val="24"/>
              </w:rPr>
              <w:t xml:space="preserve"> </w:t>
            </w:r>
            <w:r w:rsidR="0070610D" w:rsidRPr="00E06E8A">
              <w:rPr>
                <w:rFonts w:eastAsia="Arial" w:cstheme="minorHAnsi"/>
                <w:szCs w:val="24"/>
              </w:rPr>
              <w:t xml:space="preserve">Business Services </w:t>
            </w:r>
          </w:p>
          <w:p w14:paraId="0D66707C" w14:textId="0275DD1E" w:rsidR="001F6A37" w:rsidRPr="00E06E8A" w:rsidRDefault="001F6A37" w:rsidP="001F6A37">
            <w:pPr>
              <w:pStyle w:val="BodyText"/>
              <w:rPr>
                <w:rFonts w:asciiTheme="minorHAnsi" w:hAnsiTheme="minorHAnsi" w:cstheme="minorHAnsi"/>
                <w:u w:val="single"/>
              </w:rPr>
            </w:pPr>
            <w:r w:rsidRPr="00E06E8A">
              <w:rPr>
                <w:rFonts w:asciiTheme="minorHAnsi" w:hAnsiTheme="minorHAnsi" w:cstheme="minorHAnsi"/>
                <w:u w:val="single"/>
              </w:rPr>
              <w:t>Asset category</w:t>
            </w:r>
            <w:r w:rsidR="0052556D" w:rsidRPr="00E06E8A">
              <w:rPr>
                <w:rFonts w:asciiTheme="minorHAnsi" w:hAnsiTheme="minorHAnsi" w:cstheme="minorHAnsi"/>
              </w:rPr>
              <w:t xml:space="preserve">: </w:t>
            </w:r>
            <w:r w:rsidR="008970A3" w:rsidRPr="00E06E8A">
              <w:rPr>
                <w:rFonts w:asciiTheme="minorHAnsi" w:hAnsiTheme="minorHAnsi" w:cstheme="minorHAnsi"/>
              </w:rPr>
              <w:t>aligned to AR24 table G2</w:t>
            </w:r>
          </w:p>
          <w:p w14:paraId="1321A2DE" w14:textId="3DE6A195" w:rsidR="007B193B" w:rsidRPr="00E06E8A" w:rsidRDefault="001F6A37" w:rsidP="001F6A37">
            <w:pPr>
              <w:pStyle w:val="BodyText"/>
              <w:rPr>
                <w:rFonts w:asciiTheme="minorHAnsi" w:hAnsiTheme="minorHAnsi" w:cstheme="minorHAnsi"/>
              </w:rPr>
            </w:pPr>
            <w:r w:rsidRPr="00E06E8A" w:rsidDel="001D4505">
              <w:rPr>
                <w:rFonts w:asciiTheme="minorHAnsi" w:hAnsiTheme="minorHAnsi" w:cstheme="minorHAnsi"/>
                <w:u w:val="single"/>
              </w:rPr>
              <w:t>Sub</w:t>
            </w:r>
            <w:r w:rsidR="001D4505">
              <w:rPr>
                <w:rFonts w:asciiTheme="minorHAnsi" w:hAnsiTheme="minorHAnsi" w:cstheme="minorHAnsi"/>
                <w:u w:val="single"/>
              </w:rPr>
              <w:t>-asset</w:t>
            </w:r>
            <w:r w:rsidRPr="00E06E8A">
              <w:rPr>
                <w:rFonts w:asciiTheme="minorHAnsi" w:hAnsiTheme="minorHAnsi" w:cstheme="minorHAnsi"/>
                <w:u w:val="single"/>
              </w:rPr>
              <w:t xml:space="preserve"> category</w:t>
            </w:r>
            <w:r w:rsidR="008970A3" w:rsidRPr="00E06E8A">
              <w:rPr>
                <w:rFonts w:asciiTheme="minorHAnsi" w:hAnsiTheme="minorHAnsi" w:cstheme="minorHAnsi"/>
              </w:rPr>
              <w:t>: aligned to AR24 table G2</w:t>
            </w:r>
          </w:p>
          <w:p w14:paraId="3E945E23" w14:textId="6C1B4319" w:rsidR="007B193B" w:rsidRPr="00E06E8A" w:rsidRDefault="007B193B">
            <w:pPr>
              <w:pStyle w:val="BodyText"/>
              <w:rPr>
                <w:rFonts w:asciiTheme="minorHAnsi" w:hAnsiTheme="minorHAnsi" w:cstheme="minorHAnsi"/>
                <w:u w:val="single"/>
              </w:rPr>
            </w:pPr>
          </w:p>
        </w:tc>
        <w:tc>
          <w:tcPr>
            <w:tcW w:w="0" w:type="auto"/>
          </w:tcPr>
          <w:p w14:paraId="5CEC3543" w14:textId="08849917" w:rsidR="007B193B" w:rsidRPr="00E06E8A" w:rsidRDefault="00762F44">
            <w:pPr>
              <w:pStyle w:val="BodyText"/>
              <w:rPr>
                <w:rFonts w:asciiTheme="minorHAnsi" w:hAnsiTheme="minorHAnsi" w:cstheme="minorHAnsi"/>
              </w:rPr>
            </w:pPr>
            <w:r w:rsidRPr="00E06E8A">
              <w:rPr>
                <w:rFonts w:asciiTheme="minorHAnsi" w:hAnsiTheme="minorHAnsi" w:cstheme="minorHAnsi"/>
              </w:rPr>
              <w:t>N/A</w:t>
            </w:r>
          </w:p>
        </w:tc>
      </w:tr>
      <w:tr w:rsidR="007B193B" w:rsidRPr="00644B4B" w14:paraId="3EBDC12A" w14:textId="77777777" w:rsidTr="003E4601">
        <w:tc>
          <w:tcPr>
            <w:tcW w:w="0" w:type="auto"/>
          </w:tcPr>
          <w:p w14:paraId="3D5735ED" w14:textId="35564DEF" w:rsidR="007B193B" w:rsidRPr="00E06E8A" w:rsidRDefault="00914A12">
            <w:pPr>
              <w:pStyle w:val="BodyText"/>
              <w:rPr>
                <w:rFonts w:asciiTheme="minorHAnsi" w:hAnsiTheme="minorHAnsi" w:cstheme="minorHAnsi"/>
              </w:rPr>
            </w:pPr>
            <w:r>
              <w:rPr>
                <w:rFonts w:asciiTheme="minorHAnsi" w:hAnsiTheme="minorHAnsi" w:cstheme="minorHAnsi"/>
              </w:rPr>
              <w:t>1 to 14</w:t>
            </w:r>
          </w:p>
        </w:tc>
        <w:tc>
          <w:tcPr>
            <w:tcW w:w="0" w:type="auto"/>
          </w:tcPr>
          <w:p w14:paraId="55BC8B4E" w14:textId="523731AF" w:rsidR="007B193B" w:rsidRPr="00E06E8A" w:rsidRDefault="00A521BE">
            <w:pPr>
              <w:pStyle w:val="BodyText"/>
              <w:rPr>
                <w:rFonts w:asciiTheme="minorHAnsi" w:hAnsiTheme="minorHAnsi" w:cstheme="minorHAnsi"/>
              </w:rPr>
            </w:pPr>
            <w:r>
              <w:rPr>
                <w:rFonts w:asciiTheme="minorHAnsi" w:hAnsiTheme="minorHAnsi" w:cstheme="minorHAnsi"/>
              </w:rPr>
              <w:t xml:space="preserve">Block B: </w:t>
            </w:r>
            <w:r w:rsidR="00DB325A" w:rsidRPr="00E06E8A">
              <w:rPr>
                <w:rFonts w:asciiTheme="minorHAnsi" w:hAnsiTheme="minorHAnsi" w:cstheme="minorHAnsi"/>
              </w:rPr>
              <w:t xml:space="preserve">Capital Expenditure (£m) (2024-25 </w:t>
            </w:r>
            <w:r w:rsidR="00AA3080">
              <w:rPr>
                <w:rFonts w:asciiTheme="minorHAnsi" w:hAnsiTheme="minorHAnsi" w:cstheme="minorHAnsi"/>
              </w:rPr>
              <w:t>Price Base</w:t>
            </w:r>
            <w:r w:rsidR="00DB325A" w:rsidRPr="00E06E8A">
              <w:rPr>
                <w:rFonts w:asciiTheme="minorHAnsi" w:hAnsiTheme="minorHAnsi" w:cstheme="minorHAnsi"/>
              </w:rPr>
              <w:t>)</w:t>
            </w:r>
            <w:r w:rsidR="00DB325A" w:rsidRPr="00E06E8A">
              <w:rPr>
                <w:rFonts w:asciiTheme="minorHAnsi" w:hAnsiTheme="minorHAnsi" w:cstheme="minorHAnsi"/>
              </w:rPr>
              <w:tab/>
            </w:r>
          </w:p>
        </w:tc>
        <w:tc>
          <w:tcPr>
            <w:tcW w:w="0" w:type="auto"/>
          </w:tcPr>
          <w:p w14:paraId="3D3910BE" w14:textId="0DFF8575" w:rsidR="007B193B" w:rsidRPr="00E06E8A" w:rsidRDefault="00DB325A">
            <w:pPr>
              <w:pStyle w:val="BodyText"/>
              <w:rPr>
                <w:rFonts w:asciiTheme="minorHAnsi" w:hAnsiTheme="minorHAnsi" w:cstheme="minorHAnsi"/>
              </w:rPr>
            </w:pPr>
            <w:r w:rsidRPr="00E06E8A">
              <w:rPr>
                <w:rFonts w:asciiTheme="minorHAnsi" w:hAnsiTheme="minorHAnsi" w:cstheme="minorHAnsi"/>
              </w:rPr>
              <w:t xml:space="preserve">The annual expenditure over the SRC27 period for each </w:t>
            </w:r>
            <w:r w:rsidRPr="00E06E8A" w:rsidDel="001D4505">
              <w:rPr>
                <w:rFonts w:asciiTheme="minorHAnsi" w:hAnsiTheme="minorHAnsi" w:cstheme="minorHAnsi"/>
              </w:rPr>
              <w:t>sub</w:t>
            </w:r>
            <w:r w:rsidR="001D4505">
              <w:rPr>
                <w:rFonts w:asciiTheme="minorHAnsi" w:hAnsiTheme="minorHAnsi" w:cstheme="minorHAnsi"/>
              </w:rPr>
              <w:t>-asset</w:t>
            </w:r>
            <w:r w:rsidRPr="00E06E8A">
              <w:rPr>
                <w:rFonts w:asciiTheme="minorHAnsi" w:hAnsiTheme="minorHAnsi" w:cstheme="minorHAnsi"/>
              </w:rPr>
              <w:t xml:space="preserve"> category. Data is classified as either Replace</w:t>
            </w:r>
            <w:r w:rsidR="00F207C6">
              <w:rPr>
                <w:rFonts w:asciiTheme="minorHAnsi" w:hAnsiTheme="minorHAnsi" w:cstheme="minorHAnsi"/>
              </w:rPr>
              <w:t>(</w:t>
            </w:r>
            <w:r w:rsidRPr="00E06E8A">
              <w:rPr>
                <w:rFonts w:asciiTheme="minorHAnsi" w:hAnsiTheme="minorHAnsi" w:cstheme="minorHAnsi"/>
              </w:rPr>
              <w:t>ment</w:t>
            </w:r>
            <w:r w:rsidR="00F207C6">
              <w:rPr>
                <w:rFonts w:asciiTheme="minorHAnsi" w:hAnsiTheme="minorHAnsi" w:cstheme="minorHAnsi"/>
              </w:rPr>
              <w:t>)</w:t>
            </w:r>
            <w:r w:rsidRPr="00E06E8A">
              <w:rPr>
                <w:rFonts w:asciiTheme="minorHAnsi" w:hAnsiTheme="minorHAnsi" w:cstheme="minorHAnsi"/>
              </w:rPr>
              <w:t xml:space="preserve"> or Repair &amp; </w:t>
            </w:r>
            <w:r w:rsidR="00E55F74">
              <w:rPr>
                <w:rFonts w:asciiTheme="minorHAnsi" w:hAnsiTheme="minorHAnsi" w:cstheme="minorHAnsi"/>
              </w:rPr>
              <w:t>Refurbish</w:t>
            </w:r>
            <w:r w:rsidR="00F207C6">
              <w:rPr>
                <w:rFonts w:asciiTheme="minorHAnsi" w:hAnsiTheme="minorHAnsi" w:cstheme="minorHAnsi"/>
              </w:rPr>
              <w:t>(</w:t>
            </w:r>
            <w:r w:rsidR="00E55F74">
              <w:rPr>
                <w:rFonts w:asciiTheme="minorHAnsi" w:hAnsiTheme="minorHAnsi" w:cstheme="minorHAnsi"/>
              </w:rPr>
              <w:t>ment</w:t>
            </w:r>
            <w:r w:rsidR="00F207C6">
              <w:rPr>
                <w:rFonts w:asciiTheme="minorHAnsi" w:hAnsiTheme="minorHAnsi" w:cstheme="minorHAnsi"/>
              </w:rPr>
              <w:t>)</w:t>
            </w:r>
            <w:r w:rsidR="007A3421" w:rsidRPr="00E06E8A">
              <w:rPr>
                <w:rFonts w:asciiTheme="minorHAnsi" w:hAnsiTheme="minorHAnsi" w:cstheme="minorHAnsi"/>
              </w:rPr>
              <w:t xml:space="preserve"> </w:t>
            </w:r>
            <w:r w:rsidR="007A2A4A">
              <w:rPr>
                <w:rFonts w:asciiTheme="minorHAnsi" w:hAnsiTheme="minorHAnsi" w:cstheme="minorHAnsi"/>
              </w:rPr>
              <w:t xml:space="preserve">as </w:t>
            </w:r>
            <w:r w:rsidR="007A3421" w:rsidRPr="00E06E8A">
              <w:rPr>
                <w:rFonts w:asciiTheme="minorHAnsi" w:hAnsiTheme="minorHAnsi" w:cstheme="minorHAnsi"/>
              </w:rPr>
              <w:t>per the definitions above</w:t>
            </w:r>
            <w:r w:rsidRPr="00E06E8A">
              <w:rPr>
                <w:rFonts w:asciiTheme="minorHAnsi" w:hAnsiTheme="minorHAnsi" w:cstheme="minorHAnsi"/>
              </w:rPr>
              <w:t>.</w:t>
            </w:r>
          </w:p>
        </w:tc>
        <w:tc>
          <w:tcPr>
            <w:tcW w:w="0" w:type="auto"/>
          </w:tcPr>
          <w:p w14:paraId="514427F5" w14:textId="1C3DADA3" w:rsidR="007B193B" w:rsidRPr="00E06E8A" w:rsidRDefault="007A3421">
            <w:pPr>
              <w:pStyle w:val="BodyText"/>
              <w:rPr>
                <w:rFonts w:asciiTheme="minorHAnsi" w:hAnsiTheme="minorHAnsi" w:cstheme="minorHAnsi"/>
              </w:rPr>
            </w:pPr>
            <w:r w:rsidRPr="00E06E8A">
              <w:rPr>
                <w:rFonts w:asciiTheme="minorHAnsi" w:hAnsiTheme="minorHAnsi" w:cstheme="minorHAnsi"/>
              </w:rPr>
              <w:t xml:space="preserve">£m in 2024-25 price base </w:t>
            </w:r>
          </w:p>
        </w:tc>
      </w:tr>
      <w:tr w:rsidR="00E83C2E" w:rsidRPr="00644B4B" w14:paraId="43D9AACE" w14:textId="77777777" w:rsidTr="003E4601">
        <w:tc>
          <w:tcPr>
            <w:tcW w:w="0" w:type="auto"/>
          </w:tcPr>
          <w:p w14:paraId="52410DBC" w14:textId="24C0893A" w:rsidR="00E83C2E" w:rsidRPr="00E06E8A" w:rsidRDefault="00914A12">
            <w:pPr>
              <w:pStyle w:val="BodyText"/>
              <w:rPr>
                <w:rFonts w:asciiTheme="minorHAnsi" w:hAnsiTheme="minorHAnsi" w:cstheme="minorHAnsi"/>
              </w:rPr>
            </w:pPr>
            <w:r>
              <w:rPr>
                <w:rFonts w:asciiTheme="minorHAnsi" w:hAnsiTheme="minorHAnsi" w:cstheme="minorHAnsi"/>
              </w:rPr>
              <w:lastRenderedPageBreak/>
              <w:t>15</w:t>
            </w:r>
          </w:p>
        </w:tc>
        <w:tc>
          <w:tcPr>
            <w:tcW w:w="0" w:type="auto"/>
          </w:tcPr>
          <w:p w14:paraId="24B8B792" w14:textId="3DEA1D64" w:rsidR="00E83C2E" w:rsidRPr="00E06E8A" w:rsidRDefault="00E83C2E" w:rsidP="00970A18">
            <w:pPr>
              <w:pStyle w:val="BodyText"/>
              <w:rPr>
                <w:rFonts w:asciiTheme="minorHAnsi" w:hAnsiTheme="minorHAnsi" w:cstheme="minorHAnsi"/>
              </w:rPr>
            </w:pPr>
            <w:r w:rsidRPr="00E06E8A">
              <w:rPr>
                <w:rFonts w:asciiTheme="minorHAnsi" w:hAnsiTheme="minorHAnsi" w:cstheme="minorHAnsi"/>
              </w:rPr>
              <w:t>Number of assets</w:t>
            </w:r>
            <w:r w:rsidRPr="00E06E8A">
              <w:rPr>
                <w:rFonts w:asciiTheme="minorHAnsi" w:hAnsiTheme="minorHAnsi" w:cstheme="minorHAnsi"/>
              </w:rPr>
              <w:tab/>
            </w:r>
          </w:p>
        </w:tc>
        <w:tc>
          <w:tcPr>
            <w:tcW w:w="0" w:type="auto"/>
          </w:tcPr>
          <w:p w14:paraId="5D672072" w14:textId="579CD056" w:rsidR="00E83C2E" w:rsidRPr="00CD2C81" w:rsidRDefault="00B55479">
            <w:pPr>
              <w:pStyle w:val="BodyText"/>
              <w:rPr>
                <w:rFonts w:asciiTheme="minorHAnsi" w:hAnsiTheme="minorHAnsi" w:cstheme="minorHAnsi"/>
              </w:rPr>
            </w:pPr>
            <w:r w:rsidRPr="00CD2C81">
              <w:rPr>
                <w:rFonts w:asciiTheme="minorHAnsi" w:hAnsiTheme="minorHAnsi" w:cstheme="minorHAnsi"/>
              </w:rPr>
              <w:t xml:space="preserve">The number of Scottish Water’s assets </w:t>
            </w:r>
            <w:r w:rsidR="00D6539C" w:rsidRPr="00CD2C81">
              <w:rPr>
                <w:rFonts w:asciiTheme="minorHAnsi" w:hAnsiTheme="minorHAnsi" w:cstheme="minorHAnsi"/>
              </w:rPr>
              <w:t>as of 31 March 202</w:t>
            </w:r>
            <w:r w:rsidR="00CD2C81" w:rsidRPr="00CD2C81">
              <w:rPr>
                <w:rFonts w:asciiTheme="minorHAnsi" w:hAnsiTheme="minorHAnsi" w:cstheme="minorHAnsi"/>
              </w:rPr>
              <w:t>5</w:t>
            </w:r>
            <w:r w:rsidR="00D6539C" w:rsidRPr="00CD2C81">
              <w:rPr>
                <w:rFonts w:asciiTheme="minorHAnsi" w:hAnsiTheme="minorHAnsi" w:cstheme="minorHAnsi"/>
              </w:rPr>
              <w:t xml:space="preserve"> </w:t>
            </w:r>
            <w:r w:rsidRPr="00CD2C81">
              <w:rPr>
                <w:rFonts w:asciiTheme="minorHAnsi" w:hAnsiTheme="minorHAnsi" w:cstheme="minorHAnsi"/>
              </w:rPr>
              <w:t xml:space="preserve">split by asset category and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asset category</w:t>
            </w:r>
            <w:r w:rsidR="00D95988" w:rsidRPr="00CD2C81">
              <w:rPr>
                <w:rFonts w:asciiTheme="minorHAnsi" w:hAnsiTheme="minorHAnsi" w:cstheme="minorHAnsi"/>
              </w:rPr>
              <w:t xml:space="preserve">. </w:t>
            </w:r>
          </w:p>
        </w:tc>
        <w:tc>
          <w:tcPr>
            <w:tcW w:w="0" w:type="auto"/>
          </w:tcPr>
          <w:p w14:paraId="5854AF65" w14:textId="1F70B829" w:rsidR="00E83C2E" w:rsidRPr="00E06E8A" w:rsidRDefault="00E83C2E">
            <w:pPr>
              <w:pStyle w:val="BodyText"/>
              <w:rPr>
                <w:rFonts w:asciiTheme="minorHAnsi" w:hAnsiTheme="minorHAnsi" w:cstheme="minorHAnsi"/>
              </w:rPr>
            </w:pPr>
            <w:r w:rsidRPr="00E06E8A">
              <w:rPr>
                <w:rFonts w:asciiTheme="minorHAnsi" w:hAnsiTheme="minorHAnsi" w:cstheme="minorHAnsi"/>
              </w:rPr>
              <w:t>Nr</w:t>
            </w:r>
          </w:p>
        </w:tc>
      </w:tr>
      <w:tr w:rsidR="00970A18" w:rsidRPr="00644B4B" w14:paraId="38BA6FDF" w14:textId="77777777" w:rsidTr="003E4601">
        <w:tc>
          <w:tcPr>
            <w:tcW w:w="0" w:type="auto"/>
          </w:tcPr>
          <w:p w14:paraId="05CCEC27" w14:textId="524C55B4" w:rsidR="00970A18" w:rsidRPr="00E06E8A" w:rsidRDefault="00914A12" w:rsidP="00970A18">
            <w:pPr>
              <w:pStyle w:val="BodyText"/>
              <w:rPr>
                <w:rFonts w:asciiTheme="minorHAnsi" w:hAnsiTheme="minorHAnsi" w:cstheme="minorHAnsi"/>
              </w:rPr>
            </w:pPr>
            <w:r>
              <w:rPr>
                <w:rFonts w:asciiTheme="minorHAnsi" w:hAnsiTheme="minorHAnsi" w:cstheme="minorHAnsi"/>
              </w:rPr>
              <w:t>16</w:t>
            </w:r>
          </w:p>
        </w:tc>
        <w:tc>
          <w:tcPr>
            <w:tcW w:w="0" w:type="auto"/>
          </w:tcPr>
          <w:p w14:paraId="366B9FD9" w14:textId="59F6AE56" w:rsidR="00BC568D" w:rsidRPr="00E06E8A" w:rsidRDefault="00970A18" w:rsidP="00970A18">
            <w:pPr>
              <w:pStyle w:val="BodyText"/>
              <w:rPr>
                <w:rFonts w:asciiTheme="minorHAnsi" w:hAnsiTheme="minorHAnsi" w:cstheme="minorHAnsi"/>
              </w:rPr>
            </w:pPr>
            <w:r w:rsidRPr="00E06E8A">
              <w:rPr>
                <w:rFonts w:asciiTheme="minorHAnsi" w:hAnsiTheme="minorHAnsi" w:cstheme="minorHAnsi"/>
              </w:rPr>
              <w:t>Units</w:t>
            </w:r>
            <w:r w:rsidRPr="00E06E8A">
              <w:rPr>
                <w:rFonts w:asciiTheme="minorHAnsi" w:hAnsiTheme="minorHAnsi" w:cstheme="minorHAnsi"/>
              </w:rPr>
              <w:tab/>
            </w:r>
          </w:p>
          <w:p w14:paraId="218C3E0E" w14:textId="2F43F309" w:rsidR="00970A18" w:rsidRPr="00E06E8A" w:rsidRDefault="00970A18" w:rsidP="00970A18">
            <w:pPr>
              <w:pStyle w:val="BodyText"/>
              <w:rPr>
                <w:rFonts w:asciiTheme="minorHAnsi" w:hAnsiTheme="minorHAnsi" w:cstheme="minorHAnsi"/>
              </w:rPr>
            </w:pPr>
          </w:p>
        </w:tc>
        <w:tc>
          <w:tcPr>
            <w:tcW w:w="0" w:type="auto"/>
          </w:tcPr>
          <w:p w14:paraId="1C35672B" w14:textId="0D4E9DD9" w:rsidR="00970A18" w:rsidRPr="00CD2C81" w:rsidRDefault="00D0170A" w:rsidP="00970A18">
            <w:pPr>
              <w:pStyle w:val="BodyText"/>
              <w:rPr>
                <w:rFonts w:asciiTheme="minorHAnsi" w:hAnsiTheme="minorHAnsi" w:cstheme="minorHAnsi"/>
              </w:rPr>
            </w:pPr>
            <w:r w:rsidRPr="00CD2C81">
              <w:rPr>
                <w:rFonts w:asciiTheme="minorHAnsi" w:hAnsiTheme="minorHAnsi" w:cstheme="minorHAnsi"/>
              </w:rPr>
              <w:t xml:space="preserve">The standard </w:t>
            </w:r>
            <w:r w:rsidR="009E1AC6">
              <w:rPr>
                <w:rFonts w:asciiTheme="minorHAnsi" w:hAnsiTheme="minorHAnsi" w:cstheme="minorHAnsi"/>
              </w:rPr>
              <w:t xml:space="preserve">unit </w:t>
            </w:r>
            <w:r w:rsidRPr="00CD2C81">
              <w:rPr>
                <w:rFonts w:asciiTheme="minorHAnsi" w:hAnsiTheme="minorHAnsi" w:cstheme="minorHAnsi"/>
              </w:rPr>
              <w:t xml:space="preserve">of measure of the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 xml:space="preserve">asset category. </w:t>
            </w:r>
          </w:p>
        </w:tc>
        <w:tc>
          <w:tcPr>
            <w:tcW w:w="0" w:type="auto"/>
          </w:tcPr>
          <w:p w14:paraId="47C3AC6B" w14:textId="4212484F" w:rsidR="00970A18" w:rsidRPr="00E06E8A" w:rsidRDefault="00CA6FF2" w:rsidP="00970A18">
            <w:pPr>
              <w:pStyle w:val="BodyText"/>
              <w:rPr>
                <w:rFonts w:asciiTheme="minorHAnsi" w:hAnsiTheme="minorHAnsi" w:cstheme="minorHAnsi"/>
              </w:rPr>
            </w:pPr>
            <w:r w:rsidRPr="00E06E8A">
              <w:rPr>
                <w:rFonts w:asciiTheme="minorHAnsi" w:hAnsiTheme="minorHAnsi" w:cstheme="minorHAnsi"/>
              </w:rPr>
              <w:t>N/A</w:t>
            </w:r>
          </w:p>
        </w:tc>
      </w:tr>
      <w:tr w:rsidR="00691102" w:rsidRPr="00644B4B" w14:paraId="407FCAB5" w14:textId="77777777" w:rsidTr="003E4601">
        <w:tc>
          <w:tcPr>
            <w:tcW w:w="0" w:type="auto"/>
          </w:tcPr>
          <w:p w14:paraId="4E9AA36F" w14:textId="4E48C1AB" w:rsidR="00691102" w:rsidRPr="00E06E8A" w:rsidRDefault="00914A12" w:rsidP="00970A18">
            <w:pPr>
              <w:pStyle w:val="BodyText"/>
              <w:rPr>
                <w:rFonts w:asciiTheme="minorHAnsi" w:hAnsiTheme="minorHAnsi" w:cstheme="minorHAnsi"/>
              </w:rPr>
            </w:pPr>
            <w:r>
              <w:rPr>
                <w:rFonts w:asciiTheme="minorHAnsi" w:hAnsiTheme="minorHAnsi" w:cstheme="minorHAnsi"/>
              </w:rPr>
              <w:t>17</w:t>
            </w:r>
          </w:p>
        </w:tc>
        <w:tc>
          <w:tcPr>
            <w:tcW w:w="0" w:type="auto"/>
          </w:tcPr>
          <w:p w14:paraId="1D7CABDC" w14:textId="0A1973D6" w:rsidR="00691102" w:rsidRPr="00E06E8A" w:rsidRDefault="00691102" w:rsidP="00691102">
            <w:pPr>
              <w:pStyle w:val="BodyText"/>
              <w:rPr>
                <w:rFonts w:asciiTheme="minorHAnsi" w:hAnsiTheme="minorHAnsi" w:cstheme="minorHAnsi"/>
              </w:rPr>
            </w:pPr>
            <w:r w:rsidRPr="00E06E8A">
              <w:rPr>
                <w:rFonts w:asciiTheme="minorHAnsi" w:hAnsiTheme="minorHAnsi" w:cstheme="minorHAnsi"/>
              </w:rPr>
              <w:t xml:space="preserve">Unit cost of replacement </w:t>
            </w:r>
            <w:r w:rsidR="00E34CB6" w:rsidRPr="00E34CB6">
              <w:rPr>
                <w:rFonts w:asciiTheme="minorHAnsi" w:hAnsiTheme="minorHAnsi" w:cstheme="minorHAnsi"/>
              </w:rPr>
              <w:t>(£m</w:t>
            </w:r>
            <w:r w:rsidR="001D4505">
              <w:rPr>
                <w:rFonts w:asciiTheme="minorHAnsi" w:hAnsiTheme="minorHAnsi" w:cstheme="minorHAnsi"/>
              </w:rPr>
              <w:t xml:space="preserve">; </w:t>
            </w:r>
            <w:r w:rsidR="00E34CB6" w:rsidRPr="00E34CB6">
              <w:rPr>
                <w:rFonts w:asciiTheme="minorHAnsi" w:hAnsiTheme="minorHAnsi" w:cstheme="minorHAnsi"/>
              </w:rPr>
              <w:t>2024-25 price base)</w:t>
            </w:r>
          </w:p>
        </w:tc>
        <w:tc>
          <w:tcPr>
            <w:tcW w:w="0" w:type="auto"/>
          </w:tcPr>
          <w:p w14:paraId="52D9E080" w14:textId="56136DDD" w:rsidR="00691102" w:rsidRPr="00CD2C81" w:rsidRDefault="000730D4" w:rsidP="00970A18">
            <w:pPr>
              <w:pStyle w:val="BodyText"/>
              <w:rPr>
                <w:rFonts w:asciiTheme="minorHAnsi" w:hAnsiTheme="minorHAnsi" w:cstheme="minorHAnsi"/>
              </w:rPr>
            </w:pPr>
            <w:r w:rsidRPr="00CD2C81">
              <w:rPr>
                <w:rFonts w:asciiTheme="minorHAnsi" w:hAnsiTheme="minorHAnsi" w:cstheme="minorHAnsi"/>
              </w:rPr>
              <w:t>T</w:t>
            </w:r>
            <w:r w:rsidR="008E4232" w:rsidRPr="00CD2C81">
              <w:rPr>
                <w:rFonts w:asciiTheme="minorHAnsi" w:hAnsiTheme="minorHAnsi" w:cstheme="minorHAnsi"/>
              </w:rPr>
              <w:t xml:space="preserve">he total expenditure </w:t>
            </w:r>
            <w:r w:rsidR="00896D94" w:rsidRPr="00CD2C81">
              <w:rPr>
                <w:rFonts w:asciiTheme="minorHAnsi" w:hAnsiTheme="minorHAnsi" w:cstheme="minorHAnsi"/>
              </w:rPr>
              <w:t xml:space="preserve">which would be </w:t>
            </w:r>
            <w:r w:rsidR="008E4232" w:rsidRPr="00CD2C81">
              <w:rPr>
                <w:rFonts w:asciiTheme="minorHAnsi" w:hAnsiTheme="minorHAnsi" w:cstheme="minorHAnsi"/>
              </w:rPr>
              <w:t xml:space="preserve">incurred </w:t>
            </w:r>
            <w:r w:rsidRPr="00CD2C81">
              <w:rPr>
                <w:rFonts w:asciiTheme="minorHAnsi" w:hAnsiTheme="minorHAnsi" w:cstheme="minorHAnsi"/>
              </w:rPr>
              <w:t>to replace</w:t>
            </w:r>
            <w:r w:rsidR="008E4232" w:rsidRPr="00CD2C81">
              <w:rPr>
                <w:rFonts w:asciiTheme="minorHAnsi" w:hAnsiTheme="minorHAnsi" w:cstheme="minorHAnsi"/>
              </w:rPr>
              <w:t xml:space="preserve"> one unit of </w:t>
            </w:r>
            <w:r w:rsidRPr="00CD2C81">
              <w:rPr>
                <w:rFonts w:asciiTheme="minorHAnsi" w:hAnsiTheme="minorHAnsi" w:cstheme="minorHAnsi"/>
              </w:rPr>
              <w:t xml:space="preserve">the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asset category</w:t>
            </w:r>
            <w:r w:rsidR="00E62726" w:rsidRPr="00CD2C81">
              <w:rPr>
                <w:rFonts w:asciiTheme="minorHAnsi" w:hAnsiTheme="minorHAnsi" w:cstheme="minorHAnsi"/>
              </w:rPr>
              <w:t xml:space="preserve"> as of 31 March 202</w:t>
            </w:r>
            <w:r w:rsidR="00CD2C81" w:rsidRPr="00CD2C81">
              <w:rPr>
                <w:rFonts w:asciiTheme="minorHAnsi" w:hAnsiTheme="minorHAnsi" w:cstheme="minorHAnsi"/>
              </w:rPr>
              <w:t>5</w:t>
            </w:r>
            <w:r w:rsidRPr="00CD2C81">
              <w:rPr>
                <w:rFonts w:asciiTheme="minorHAnsi" w:hAnsiTheme="minorHAnsi" w:cstheme="minorHAnsi"/>
              </w:rPr>
              <w:t xml:space="preserve">. </w:t>
            </w:r>
            <w:r w:rsidR="00E5578B">
              <w:rPr>
                <w:rFonts w:asciiTheme="minorHAnsi" w:hAnsiTheme="minorHAnsi" w:cstheme="minorHAnsi"/>
              </w:rPr>
              <w:t>If the assets have varying capacities</w:t>
            </w:r>
            <w:r w:rsidR="002F6885">
              <w:rPr>
                <w:rFonts w:asciiTheme="minorHAnsi" w:hAnsiTheme="minorHAnsi" w:cstheme="minorHAnsi"/>
              </w:rPr>
              <w:t>,</w:t>
            </w:r>
            <w:r w:rsidR="00E5578B">
              <w:rPr>
                <w:rFonts w:asciiTheme="minorHAnsi" w:hAnsiTheme="minorHAnsi" w:cstheme="minorHAnsi"/>
              </w:rPr>
              <w:t xml:space="preserve"> then this average should be weighted by the asset capacity.</w:t>
            </w:r>
          </w:p>
        </w:tc>
        <w:tc>
          <w:tcPr>
            <w:tcW w:w="0" w:type="auto"/>
          </w:tcPr>
          <w:p w14:paraId="0B867694" w14:textId="21023DA6" w:rsidR="00691102" w:rsidRPr="00E06E8A" w:rsidRDefault="00691102" w:rsidP="00970A18">
            <w:pPr>
              <w:pStyle w:val="BodyText"/>
              <w:rPr>
                <w:rFonts w:asciiTheme="minorHAnsi" w:hAnsiTheme="minorHAnsi" w:cstheme="minorHAnsi"/>
              </w:rPr>
            </w:pPr>
            <w:r w:rsidRPr="00E06E8A">
              <w:rPr>
                <w:rFonts w:asciiTheme="minorHAnsi" w:hAnsiTheme="minorHAnsi" w:cstheme="minorHAnsi"/>
              </w:rPr>
              <w:t>£m in 2024-25 price base</w:t>
            </w:r>
          </w:p>
        </w:tc>
      </w:tr>
      <w:tr w:rsidR="007B193B" w:rsidRPr="00644B4B" w14:paraId="31B7E2EA" w14:textId="77777777" w:rsidTr="003E4601">
        <w:tc>
          <w:tcPr>
            <w:tcW w:w="0" w:type="auto"/>
          </w:tcPr>
          <w:p w14:paraId="295691A7" w14:textId="77777777" w:rsidR="007B193B" w:rsidRDefault="00AE0236">
            <w:pPr>
              <w:pStyle w:val="BodyText"/>
              <w:rPr>
                <w:rFonts w:asciiTheme="minorHAnsi" w:hAnsiTheme="minorHAnsi" w:cstheme="minorHAnsi"/>
              </w:rPr>
            </w:pPr>
            <w:r>
              <w:rPr>
                <w:rFonts w:asciiTheme="minorHAnsi" w:hAnsiTheme="minorHAnsi" w:cstheme="minorHAnsi"/>
              </w:rPr>
              <w:t>18</w:t>
            </w:r>
          </w:p>
          <w:p w14:paraId="10A835F6" w14:textId="0184BF10" w:rsidR="007B193B" w:rsidRPr="00E06E8A" w:rsidRDefault="00AE0236">
            <w:pPr>
              <w:pStyle w:val="BodyText"/>
              <w:rPr>
                <w:rFonts w:asciiTheme="minorHAnsi" w:hAnsiTheme="minorHAnsi" w:cstheme="minorHAnsi"/>
              </w:rPr>
            </w:pPr>
            <w:r>
              <w:rPr>
                <w:rFonts w:asciiTheme="minorHAnsi" w:hAnsiTheme="minorHAnsi" w:cstheme="minorHAnsi"/>
              </w:rPr>
              <w:t>19</w:t>
            </w:r>
          </w:p>
        </w:tc>
        <w:tc>
          <w:tcPr>
            <w:tcW w:w="0" w:type="auto"/>
          </w:tcPr>
          <w:p w14:paraId="352C8482" w14:textId="35A4B732" w:rsidR="00691102" w:rsidRPr="00E06E8A" w:rsidRDefault="00970A18" w:rsidP="00FA2EF2">
            <w:pPr>
              <w:pStyle w:val="BodyText"/>
              <w:rPr>
                <w:rFonts w:asciiTheme="minorHAnsi" w:hAnsiTheme="minorHAnsi" w:cstheme="minorHAnsi"/>
              </w:rPr>
            </w:pPr>
            <w:r w:rsidRPr="00E06E8A">
              <w:rPr>
                <w:rFonts w:asciiTheme="minorHAnsi" w:hAnsiTheme="minorHAnsi" w:cstheme="minorHAnsi"/>
              </w:rPr>
              <w:t xml:space="preserve">Asset </w:t>
            </w:r>
            <w:r w:rsidR="00E50311">
              <w:rPr>
                <w:rFonts w:asciiTheme="minorHAnsi" w:hAnsiTheme="minorHAnsi" w:cstheme="minorHAnsi"/>
              </w:rPr>
              <w:t>c</w:t>
            </w:r>
            <w:r w:rsidRPr="00E06E8A">
              <w:rPr>
                <w:rFonts w:asciiTheme="minorHAnsi" w:hAnsiTheme="minorHAnsi" w:cstheme="minorHAnsi"/>
              </w:rPr>
              <w:t>apacity</w:t>
            </w:r>
            <w:r w:rsidRPr="00E06E8A">
              <w:rPr>
                <w:rFonts w:asciiTheme="minorHAnsi" w:hAnsiTheme="minorHAnsi" w:cstheme="minorHAnsi"/>
              </w:rPr>
              <w:tab/>
            </w:r>
          </w:p>
          <w:p w14:paraId="202ADFB5" w14:textId="6725F7AD"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Units </w:t>
            </w:r>
          </w:p>
        </w:tc>
        <w:tc>
          <w:tcPr>
            <w:tcW w:w="0" w:type="auto"/>
          </w:tcPr>
          <w:p w14:paraId="2D6A4D3E" w14:textId="2265B19E" w:rsidR="007B193B" w:rsidRPr="00CD2C81" w:rsidRDefault="00410B02" w:rsidP="00954233">
            <w:pPr>
              <w:pStyle w:val="BodyText"/>
              <w:keepLines/>
              <w:rPr>
                <w:rFonts w:asciiTheme="minorHAnsi" w:hAnsiTheme="minorHAnsi" w:cstheme="minorHAnsi"/>
              </w:rPr>
            </w:pPr>
            <w:r w:rsidRPr="00CD2C81">
              <w:rPr>
                <w:rFonts w:asciiTheme="minorHAnsi" w:hAnsiTheme="minorHAnsi" w:cstheme="minorHAnsi"/>
              </w:rPr>
              <w:t xml:space="preserve">The total capacity of </w:t>
            </w:r>
            <w:r w:rsidR="00175061" w:rsidRPr="00CD2C81">
              <w:rPr>
                <w:rFonts w:asciiTheme="minorHAnsi" w:hAnsiTheme="minorHAnsi" w:cstheme="minorHAnsi"/>
              </w:rPr>
              <w:t>all</w:t>
            </w:r>
            <w:r w:rsidRPr="00CD2C81">
              <w:rPr>
                <w:rFonts w:asciiTheme="minorHAnsi" w:hAnsiTheme="minorHAnsi" w:cstheme="minorHAnsi"/>
              </w:rPr>
              <w:t xml:space="preserve"> assets in the </w:t>
            </w:r>
            <w:r w:rsidR="00175061"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 xml:space="preserve">asset </w:t>
            </w:r>
            <w:r w:rsidR="003F0C31" w:rsidRPr="00CD2C81">
              <w:rPr>
                <w:rFonts w:asciiTheme="minorHAnsi" w:hAnsiTheme="minorHAnsi" w:cstheme="minorHAnsi"/>
              </w:rPr>
              <w:t>category</w:t>
            </w:r>
            <w:r w:rsidR="00541A15" w:rsidRPr="00CD2C81">
              <w:rPr>
                <w:rFonts w:asciiTheme="minorHAnsi" w:hAnsiTheme="minorHAnsi" w:cstheme="minorHAnsi"/>
              </w:rPr>
              <w:t xml:space="preserve"> as of 31 March 202</w:t>
            </w:r>
            <w:r w:rsidR="00CD2C81" w:rsidRPr="00CD2C81">
              <w:rPr>
                <w:rFonts w:asciiTheme="minorHAnsi" w:hAnsiTheme="minorHAnsi" w:cstheme="minorHAnsi"/>
              </w:rPr>
              <w:t>5</w:t>
            </w:r>
            <w:r w:rsidR="003F0C31" w:rsidRPr="00CD2C81">
              <w:rPr>
                <w:rFonts w:asciiTheme="minorHAnsi" w:hAnsiTheme="minorHAnsi" w:cstheme="minorHAnsi"/>
              </w:rPr>
              <w:t xml:space="preserve">. </w:t>
            </w:r>
            <w:r w:rsidR="004321B8" w:rsidRPr="00CD2C81">
              <w:rPr>
                <w:rFonts w:asciiTheme="minorHAnsi" w:hAnsiTheme="minorHAnsi" w:cstheme="minorHAnsi"/>
              </w:rPr>
              <w:t xml:space="preserve">Enter the associated unit measure. </w:t>
            </w:r>
          </w:p>
        </w:tc>
        <w:tc>
          <w:tcPr>
            <w:tcW w:w="0" w:type="auto"/>
          </w:tcPr>
          <w:p w14:paraId="61D133AA" w14:textId="7CF242B8" w:rsidR="007B193B" w:rsidRPr="00E06E8A" w:rsidRDefault="005E39EC">
            <w:pPr>
              <w:pStyle w:val="BodyText"/>
              <w:rPr>
                <w:rFonts w:asciiTheme="minorHAnsi" w:hAnsiTheme="minorHAnsi" w:cstheme="minorHAnsi"/>
              </w:rPr>
            </w:pPr>
            <w:r w:rsidRPr="00E06E8A">
              <w:rPr>
                <w:rFonts w:asciiTheme="minorHAnsi" w:hAnsiTheme="minorHAnsi" w:cstheme="minorHAnsi"/>
              </w:rPr>
              <w:t>Ml/d or m3 for water assets and population equivalent or m3 for wastewater assets</w:t>
            </w:r>
            <w:r w:rsidRPr="00E06E8A">
              <w:rPr>
                <w:rFonts w:asciiTheme="minorHAnsi" w:hAnsiTheme="minorHAnsi" w:cstheme="minorHAnsi"/>
              </w:rPr>
              <w:tab/>
            </w:r>
          </w:p>
        </w:tc>
      </w:tr>
      <w:tr w:rsidR="007B193B" w:rsidRPr="00644B4B" w14:paraId="4597CE8B" w14:textId="77777777" w:rsidTr="003E4601">
        <w:tc>
          <w:tcPr>
            <w:tcW w:w="0" w:type="auto"/>
          </w:tcPr>
          <w:p w14:paraId="710C36FE" w14:textId="48B418CD" w:rsidR="007B193B" w:rsidRDefault="00CA4CB9">
            <w:pPr>
              <w:pStyle w:val="BodyText"/>
              <w:rPr>
                <w:rFonts w:asciiTheme="minorHAnsi" w:hAnsiTheme="minorHAnsi" w:cstheme="minorHAnsi"/>
              </w:rPr>
            </w:pPr>
            <w:r>
              <w:rPr>
                <w:rFonts w:asciiTheme="minorHAnsi" w:hAnsiTheme="minorHAnsi" w:cstheme="minorHAnsi"/>
              </w:rPr>
              <w:t>20</w:t>
            </w:r>
            <w:r w:rsidR="00E85597">
              <w:rPr>
                <w:rFonts w:asciiTheme="minorHAnsi" w:hAnsiTheme="minorHAnsi" w:cstheme="minorHAnsi"/>
              </w:rPr>
              <w:t xml:space="preserve"> </w:t>
            </w:r>
          </w:p>
          <w:p w14:paraId="768902E5" w14:textId="29833BFD" w:rsidR="007B193B" w:rsidRPr="00E06E8A" w:rsidRDefault="00CA4CB9">
            <w:pPr>
              <w:pStyle w:val="BodyText"/>
              <w:rPr>
                <w:rFonts w:asciiTheme="minorHAnsi" w:hAnsiTheme="minorHAnsi" w:cstheme="minorHAnsi"/>
              </w:rPr>
            </w:pPr>
            <w:r>
              <w:rPr>
                <w:rFonts w:asciiTheme="minorHAnsi" w:hAnsiTheme="minorHAnsi" w:cstheme="minorHAnsi"/>
              </w:rPr>
              <w:t>21</w:t>
            </w:r>
          </w:p>
        </w:tc>
        <w:tc>
          <w:tcPr>
            <w:tcW w:w="0" w:type="auto"/>
          </w:tcPr>
          <w:p w14:paraId="75A223AA" w14:textId="20EB7CDE" w:rsidR="00970A18" w:rsidRPr="00E06E8A" w:rsidRDefault="00970A18" w:rsidP="00970A18">
            <w:pPr>
              <w:pStyle w:val="BodyText"/>
              <w:rPr>
                <w:rFonts w:asciiTheme="minorHAnsi" w:hAnsiTheme="minorHAnsi" w:cstheme="minorHAnsi"/>
              </w:rPr>
            </w:pPr>
            <w:r w:rsidRPr="00E06E8A">
              <w:rPr>
                <w:rFonts w:asciiTheme="minorHAnsi" w:hAnsiTheme="minorHAnsi" w:cstheme="minorHAnsi"/>
              </w:rPr>
              <w:t>Asset value</w:t>
            </w:r>
            <w:r w:rsidR="00E34CB6" w:rsidRPr="00E34CB6">
              <w:rPr>
                <w:rFonts w:asciiTheme="minorHAnsi" w:hAnsiTheme="minorHAnsi" w:cstheme="minorHAnsi"/>
              </w:rPr>
              <w:t xml:space="preserve"> (£m) (2024-25 price base)</w:t>
            </w:r>
          </w:p>
          <w:p w14:paraId="01410DDF" w14:textId="2BB0BB3D"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Confidence </w:t>
            </w:r>
            <w:r w:rsidR="00E50311">
              <w:rPr>
                <w:rFonts w:asciiTheme="minorHAnsi" w:hAnsiTheme="minorHAnsi" w:cstheme="minorHAnsi"/>
              </w:rPr>
              <w:t>g</w:t>
            </w:r>
            <w:r w:rsidRPr="00E06E8A">
              <w:rPr>
                <w:rFonts w:asciiTheme="minorHAnsi" w:hAnsiTheme="minorHAnsi" w:cstheme="minorHAnsi"/>
              </w:rPr>
              <w:t>rade</w:t>
            </w:r>
            <w:r w:rsidRPr="00E06E8A">
              <w:rPr>
                <w:rFonts w:asciiTheme="minorHAnsi" w:hAnsiTheme="minorHAnsi" w:cstheme="minorHAnsi"/>
              </w:rPr>
              <w:tab/>
            </w:r>
          </w:p>
        </w:tc>
        <w:tc>
          <w:tcPr>
            <w:tcW w:w="0" w:type="auto"/>
          </w:tcPr>
          <w:p w14:paraId="1311A265" w14:textId="6312F89F" w:rsidR="00AE236A" w:rsidRPr="00CD2C81" w:rsidRDefault="003B1E4D" w:rsidP="00954233">
            <w:pPr>
              <w:pStyle w:val="BodyText"/>
              <w:keepLines/>
              <w:rPr>
                <w:rFonts w:asciiTheme="minorHAnsi" w:hAnsiTheme="minorHAnsi" w:cstheme="minorHAnsi"/>
              </w:rPr>
            </w:pPr>
            <w:r w:rsidRPr="00CD2C81">
              <w:rPr>
                <w:rFonts w:asciiTheme="minorHAnsi" w:hAnsiTheme="minorHAnsi" w:cstheme="minorHAnsi"/>
              </w:rPr>
              <w:t xml:space="preserve">The total </w:t>
            </w:r>
            <w:r w:rsidR="001C17E1" w:rsidRPr="00CD2C81">
              <w:rPr>
                <w:rFonts w:asciiTheme="minorHAnsi" w:hAnsiTheme="minorHAnsi" w:cstheme="minorHAnsi"/>
              </w:rPr>
              <w:t>Modern Equivalent Asset Value</w:t>
            </w:r>
            <w:r w:rsidR="00061ABF" w:rsidRPr="00CD2C81">
              <w:rPr>
                <w:rFonts w:asciiTheme="minorHAnsi" w:hAnsiTheme="minorHAnsi" w:cstheme="minorHAnsi"/>
              </w:rPr>
              <w:t xml:space="preserve"> (MEAV)</w:t>
            </w:r>
            <w:r w:rsidRPr="00CD2C81">
              <w:rPr>
                <w:rFonts w:asciiTheme="minorHAnsi" w:hAnsiTheme="minorHAnsi" w:cstheme="minorHAnsi"/>
              </w:rPr>
              <w:t xml:space="preserve"> of </w:t>
            </w:r>
            <w:r w:rsidR="00607763" w:rsidRPr="00CD2C81">
              <w:rPr>
                <w:rFonts w:asciiTheme="minorHAnsi" w:hAnsiTheme="minorHAnsi" w:cstheme="minorHAnsi"/>
              </w:rPr>
              <w:t>all</w:t>
            </w:r>
            <w:r w:rsidRPr="00CD2C81">
              <w:rPr>
                <w:rFonts w:asciiTheme="minorHAnsi" w:hAnsiTheme="minorHAnsi" w:cstheme="minorHAnsi"/>
              </w:rPr>
              <w:t xml:space="preserve"> assets in the </w:t>
            </w:r>
            <w:r w:rsidR="00607763" w:rsidRPr="00CD2C81">
              <w:rPr>
                <w:rFonts w:asciiTheme="minorHAnsi" w:hAnsiTheme="minorHAnsi" w:cstheme="minorHAnsi"/>
              </w:rPr>
              <w:t xml:space="preserve">sub </w:t>
            </w:r>
            <w:r w:rsidRPr="00CD2C81">
              <w:rPr>
                <w:rFonts w:asciiTheme="minorHAnsi" w:hAnsiTheme="minorHAnsi" w:cstheme="minorHAnsi"/>
              </w:rPr>
              <w:t xml:space="preserve">asset category </w:t>
            </w:r>
            <w:r w:rsidR="00607763" w:rsidRPr="00CD2C81">
              <w:rPr>
                <w:rFonts w:asciiTheme="minorHAnsi" w:hAnsiTheme="minorHAnsi" w:cstheme="minorHAnsi"/>
              </w:rPr>
              <w:t>as of 31 March 202</w:t>
            </w:r>
            <w:r w:rsidR="00CD2C81" w:rsidRPr="00CD2C81">
              <w:rPr>
                <w:rFonts w:asciiTheme="minorHAnsi" w:hAnsiTheme="minorHAnsi" w:cstheme="minorHAnsi"/>
              </w:rPr>
              <w:t>5</w:t>
            </w:r>
            <w:r w:rsidRPr="00CD2C81">
              <w:rPr>
                <w:rFonts w:asciiTheme="minorHAnsi" w:hAnsiTheme="minorHAnsi" w:cstheme="minorHAnsi"/>
              </w:rPr>
              <w:t>.</w:t>
            </w:r>
            <w:r w:rsidR="005F65A4" w:rsidRPr="00CD2C81">
              <w:rPr>
                <w:rFonts w:asciiTheme="minorHAnsi" w:hAnsiTheme="minorHAnsi" w:cstheme="minorHAnsi"/>
              </w:rPr>
              <w:t xml:space="preserve"> </w:t>
            </w:r>
            <w:r w:rsidR="00AE236A" w:rsidRPr="00CD2C81">
              <w:rPr>
                <w:rFonts w:asciiTheme="minorHAnsi" w:hAnsiTheme="minorHAnsi" w:cstheme="minorHAnsi"/>
              </w:rPr>
              <w:t>This should be provided on an optimised replacement cost basis or a consistent basis as the high-level asset replacement work completed for the Strategic Review of Charges 2021-27 (SR</w:t>
            </w:r>
            <w:r w:rsidR="0012355F" w:rsidRPr="00CD2C81">
              <w:rPr>
                <w:rFonts w:asciiTheme="minorHAnsi" w:hAnsiTheme="minorHAnsi" w:cstheme="minorHAnsi"/>
              </w:rPr>
              <w:t>C</w:t>
            </w:r>
            <w:r w:rsidR="00AE236A" w:rsidRPr="00CD2C81">
              <w:rPr>
                <w:rFonts w:asciiTheme="minorHAnsi" w:hAnsiTheme="minorHAnsi" w:cstheme="minorHAnsi"/>
              </w:rPr>
              <w:t>21). This analysis can be found on page 64 of the WICS’s SR</w:t>
            </w:r>
            <w:r w:rsidR="0012355F" w:rsidRPr="00CD2C81">
              <w:rPr>
                <w:rFonts w:asciiTheme="minorHAnsi" w:hAnsiTheme="minorHAnsi" w:cstheme="minorHAnsi"/>
              </w:rPr>
              <w:t>C</w:t>
            </w:r>
            <w:r w:rsidR="00AE236A" w:rsidRPr="00CD2C81">
              <w:rPr>
                <w:rFonts w:asciiTheme="minorHAnsi" w:hAnsiTheme="minorHAnsi" w:cstheme="minorHAnsi"/>
              </w:rPr>
              <w:t>21 draft determination.</w:t>
            </w:r>
          </w:p>
          <w:p w14:paraId="09C7710F" w14:textId="243E7994" w:rsidR="00E07AB7" w:rsidRPr="00CD2C81" w:rsidDel="001D4505" w:rsidRDefault="00AE236A" w:rsidP="00954233">
            <w:pPr>
              <w:pStyle w:val="BodyText"/>
              <w:keepLines/>
              <w:rPr>
                <w:rFonts w:asciiTheme="minorHAnsi" w:hAnsiTheme="minorHAnsi" w:cstheme="minorHAnsi"/>
              </w:rPr>
            </w:pPr>
            <w:r w:rsidRPr="00CD2C81" w:rsidDel="001D4505">
              <w:rPr>
                <w:rFonts w:asciiTheme="minorHAnsi" w:hAnsiTheme="minorHAnsi" w:cstheme="minorHAnsi"/>
              </w:rPr>
              <w:t xml:space="preserve">Optimised replacement is defined as replacing an asset with one </w:t>
            </w:r>
            <w:r w:rsidR="00CF606B">
              <w:rPr>
                <w:rFonts w:asciiTheme="minorHAnsi" w:hAnsiTheme="minorHAnsi" w:cstheme="minorHAnsi"/>
              </w:rPr>
              <w:t>with</w:t>
            </w:r>
            <w:r w:rsidRPr="00CD2C81" w:rsidDel="001D4505">
              <w:rPr>
                <w:rFonts w:asciiTheme="minorHAnsi" w:hAnsiTheme="minorHAnsi" w:cstheme="minorHAnsi"/>
              </w:rPr>
              <w:t xml:space="preserve"> the equivalent productive capacity, taking account of modern materials, techniques and design. </w:t>
            </w:r>
          </w:p>
          <w:p w14:paraId="07BEB692" w14:textId="78D6E912" w:rsidR="007B193B" w:rsidRPr="00CD2C81" w:rsidRDefault="005F65A4" w:rsidP="00954233">
            <w:pPr>
              <w:pStyle w:val="BodyText"/>
              <w:keepLines/>
              <w:rPr>
                <w:rFonts w:asciiTheme="minorHAnsi" w:hAnsiTheme="minorHAnsi" w:cstheme="minorHAnsi"/>
              </w:rPr>
            </w:pPr>
            <w:r w:rsidRPr="00CD2C81">
              <w:rPr>
                <w:rFonts w:asciiTheme="minorHAnsi" w:hAnsiTheme="minorHAnsi" w:cstheme="minorHAnsi"/>
              </w:rPr>
              <w:t xml:space="preserve">The asset value should have a confidence grade assigned, in line with the definition in </w:t>
            </w:r>
            <w:r w:rsidR="007E0840">
              <w:rPr>
                <w:rFonts w:asciiTheme="minorHAnsi" w:hAnsiTheme="minorHAnsi" w:cstheme="minorHAnsi"/>
              </w:rPr>
              <w:t>c</w:t>
            </w:r>
            <w:r w:rsidR="007E0840" w:rsidRPr="00CD2C81">
              <w:rPr>
                <w:rFonts w:asciiTheme="minorHAnsi" w:hAnsiTheme="minorHAnsi" w:cstheme="minorHAnsi"/>
              </w:rPr>
              <w:t xml:space="preserve">hapter </w:t>
            </w:r>
            <w:r w:rsidR="007E0840" w:rsidRPr="007E0840">
              <w:rPr>
                <w:rFonts w:asciiTheme="minorHAnsi" w:hAnsiTheme="minorHAnsi" w:cstheme="minorHAnsi"/>
              </w:rPr>
              <w:t>‘Common Definitions’</w:t>
            </w:r>
            <w:r w:rsidRPr="00CD2C81">
              <w:rPr>
                <w:rFonts w:asciiTheme="minorHAnsi" w:hAnsiTheme="minorHAnsi" w:cstheme="minorHAnsi"/>
              </w:rPr>
              <w:t xml:space="preserve">. </w:t>
            </w:r>
          </w:p>
        </w:tc>
        <w:tc>
          <w:tcPr>
            <w:tcW w:w="0" w:type="auto"/>
          </w:tcPr>
          <w:p w14:paraId="3A6EBEBB" w14:textId="6D3F7730" w:rsidR="007B193B" w:rsidRPr="00E06E8A" w:rsidRDefault="00691102">
            <w:pPr>
              <w:pStyle w:val="BodyText"/>
              <w:rPr>
                <w:rFonts w:asciiTheme="minorHAnsi" w:hAnsiTheme="minorHAnsi" w:cstheme="minorHAnsi"/>
              </w:rPr>
            </w:pPr>
            <w:r w:rsidRPr="00E06E8A">
              <w:rPr>
                <w:rFonts w:asciiTheme="minorHAnsi" w:hAnsiTheme="minorHAnsi" w:cstheme="minorHAnsi"/>
              </w:rPr>
              <w:t>£m in 2024-25 price base</w:t>
            </w:r>
          </w:p>
        </w:tc>
      </w:tr>
      <w:tr w:rsidR="007B193B" w:rsidRPr="00644B4B" w14:paraId="0262F8E8" w14:textId="77777777" w:rsidTr="003E4601">
        <w:tc>
          <w:tcPr>
            <w:tcW w:w="0" w:type="auto"/>
          </w:tcPr>
          <w:p w14:paraId="50E1C8B7" w14:textId="77777777" w:rsidR="007B193B" w:rsidRDefault="00DB7C27">
            <w:pPr>
              <w:pStyle w:val="BodyText"/>
              <w:rPr>
                <w:rFonts w:asciiTheme="minorHAnsi" w:hAnsiTheme="minorHAnsi" w:cstheme="minorHAnsi"/>
              </w:rPr>
            </w:pPr>
            <w:r>
              <w:rPr>
                <w:rFonts w:asciiTheme="minorHAnsi" w:hAnsiTheme="minorHAnsi" w:cstheme="minorHAnsi"/>
              </w:rPr>
              <w:lastRenderedPageBreak/>
              <w:t>22</w:t>
            </w:r>
          </w:p>
          <w:p w14:paraId="6BDB96B1" w14:textId="1F0C4341" w:rsidR="007B193B" w:rsidRPr="00E06E8A" w:rsidRDefault="008B2CD8">
            <w:pPr>
              <w:pStyle w:val="BodyText"/>
              <w:rPr>
                <w:rFonts w:asciiTheme="minorHAnsi" w:hAnsiTheme="minorHAnsi" w:cstheme="minorHAnsi"/>
              </w:rPr>
            </w:pPr>
            <w:r>
              <w:rPr>
                <w:rFonts w:asciiTheme="minorHAnsi" w:hAnsiTheme="minorHAnsi" w:cstheme="minorHAnsi"/>
              </w:rPr>
              <w:t>23</w:t>
            </w:r>
          </w:p>
        </w:tc>
        <w:tc>
          <w:tcPr>
            <w:tcW w:w="0" w:type="auto"/>
          </w:tcPr>
          <w:p w14:paraId="1126C1B9" w14:textId="512FC0AD" w:rsidR="00441D86" w:rsidRPr="00E06E8A" w:rsidRDefault="00970A18" w:rsidP="00970A18">
            <w:pPr>
              <w:pStyle w:val="BodyText"/>
              <w:rPr>
                <w:rFonts w:asciiTheme="minorHAnsi" w:hAnsiTheme="minorHAnsi" w:cstheme="minorHAnsi"/>
              </w:rPr>
            </w:pPr>
            <w:r w:rsidRPr="00E06E8A">
              <w:rPr>
                <w:rFonts w:asciiTheme="minorHAnsi" w:hAnsiTheme="minorHAnsi" w:cstheme="minorHAnsi"/>
              </w:rPr>
              <w:t xml:space="preserve">Assumed asset life </w:t>
            </w:r>
            <w:r w:rsidR="00E34CB6">
              <w:rPr>
                <w:rFonts w:asciiTheme="minorHAnsi" w:hAnsiTheme="minorHAnsi" w:cstheme="minorHAnsi"/>
              </w:rPr>
              <w:t>(years)</w:t>
            </w:r>
          </w:p>
          <w:p w14:paraId="6230E93A" w14:textId="6F3C9017"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Confidence </w:t>
            </w:r>
            <w:r w:rsidR="00E50311">
              <w:rPr>
                <w:rFonts w:asciiTheme="minorHAnsi" w:hAnsiTheme="minorHAnsi" w:cstheme="minorHAnsi"/>
              </w:rPr>
              <w:t>g</w:t>
            </w:r>
            <w:r w:rsidRPr="00E06E8A">
              <w:rPr>
                <w:rFonts w:asciiTheme="minorHAnsi" w:hAnsiTheme="minorHAnsi" w:cstheme="minorHAnsi"/>
              </w:rPr>
              <w:t>rade</w:t>
            </w:r>
            <w:r w:rsidRPr="00E06E8A">
              <w:rPr>
                <w:rFonts w:asciiTheme="minorHAnsi" w:hAnsiTheme="minorHAnsi" w:cstheme="minorHAnsi"/>
              </w:rPr>
              <w:tab/>
            </w:r>
          </w:p>
        </w:tc>
        <w:tc>
          <w:tcPr>
            <w:tcW w:w="0" w:type="auto"/>
          </w:tcPr>
          <w:p w14:paraId="194DE6ED" w14:textId="4A0C4DD3" w:rsidR="00DD68AC" w:rsidRPr="00E06E8A" w:rsidRDefault="009B32B4" w:rsidP="00954233">
            <w:pPr>
              <w:pStyle w:val="BodyText"/>
              <w:keepLines/>
              <w:rPr>
                <w:rFonts w:asciiTheme="minorHAnsi" w:hAnsiTheme="minorHAnsi" w:cstheme="minorHAnsi"/>
              </w:rPr>
            </w:pPr>
            <w:r w:rsidRPr="00E06E8A">
              <w:rPr>
                <w:rFonts w:asciiTheme="minorHAnsi" w:hAnsiTheme="minorHAnsi" w:cstheme="minorHAnsi"/>
              </w:rPr>
              <w:t xml:space="preserve">The lifetime of Scottish Water’s assets split by asset category and </w:t>
            </w:r>
            <w:r w:rsidRPr="00E06E8A" w:rsidDel="001D4505">
              <w:rPr>
                <w:rFonts w:asciiTheme="minorHAnsi" w:hAnsiTheme="minorHAnsi" w:cstheme="minorHAnsi"/>
              </w:rPr>
              <w:t>sub</w:t>
            </w:r>
            <w:r w:rsidR="001D4505">
              <w:rPr>
                <w:rFonts w:asciiTheme="minorHAnsi" w:hAnsiTheme="minorHAnsi" w:cstheme="minorHAnsi"/>
              </w:rPr>
              <w:t>-</w:t>
            </w:r>
            <w:r w:rsidRPr="00E06E8A">
              <w:rPr>
                <w:rFonts w:asciiTheme="minorHAnsi" w:hAnsiTheme="minorHAnsi" w:cstheme="minorHAnsi"/>
              </w:rPr>
              <w:t xml:space="preserve">asset category. </w:t>
            </w:r>
            <w:r w:rsidR="00832DEC">
              <w:rPr>
                <w:rFonts w:asciiTheme="minorHAnsi" w:hAnsiTheme="minorHAnsi" w:cstheme="minorHAnsi"/>
              </w:rPr>
              <w:t xml:space="preserve">This should be a weighted average based on asset value. </w:t>
            </w:r>
            <w:r w:rsidRPr="00E06E8A">
              <w:rPr>
                <w:rFonts w:asciiTheme="minorHAnsi" w:hAnsiTheme="minorHAnsi" w:cstheme="minorHAnsi"/>
              </w:rPr>
              <w:t>Asset lifetime is</w:t>
            </w:r>
            <w:r w:rsidRPr="00E06E8A" w:rsidDel="001D4505">
              <w:rPr>
                <w:rFonts w:asciiTheme="minorHAnsi" w:hAnsiTheme="minorHAnsi" w:cstheme="minorHAnsi"/>
              </w:rPr>
              <w:t xml:space="preserve"> </w:t>
            </w:r>
            <w:r w:rsidRPr="00E06E8A">
              <w:rPr>
                <w:rFonts w:asciiTheme="minorHAnsi" w:hAnsiTheme="minorHAnsi" w:cstheme="minorHAnsi"/>
              </w:rPr>
              <w:t>the amount of time (measured in years) that elapses from installation to the end of the asset’s useful life (the point at which the asset is decommissioned and replaced with an alternative means of providing the service).</w:t>
            </w:r>
            <w:r w:rsidR="001722BA" w:rsidRPr="00E06E8A">
              <w:rPr>
                <w:rFonts w:asciiTheme="minorHAnsi" w:hAnsiTheme="minorHAnsi" w:cstheme="minorHAnsi"/>
              </w:rPr>
              <w:t xml:space="preserve"> </w:t>
            </w:r>
          </w:p>
          <w:p w14:paraId="33C7A2D4" w14:textId="220D03B6" w:rsidR="007B193B" w:rsidRPr="00E06E8A" w:rsidRDefault="00422372" w:rsidP="00954233">
            <w:pPr>
              <w:pStyle w:val="BodyText"/>
              <w:keepLines/>
              <w:rPr>
                <w:rFonts w:asciiTheme="minorHAnsi" w:hAnsiTheme="minorHAnsi" w:cstheme="minorHAnsi"/>
              </w:rPr>
            </w:pPr>
            <w:r w:rsidRPr="00E06E8A">
              <w:rPr>
                <w:rFonts w:asciiTheme="minorHAnsi" w:hAnsiTheme="minorHAnsi" w:cstheme="minorHAnsi"/>
              </w:rPr>
              <w:t xml:space="preserve">The assumed asset life should have a confidence grade assigned, in line with the definition in </w:t>
            </w:r>
            <w:r w:rsidR="007E0840">
              <w:rPr>
                <w:rFonts w:asciiTheme="minorHAnsi" w:hAnsiTheme="minorHAnsi" w:cstheme="minorHAnsi"/>
              </w:rPr>
              <w:t xml:space="preserve">chapter </w:t>
            </w:r>
            <w:r w:rsidR="007E0840" w:rsidRPr="007E0840">
              <w:rPr>
                <w:rFonts w:asciiTheme="minorHAnsi" w:hAnsiTheme="minorHAnsi" w:cstheme="minorHAnsi"/>
              </w:rPr>
              <w:t>‘Common Definitions’</w:t>
            </w:r>
            <w:r w:rsidRPr="00E06E8A">
              <w:rPr>
                <w:rFonts w:asciiTheme="minorHAnsi" w:hAnsiTheme="minorHAnsi" w:cstheme="minorHAnsi"/>
              </w:rPr>
              <w:t xml:space="preserve">. </w:t>
            </w:r>
          </w:p>
        </w:tc>
        <w:tc>
          <w:tcPr>
            <w:tcW w:w="0" w:type="auto"/>
          </w:tcPr>
          <w:p w14:paraId="0CBE7A35" w14:textId="3725550D" w:rsidR="007B193B" w:rsidRPr="00E06E8A" w:rsidRDefault="00422372">
            <w:pPr>
              <w:pStyle w:val="BodyText"/>
              <w:rPr>
                <w:rFonts w:asciiTheme="minorHAnsi" w:hAnsiTheme="minorHAnsi" w:cstheme="minorHAnsi"/>
              </w:rPr>
            </w:pPr>
            <w:r w:rsidRPr="00E06E8A">
              <w:rPr>
                <w:rFonts w:asciiTheme="minorHAnsi" w:hAnsiTheme="minorHAnsi" w:cstheme="minorHAnsi"/>
              </w:rPr>
              <w:t>Years</w:t>
            </w:r>
          </w:p>
        </w:tc>
      </w:tr>
      <w:tr w:rsidR="007B193B" w:rsidRPr="00644B4B" w14:paraId="0F2A67CF" w14:textId="77777777" w:rsidTr="003E4601">
        <w:tc>
          <w:tcPr>
            <w:tcW w:w="0" w:type="auto"/>
          </w:tcPr>
          <w:p w14:paraId="29F391DB" w14:textId="5925E178" w:rsidR="007B193B" w:rsidRPr="00E06E8A" w:rsidRDefault="008B2CD8">
            <w:pPr>
              <w:pStyle w:val="BodyText"/>
              <w:rPr>
                <w:rFonts w:asciiTheme="minorHAnsi" w:hAnsiTheme="minorHAnsi" w:cstheme="minorHAnsi"/>
              </w:rPr>
            </w:pPr>
            <w:r>
              <w:rPr>
                <w:rFonts w:asciiTheme="minorHAnsi" w:hAnsiTheme="minorHAnsi" w:cstheme="minorHAnsi"/>
              </w:rPr>
              <w:t>24</w:t>
            </w:r>
          </w:p>
        </w:tc>
        <w:tc>
          <w:tcPr>
            <w:tcW w:w="0" w:type="auto"/>
          </w:tcPr>
          <w:p w14:paraId="32A45223" w14:textId="54E9E960"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Annual run-rate </w:t>
            </w:r>
            <w:r w:rsidR="001D374F">
              <w:rPr>
                <w:rFonts w:asciiTheme="minorHAnsi" w:hAnsiTheme="minorHAnsi" w:cstheme="minorHAnsi"/>
              </w:rPr>
              <w:t xml:space="preserve">(£m) </w:t>
            </w:r>
            <w:r w:rsidRPr="00E06E8A">
              <w:rPr>
                <w:rFonts w:asciiTheme="minorHAnsi" w:hAnsiTheme="minorHAnsi" w:cstheme="minorHAnsi"/>
              </w:rPr>
              <w:t>for replacement</w:t>
            </w:r>
            <w:r w:rsidRPr="00E06E8A">
              <w:rPr>
                <w:rFonts w:asciiTheme="minorHAnsi" w:hAnsiTheme="minorHAnsi" w:cstheme="minorHAnsi"/>
              </w:rPr>
              <w:tab/>
            </w:r>
          </w:p>
        </w:tc>
        <w:tc>
          <w:tcPr>
            <w:tcW w:w="0" w:type="auto"/>
          </w:tcPr>
          <w:p w14:paraId="604C533B" w14:textId="466F4279" w:rsidR="007B193B" w:rsidRPr="00E06E8A" w:rsidRDefault="006C1E48">
            <w:pPr>
              <w:pStyle w:val="BodyText"/>
              <w:rPr>
                <w:rFonts w:asciiTheme="minorHAnsi" w:hAnsiTheme="minorHAnsi" w:cstheme="minorHAnsi"/>
                <w:color w:val="FF0000"/>
              </w:rPr>
            </w:pPr>
            <w:r w:rsidRPr="00E06E8A">
              <w:rPr>
                <w:rFonts w:asciiTheme="minorHAnsi" w:hAnsiTheme="minorHAnsi" w:cstheme="minorHAnsi"/>
              </w:rPr>
              <w:t xml:space="preserve">The expected annual expenditure of the </w:t>
            </w:r>
            <w:r w:rsidRPr="00E06E8A" w:rsidDel="001D4505">
              <w:rPr>
                <w:rFonts w:asciiTheme="minorHAnsi" w:hAnsiTheme="minorHAnsi" w:cstheme="minorHAnsi"/>
              </w:rPr>
              <w:t>sub</w:t>
            </w:r>
            <w:r w:rsidR="001D4505">
              <w:rPr>
                <w:rFonts w:asciiTheme="minorHAnsi" w:hAnsiTheme="minorHAnsi" w:cstheme="minorHAnsi"/>
              </w:rPr>
              <w:t>-</w:t>
            </w:r>
            <w:r w:rsidRPr="00E06E8A">
              <w:rPr>
                <w:rFonts w:asciiTheme="minorHAnsi" w:hAnsiTheme="minorHAnsi" w:cstheme="minorHAnsi"/>
              </w:rPr>
              <w:t xml:space="preserve">asset </w:t>
            </w:r>
            <w:r w:rsidR="00AE00AB" w:rsidRPr="00E06E8A">
              <w:rPr>
                <w:rFonts w:asciiTheme="minorHAnsi" w:hAnsiTheme="minorHAnsi" w:cstheme="minorHAnsi"/>
              </w:rPr>
              <w:t>to fully recover the replacement</w:t>
            </w:r>
            <w:r w:rsidR="001D4505">
              <w:rPr>
                <w:rFonts w:asciiTheme="minorHAnsi" w:hAnsiTheme="minorHAnsi" w:cstheme="minorHAnsi"/>
              </w:rPr>
              <w:t xml:space="preserve"> cost</w:t>
            </w:r>
            <w:r w:rsidR="00F34B90" w:rsidRPr="00E06E8A">
              <w:rPr>
                <w:rFonts w:asciiTheme="minorHAnsi" w:hAnsiTheme="minorHAnsi" w:cstheme="minorHAnsi"/>
              </w:rPr>
              <w:t>.</w:t>
            </w:r>
          </w:p>
        </w:tc>
        <w:tc>
          <w:tcPr>
            <w:tcW w:w="0" w:type="auto"/>
          </w:tcPr>
          <w:p w14:paraId="6B21EA67" w14:textId="6049919D" w:rsidR="007B193B" w:rsidRPr="00E06E8A" w:rsidRDefault="00B96946">
            <w:pPr>
              <w:pStyle w:val="BodyText"/>
              <w:rPr>
                <w:rFonts w:asciiTheme="minorHAnsi" w:hAnsiTheme="minorHAnsi" w:cstheme="minorHAnsi"/>
              </w:rPr>
            </w:pPr>
            <w:r w:rsidRPr="00E06E8A">
              <w:rPr>
                <w:rFonts w:asciiTheme="minorHAnsi" w:hAnsiTheme="minorHAnsi" w:cstheme="minorHAnsi"/>
              </w:rPr>
              <w:t>£m</w:t>
            </w:r>
            <w:r w:rsidR="00A955BB">
              <w:rPr>
                <w:rFonts w:asciiTheme="minorHAnsi" w:hAnsiTheme="minorHAnsi" w:cstheme="minorHAnsi"/>
              </w:rPr>
              <w:t xml:space="preserve"> in 2024-25 price base</w:t>
            </w:r>
          </w:p>
        </w:tc>
      </w:tr>
      <w:tr w:rsidR="005452FC" w:rsidRPr="00644B4B" w14:paraId="29D89117" w14:textId="77777777" w:rsidTr="003E4601">
        <w:tc>
          <w:tcPr>
            <w:tcW w:w="0" w:type="auto"/>
          </w:tcPr>
          <w:p w14:paraId="4BAED4BE" w14:textId="396C7ED2" w:rsidR="005452FC" w:rsidRPr="00E06E8A" w:rsidRDefault="00D01F0A" w:rsidP="005452FC">
            <w:pPr>
              <w:pStyle w:val="BodyText"/>
              <w:rPr>
                <w:rFonts w:asciiTheme="minorHAnsi" w:hAnsiTheme="minorHAnsi" w:cstheme="minorHAnsi"/>
              </w:rPr>
            </w:pPr>
            <w:r>
              <w:rPr>
                <w:rFonts w:asciiTheme="minorHAnsi" w:hAnsiTheme="minorHAnsi" w:cstheme="minorHAnsi"/>
              </w:rPr>
              <w:t xml:space="preserve">25 </w:t>
            </w:r>
          </w:p>
        </w:tc>
        <w:tc>
          <w:tcPr>
            <w:tcW w:w="0" w:type="auto"/>
          </w:tcPr>
          <w:p w14:paraId="0D2460E8" w14:textId="0C0494A6" w:rsidR="005452FC" w:rsidRPr="00E06E8A" w:rsidRDefault="004F3ECF" w:rsidP="005452FC">
            <w:pPr>
              <w:pStyle w:val="BodyText"/>
              <w:rPr>
                <w:rFonts w:asciiTheme="minorHAnsi" w:hAnsiTheme="minorHAnsi" w:cstheme="minorHAnsi"/>
              </w:rPr>
            </w:pPr>
            <w:r>
              <w:rPr>
                <w:rFonts w:asciiTheme="minorHAnsi" w:hAnsiTheme="minorHAnsi" w:cstheme="minorHAnsi"/>
              </w:rPr>
              <w:t xml:space="preserve">Block D: </w:t>
            </w:r>
            <w:r w:rsidR="005452FC" w:rsidRPr="00E06E8A">
              <w:rPr>
                <w:rFonts w:asciiTheme="minorHAnsi" w:hAnsiTheme="minorHAnsi" w:cstheme="minorHAnsi"/>
              </w:rPr>
              <w:t xml:space="preserve">Asset </w:t>
            </w:r>
            <w:r w:rsidR="00F47C33">
              <w:rPr>
                <w:rFonts w:asciiTheme="minorHAnsi" w:hAnsiTheme="minorHAnsi" w:cstheme="minorHAnsi"/>
              </w:rPr>
              <w:t>R</w:t>
            </w:r>
            <w:r w:rsidR="005452FC" w:rsidRPr="00E06E8A">
              <w:rPr>
                <w:rFonts w:asciiTheme="minorHAnsi" w:hAnsiTheme="minorHAnsi" w:cstheme="minorHAnsi"/>
              </w:rPr>
              <w:t xml:space="preserve">eplacement </w:t>
            </w:r>
            <w:r w:rsidR="00F47C33">
              <w:rPr>
                <w:rFonts w:asciiTheme="minorHAnsi" w:hAnsiTheme="minorHAnsi" w:cstheme="minorHAnsi"/>
              </w:rPr>
              <w:t>S</w:t>
            </w:r>
            <w:r w:rsidR="005452FC" w:rsidRPr="00E06E8A">
              <w:rPr>
                <w:rFonts w:asciiTheme="minorHAnsi" w:hAnsiTheme="minorHAnsi" w:cstheme="minorHAnsi"/>
              </w:rPr>
              <w:t>urplus/</w:t>
            </w:r>
            <w:r w:rsidR="00F47C33">
              <w:rPr>
                <w:rFonts w:asciiTheme="minorHAnsi" w:hAnsiTheme="minorHAnsi" w:cstheme="minorHAnsi"/>
              </w:rPr>
              <w:t>D</w:t>
            </w:r>
            <w:r w:rsidR="005452FC" w:rsidRPr="00E06E8A">
              <w:rPr>
                <w:rFonts w:asciiTheme="minorHAnsi" w:hAnsiTheme="minorHAnsi" w:cstheme="minorHAnsi"/>
              </w:rPr>
              <w:t xml:space="preserve">eficit in SRC27 (£m) (2024-25 </w:t>
            </w:r>
            <w:r w:rsidR="00BB0BE8">
              <w:rPr>
                <w:rFonts w:asciiTheme="minorHAnsi" w:hAnsiTheme="minorHAnsi" w:cstheme="minorHAnsi"/>
              </w:rPr>
              <w:t>Price Base</w:t>
            </w:r>
            <w:r w:rsidR="005452FC" w:rsidRPr="00E06E8A">
              <w:rPr>
                <w:rFonts w:asciiTheme="minorHAnsi" w:hAnsiTheme="minorHAnsi" w:cstheme="minorHAnsi"/>
              </w:rPr>
              <w:t>)</w:t>
            </w:r>
          </w:p>
        </w:tc>
        <w:tc>
          <w:tcPr>
            <w:tcW w:w="0" w:type="auto"/>
          </w:tcPr>
          <w:p w14:paraId="47A65CA1" w14:textId="520356AC" w:rsidR="005452FC" w:rsidRPr="00E06E8A" w:rsidRDefault="00112CF1" w:rsidP="005452FC">
            <w:pPr>
              <w:pStyle w:val="BodyText"/>
              <w:rPr>
                <w:rFonts w:asciiTheme="minorHAnsi" w:hAnsiTheme="minorHAnsi" w:cstheme="minorHAnsi"/>
              </w:rPr>
            </w:pPr>
            <w:r w:rsidRPr="00E06E8A">
              <w:rPr>
                <w:rFonts w:asciiTheme="minorHAnsi" w:hAnsiTheme="minorHAnsi" w:cstheme="minorHAnsi"/>
              </w:rPr>
              <w:t xml:space="preserve">The forecast </w:t>
            </w:r>
            <w:r w:rsidR="00940917" w:rsidRPr="00E06E8A">
              <w:rPr>
                <w:rFonts w:asciiTheme="minorHAnsi" w:hAnsiTheme="minorHAnsi" w:cstheme="minorHAnsi"/>
              </w:rPr>
              <w:t xml:space="preserve">cumulative </w:t>
            </w:r>
            <w:r w:rsidR="0012355F" w:rsidRPr="00E06E8A">
              <w:rPr>
                <w:rFonts w:asciiTheme="minorHAnsi" w:hAnsiTheme="minorHAnsi" w:cstheme="minorHAnsi"/>
              </w:rPr>
              <w:t>difference over the SRC27 period</w:t>
            </w:r>
            <w:r w:rsidR="006D5B35">
              <w:rPr>
                <w:rFonts w:asciiTheme="minorHAnsi" w:hAnsiTheme="minorHAnsi" w:cstheme="minorHAnsi"/>
              </w:rPr>
              <w:t xml:space="preserve"> of expenditure and average annual run rate for replacement</w:t>
            </w:r>
            <w:r w:rsidR="00C879C0" w:rsidRPr="00E06E8A">
              <w:rPr>
                <w:rFonts w:asciiTheme="minorHAnsi" w:hAnsiTheme="minorHAnsi" w:cstheme="minorHAnsi"/>
              </w:rPr>
              <w:t>. Th</w:t>
            </w:r>
            <w:r w:rsidR="00ED112C" w:rsidRPr="00E06E8A">
              <w:rPr>
                <w:rFonts w:asciiTheme="minorHAnsi" w:hAnsiTheme="minorHAnsi" w:cstheme="minorHAnsi"/>
              </w:rPr>
              <w:t>is column</w:t>
            </w:r>
            <w:r w:rsidR="006957DF" w:rsidRPr="00E06E8A">
              <w:rPr>
                <w:rFonts w:asciiTheme="minorHAnsi" w:hAnsiTheme="minorHAnsi" w:cstheme="minorHAnsi"/>
              </w:rPr>
              <w:t xml:space="preserve"> </w:t>
            </w:r>
            <w:r w:rsidR="006D5B35">
              <w:rPr>
                <w:rFonts w:asciiTheme="minorHAnsi" w:hAnsiTheme="minorHAnsi" w:cstheme="minorHAnsi"/>
              </w:rPr>
              <w:t xml:space="preserve">is </w:t>
            </w:r>
            <w:r w:rsidR="006957DF" w:rsidRPr="00E06E8A">
              <w:rPr>
                <w:rFonts w:asciiTheme="minorHAnsi" w:hAnsiTheme="minorHAnsi" w:cstheme="minorHAnsi"/>
              </w:rPr>
              <w:t xml:space="preserve">calculated </w:t>
            </w:r>
            <w:r w:rsidR="0095674F" w:rsidRPr="00E06E8A">
              <w:rPr>
                <w:rFonts w:asciiTheme="minorHAnsi" w:hAnsiTheme="minorHAnsi" w:cstheme="minorHAnsi"/>
              </w:rPr>
              <w:t>based on data reported in previous columns.</w:t>
            </w:r>
          </w:p>
        </w:tc>
        <w:tc>
          <w:tcPr>
            <w:tcW w:w="0" w:type="auto"/>
          </w:tcPr>
          <w:p w14:paraId="543C56BE" w14:textId="6F47AFCE" w:rsidR="005452FC" w:rsidRPr="00E06E8A" w:rsidRDefault="005452FC" w:rsidP="005452FC">
            <w:pPr>
              <w:pStyle w:val="BodyText"/>
              <w:rPr>
                <w:rFonts w:asciiTheme="minorHAnsi" w:hAnsiTheme="minorHAnsi" w:cstheme="minorHAnsi"/>
                <w:color w:val="FF0000"/>
              </w:rPr>
            </w:pPr>
            <w:r w:rsidRPr="00E06E8A">
              <w:rPr>
                <w:rFonts w:asciiTheme="minorHAnsi" w:hAnsiTheme="minorHAnsi" w:cstheme="minorHAnsi"/>
              </w:rPr>
              <w:t xml:space="preserve">£m in 2024-25 price base </w:t>
            </w:r>
          </w:p>
        </w:tc>
      </w:tr>
      <w:tr w:rsidR="00EC573D" w:rsidRPr="00644B4B" w14:paraId="68586F81" w14:textId="77777777" w:rsidTr="00954233">
        <w:trPr>
          <w:trHeight w:val="1019"/>
        </w:trPr>
        <w:tc>
          <w:tcPr>
            <w:tcW w:w="0" w:type="auto"/>
          </w:tcPr>
          <w:p w14:paraId="23ABA90E" w14:textId="45BA433E" w:rsidR="00EC573D" w:rsidDel="00D01F0A" w:rsidRDefault="0060129B" w:rsidP="005452FC">
            <w:pPr>
              <w:pStyle w:val="BodyText"/>
              <w:rPr>
                <w:rFonts w:asciiTheme="minorHAnsi" w:hAnsiTheme="minorHAnsi" w:cstheme="minorHAnsi"/>
              </w:rPr>
            </w:pPr>
            <w:r>
              <w:rPr>
                <w:rFonts w:asciiTheme="minorHAnsi" w:hAnsiTheme="minorHAnsi" w:cstheme="minorHAnsi"/>
              </w:rPr>
              <w:t>26 to 31</w:t>
            </w:r>
          </w:p>
        </w:tc>
        <w:tc>
          <w:tcPr>
            <w:tcW w:w="0" w:type="auto"/>
          </w:tcPr>
          <w:p w14:paraId="0B8147BE" w14:textId="1C6B79F1" w:rsidR="00EC573D" w:rsidRDefault="00A240DD" w:rsidP="005452FC">
            <w:pPr>
              <w:pStyle w:val="BodyText"/>
              <w:rPr>
                <w:rFonts w:asciiTheme="minorHAnsi" w:hAnsiTheme="minorHAnsi" w:cstheme="minorHAnsi"/>
              </w:rPr>
            </w:pPr>
            <w:r w:rsidRPr="00A240DD">
              <w:rPr>
                <w:rFonts w:asciiTheme="minorHAnsi" w:hAnsiTheme="minorHAnsi" w:cstheme="minorHAnsi"/>
              </w:rPr>
              <w:t>Block E: Average Annual Capital Expenditure by Scenario (£m) (2024-25 Price Base)</w:t>
            </w:r>
          </w:p>
        </w:tc>
        <w:tc>
          <w:tcPr>
            <w:tcW w:w="0" w:type="auto"/>
          </w:tcPr>
          <w:p w14:paraId="79AA0CB3" w14:textId="6D9A25F4" w:rsidR="00EC573D" w:rsidRPr="00E06E8A" w:rsidRDefault="00037960" w:rsidP="005452FC">
            <w:pPr>
              <w:pStyle w:val="BodyText"/>
              <w:rPr>
                <w:rFonts w:asciiTheme="minorHAnsi" w:hAnsiTheme="minorHAnsi" w:cstheme="minorHAnsi"/>
              </w:rPr>
            </w:pPr>
            <w:r w:rsidRPr="00E06E8A">
              <w:rPr>
                <w:rFonts w:asciiTheme="minorHAnsi" w:hAnsiTheme="minorHAnsi" w:cstheme="minorHAnsi"/>
              </w:rPr>
              <w:t xml:space="preserve">The </w:t>
            </w:r>
            <w:r w:rsidR="00462657">
              <w:rPr>
                <w:rFonts w:asciiTheme="minorHAnsi" w:hAnsiTheme="minorHAnsi" w:cstheme="minorHAnsi"/>
              </w:rPr>
              <w:t xml:space="preserve">average </w:t>
            </w:r>
            <w:r w:rsidRPr="00E06E8A">
              <w:rPr>
                <w:rFonts w:asciiTheme="minorHAnsi" w:hAnsiTheme="minorHAnsi" w:cstheme="minorHAnsi"/>
              </w:rPr>
              <w:t xml:space="preserve">annual </w:t>
            </w:r>
            <w:r w:rsidR="00936CC9">
              <w:rPr>
                <w:rFonts w:asciiTheme="minorHAnsi" w:hAnsiTheme="minorHAnsi" w:cstheme="minorHAnsi"/>
              </w:rPr>
              <w:t xml:space="preserve">capital </w:t>
            </w:r>
            <w:r w:rsidRPr="00E06E8A">
              <w:rPr>
                <w:rFonts w:asciiTheme="minorHAnsi" w:hAnsiTheme="minorHAnsi" w:cstheme="minorHAnsi"/>
              </w:rPr>
              <w:t xml:space="preserve">expenditure over the SRC27 period for each </w:t>
            </w:r>
            <w:r w:rsidRPr="00E06E8A" w:rsidDel="001D4505">
              <w:rPr>
                <w:rFonts w:asciiTheme="minorHAnsi" w:hAnsiTheme="minorHAnsi" w:cstheme="minorHAnsi"/>
              </w:rPr>
              <w:t>sub</w:t>
            </w:r>
            <w:r>
              <w:rPr>
                <w:rFonts w:asciiTheme="minorHAnsi" w:hAnsiTheme="minorHAnsi" w:cstheme="minorHAnsi"/>
              </w:rPr>
              <w:t>-asset</w:t>
            </w:r>
            <w:r w:rsidRPr="00E06E8A">
              <w:rPr>
                <w:rFonts w:asciiTheme="minorHAnsi" w:hAnsiTheme="minorHAnsi" w:cstheme="minorHAnsi"/>
              </w:rPr>
              <w:t xml:space="preserve"> category</w:t>
            </w:r>
            <w:r w:rsidR="00745B9B">
              <w:rPr>
                <w:rFonts w:asciiTheme="minorHAnsi" w:hAnsiTheme="minorHAnsi" w:cstheme="minorHAnsi"/>
              </w:rPr>
              <w:t xml:space="preserve"> and for each of the three scenarios as per chapter ‘Common Definitions’</w:t>
            </w:r>
            <w:r w:rsidRPr="00E06E8A">
              <w:rPr>
                <w:rFonts w:asciiTheme="minorHAnsi" w:hAnsiTheme="minorHAnsi" w:cstheme="minorHAnsi"/>
              </w:rPr>
              <w:t>. Data is classified as either Replace</w:t>
            </w:r>
            <w:r>
              <w:rPr>
                <w:rFonts w:asciiTheme="minorHAnsi" w:hAnsiTheme="minorHAnsi" w:cstheme="minorHAnsi"/>
              </w:rPr>
              <w:t>(</w:t>
            </w:r>
            <w:r w:rsidRPr="00E06E8A">
              <w:rPr>
                <w:rFonts w:asciiTheme="minorHAnsi" w:hAnsiTheme="minorHAnsi" w:cstheme="minorHAnsi"/>
              </w:rPr>
              <w:t>ment</w:t>
            </w:r>
            <w:r>
              <w:rPr>
                <w:rFonts w:asciiTheme="minorHAnsi" w:hAnsiTheme="minorHAnsi" w:cstheme="minorHAnsi"/>
              </w:rPr>
              <w:t>)</w:t>
            </w:r>
            <w:r w:rsidRPr="00E06E8A">
              <w:rPr>
                <w:rFonts w:asciiTheme="minorHAnsi" w:hAnsiTheme="minorHAnsi" w:cstheme="minorHAnsi"/>
              </w:rPr>
              <w:t xml:space="preserve"> or Repair &amp; </w:t>
            </w:r>
            <w:r>
              <w:rPr>
                <w:rFonts w:asciiTheme="minorHAnsi" w:hAnsiTheme="minorHAnsi" w:cstheme="minorHAnsi"/>
              </w:rPr>
              <w:t>Refurbish(ment)</w:t>
            </w:r>
            <w:r w:rsidR="00882605">
              <w:rPr>
                <w:rFonts w:asciiTheme="minorHAnsi" w:hAnsiTheme="minorHAnsi" w:cstheme="minorHAnsi"/>
              </w:rPr>
              <w:t xml:space="preserve"> </w:t>
            </w:r>
            <w:r w:rsidR="000E0822">
              <w:rPr>
                <w:rFonts w:asciiTheme="minorHAnsi" w:hAnsiTheme="minorHAnsi" w:cstheme="minorHAnsi"/>
              </w:rPr>
              <w:t xml:space="preserve">as </w:t>
            </w:r>
            <w:r w:rsidRPr="00E06E8A">
              <w:rPr>
                <w:rFonts w:asciiTheme="minorHAnsi" w:hAnsiTheme="minorHAnsi" w:cstheme="minorHAnsi"/>
              </w:rPr>
              <w:t>per the definitions above.</w:t>
            </w:r>
          </w:p>
        </w:tc>
        <w:tc>
          <w:tcPr>
            <w:tcW w:w="0" w:type="auto"/>
          </w:tcPr>
          <w:p w14:paraId="0BB63693" w14:textId="442F29E9" w:rsidR="00EC573D" w:rsidRPr="00E06E8A" w:rsidRDefault="00745B9B" w:rsidP="005452FC">
            <w:pPr>
              <w:pStyle w:val="BodyText"/>
              <w:rPr>
                <w:rFonts w:asciiTheme="minorHAnsi" w:hAnsiTheme="minorHAnsi" w:cstheme="minorHAnsi"/>
              </w:rPr>
            </w:pPr>
            <w:r w:rsidRPr="00E06E8A">
              <w:rPr>
                <w:rFonts w:asciiTheme="minorHAnsi" w:hAnsiTheme="minorHAnsi" w:cstheme="minorHAnsi"/>
              </w:rPr>
              <w:t>£m in 2024-25 price base</w:t>
            </w:r>
          </w:p>
        </w:tc>
      </w:tr>
    </w:tbl>
    <w:p w14:paraId="5B100DA2" w14:textId="77777777" w:rsidR="00205CBB" w:rsidRDefault="00205CBB" w:rsidP="005034E5"/>
    <w:p w14:paraId="39FD8772" w14:textId="6520F447" w:rsidR="008252EA" w:rsidRPr="00C61FE8" w:rsidRDefault="00D321D1" w:rsidP="005034E5">
      <w:pPr>
        <w:rPr>
          <w:rFonts w:cstheme="minorHAnsi"/>
        </w:rPr>
      </w:pPr>
      <w:r w:rsidRPr="00C61FE8">
        <w:rPr>
          <w:rFonts w:cstheme="minorHAnsi"/>
        </w:rPr>
        <w:t xml:space="preserve">The assets should be split between </w:t>
      </w:r>
      <w:r w:rsidR="007179B2">
        <w:rPr>
          <w:rFonts w:cstheme="minorHAnsi"/>
        </w:rPr>
        <w:t>five</w:t>
      </w:r>
      <w:r w:rsidR="007179B2" w:rsidRPr="00C61FE8">
        <w:rPr>
          <w:rFonts w:cstheme="minorHAnsi"/>
        </w:rPr>
        <w:t xml:space="preserve"> </w:t>
      </w:r>
      <w:r w:rsidR="00823D45">
        <w:rPr>
          <w:rFonts w:cstheme="minorHAnsi"/>
        </w:rPr>
        <w:t>s</w:t>
      </w:r>
      <w:r w:rsidR="008252EA" w:rsidRPr="00C61FE8">
        <w:rPr>
          <w:rFonts w:cstheme="minorHAnsi"/>
        </w:rPr>
        <w:t xml:space="preserve">ervice levels – water, </w:t>
      </w:r>
      <w:r w:rsidR="00BB7A30">
        <w:rPr>
          <w:rFonts w:cstheme="minorHAnsi"/>
        </w:rPr>
        <w:t xml:space="preserve">foul sewage and surface water </w:t>
      </w:r>
      <w:r w:rsidR="00B770C8" w:rsidRPr="00C61FE8">
        <w:rPr>
          <w:rFonts w:cstheme="minorHAnsi"/>
        </w:rPr>
        <w:t xml:space="preserve">shared assets, foul sewage only, surface only and </w:t>
      </w:r>
      <w:r w:rsidR="001945E4">
        <w:rPr>
          <w:rFonts w:cstheme="minorHAnsi"/>
        </w:rPr>
        <w:t xml:space="preserve">water and wastewater shared assets (or </w:t>
      </w:r>
      <w:r w:rsidR="00B770C8" w:rsidRPr="00C61FE8">
        <w:rPr>
          <w:rFonts w:cstheme="minorHAnsi"/>
        </w:rPr>
        <w:t>business services</w:t>
      </w:r>
      <w:r w:rsidR="001945E4">
        <w:rPr>
          <w:rFonts w:cstheme="minorHAnsi"/>
        </w:rPr>
        <w:t>)</w:t>
      </w:r>
      <w:r w:rsidR="00B770C8" w:rsidRPr="00C61FE8">
        <w:rPr>
          <w:rFonts w:cstheme="minorHAnsi"/>
        </w:rPr>
        <w:t xml:space="preserve">. </w:t>
      </w:r>
    </w:p>
    <w:p w14:paraId="635D033D" w14:textId="77777777" w:rsidR="00E3501C" w:rsidRDefault="00E3501C" w:rsidP="005034E5"/>
    <w:p w14:paraId="55B5AD89" w14:textId="0F0FDA30" w:rsidR="00C97645" w:rsidRDefault="00C97645" w:rsidP="00954233">
      <w:pPr>
        <w:pStyle w:val="SMALLHEADINGALLCAPS"/>
      </w:pPr>
      <w:r>
        <w:lastRenderedPageBreak/>
        <w:t>Guidance for lead pipes</w:t>
      </w:r>
    </w:p>
    <w:p w14:paraId="12FDEA24" w14:textId="6A15DDF7" w:rsidR="00B56692" w:rsidRDefault="00B56692" w:rsidP="00B56692">
      <w:r>
        <w:t xml:space="preserve">The capital expenditure associated with </w:t>
      </w:r>
      <w:r w:rsidRPr="00B56692">
        <w:t xml:space="preserve">Water Mains: Communication pipes - lead </w:t>
      </w:r>
      <w:r>
        <w:t>line should equal the costs reported in table 2 associated with output “Number of lead communication pipes replaced.” In table 3</w:t>
      </w:r>
      <w:r w:rsidR="00F0445E">
        <w:t>a</w:t>
      </w:r>
      <w:r>
        <w:t>, these costs will be compared to the total asset inventory and the average annual run-rate. However, these costs should be excluded from the asset replacement expenditure totals in table 3</w:t>
      </w:r>
      <w:r w:rsidR="000A70EB">
        <w:t>a</w:t>
      </w:r>
      <w:r>
        <w:t xml:space="preserve"> (the total line for Water assets and, subsequently, the total line for all assets).</w:t>
      </w:r>
    </w:p>
    <w:p w14:paraId="0746F3DF" w14:textId="77777777" w:rsidR="001550B4" w:rsidRDefault="001550B4" w:rsidP="00B56692"/>
    <w:p w14:paraId="41E03A80" w14:textId="77FFB359" w:rsidR="001550B4" w:rsidRDefault="00586AB3" w:rsidP="00B56692">
      <w:r w:rsidRPr="00586AB3">
        <w:rPr>
          <w:rFonts w:cstheme="minorHAnsi"/>
        </w:rPr>
        <w:t>In Block B</w:t>
      </w:r>
      <w:r w:rsidR="00B16EF3">
        <w:rPr>
          <w:rFonts w:cstheme="minorHAnsi"/>
        </w:rPr>
        <w:t xml:space="preserve"> and Block E</w:t>
      </w:r>
      <w:r w:rsidRPr="00586AB3">
        <w:rPr>
          <w:rFonts w:cstheme="minorHAnsi"/>
        </w:rPr>
        <w:t>, total expenditure on water assets excludes expenditure on lead communication pipes to avoid double counting with table 2, line 2.5.</w:t>
      </w:r>
      <w:r>
        <w:rPr>
          <w:rFonts w:cstheme="minorHAnsi"/>
        </w:rPr>
        <w:t xml:space="preserve"> </w:t>
      </w:r>
      <w:r w:rsidR="001550B4" w:rsidRPr="0071355D">
        <w:rPr>
          <w:rFonts w:cstheme="minorHAnsi"/>
        </w:rPr>
        <w:t>In Block C</w:t>
      </w:r>
      <w:r w:rsidR="009843AF">
        <w:rPr>
          <w:rFonts w:cstheme="minorHAnsi"/>
        </w:rPr>
        <w:t xml:space="preserve"> and D</w:t>
      </w:r>
      <w:r w:rsidR="001550B4" w:rsidRPr="0071355D">
        <w:rPr>
          <w:rFonts w:cstheme="minorHAnsi"/>
        </w:rPr>
        <w:t xml:space="preserve"> lead communication pipes are included in the calculations for total asset value of water assets, annual run-rate (£m) for replacement of all water assets</w:t>
      </w:r>
      <w:r w:rsidR="00790A22">
        <w:rPr>
          <w:rFonts w:cstheme="minorHAnsi"/>
        </w:rPr>
        <w:t xml:space="preserve">, and the </w:t>
      </w:r>
      <w:r w:rsidR="003F309D">
        <w:rPr>
          <w:rFonts w:cstheme="minorHAnsi"/>
        </w:rPr>
        <w:t>asset replacement surplus/deficit for all water assets</w:t>
      </w:r>
      <w:r w:rsidR="001550B4">
        <w:rPr>
          <w:rFonts w:cstheme="minorHAnsi"/>
        </w:rPr>
        <w:t>.</w:t>
      </w:r>
    </w:p>
    <w:p w14:paraId="0F8A7A83" w14:textId="77777777" w:rsidR="00B56692" w:rsidRDefault="00B56692" w:rsidP="005034E5"/>
    <w:p w14:paraId="219D7269" w14:textId="77777777" w:rsidR="009F3630" w:rsidRDefault="009F3630" w:rsidP="002A3A92">
      <w:pPr>
        <w:spacing w:after="160" w:line="259" w:lineRule="auto"/>
        <w:jc w:val="left"/>
        <w:sectPr w:rsidR="009F3630" w:rsidSect="009F3630">
          <w:pgSz w:w="16838" w:h="11906" w:orient="landscape" w:code="9"/>
          <w:pgMar w:top="1134" w:right="1134" w:bottom="1134" w:left="1134" w:header="567" w:footer="567" w:gutter="0"/>
          <w:cols w:space="708"/>
          <w:docGrid w:linePitch="360"/>
        </w:sectPr>
      </w:pPr>
    </w:p>
    <w:p w14:paraId="2934AC54" w14:textId="469F7E53" w:rsidR="007E4322" w:rsidRDefault="007E4322" w:rsidP="00C80D73">
      <w:pPr>
        <w:pStyle w:val="heading20"/>
        <w:numPr>
          <w:ilvl w:val="0"/>
          <w:numId w:val="0"/>
        </w:numPr>
      </w:pPr>
    </w:p>
    <w:p w14:paraId="4CC46CBD" w14:textId="15BDB72E" w:rsidR="003E27EA" w:rsidRDefault="003E27EA" w:rsidP="003E27EA">
      <w:pPr>
        <w:pStyle w:val="heading20"/>
        <w:ind w:left="788" w:hanging="431"/>
        <w:outlineLvl w:val="1"/>
      </w:pPr>
      <w:bookmarkStart w:id="20" w:name="_Toc184736040"/>
      <w:r>
        <w:t>Table 3</w:t>
      </w:r>
      <w:r w:rsidR="00F519B4">
        <w:t>b</w:t>
      </w:r>
      <w:r>
        <w:t xml:space="preserve">: </w:t>
      </w:r>
      <w:r w:rsidR="00F519B4">
        <w:t>Asset health</w:t>
      </w:r>
      <w:bookmarkEnd w:id="20"/>
    </w:p>
    <w:p w14:paraId="64C3E7B5" w14:textId="77777777" w:rsidR="007E4322" w:rsidRDefault="007E4322" w:rsidP="007E4322">
      <w:pPr>
        <w:pStyle w:val="heading30"/>
        <w:outlineLvl w:val="3"/>
      </w:pPr>
      <w:r>
        <w:t>Purpose</w:t>
      </w:r>
    </w:p>
    <w:p w14:paraId="5968204F" w14:textId="77777777" w:rsidR="00045354" w:rsidRDefault="00045354" w:rsidP="00A61F77"/>
    <w:p w14:paraId="4D213C27" w14:textId="7A7DC653" w:rsidR="00056803" w:rsidRDefault="00BE22B6" w:rsidP="00A61F77">
      <w:r>
        <w:t xml:space="preserve">This table </w:t>
      </w:r>
      <w:r w:rsidR="00A556EA">
        <w:t>capture</w:t>
      </w:r>
      <w:r w:rsidR="00A75519">
        <w:t>s</w:t>
      </w:r>
      <w:r w:rsidR="00A556EA">
        <w:t xml:space="preserve"> the </w:t>
      </w:r>
      <w:r w:rsidR="002B45E7">
        <w:t xml:space="preserve">health of the asset base </w:t>
      </w:r>
      <w:r w:rsidR="00A73265">
        <w:t>in the base year (</w:t>
      </w:r>
      <w:r w:rsidR="00AD315E">
        <w:t xml:space="preserve">as at 31 March </w:t>
      </w:r>
      <w:r w:rsidR="00A73265">
        <w:t>2025) of the</w:t>
      </w:r>
      <w:r w:rsidR="00205BC9">
        <w:t xml:space="preserve"> SRC27 period, at</w:t>
      </w:r>
      <w:r w:rsidR="002B45E7">
        <w:t xml:space="preserve"> end of the SRC27 period</w:t>
      </w:r>
      <w:r w:rsidR="00CB71B4">
        <w:t xml:space="preserve"> as impacted by </w:t>
      </w:r>
      <w:r w:rsidR="00205BC9">
        <w:t xml:space="preserve">the capital maintenance expenditure </w:t>
      </w:r>
      <w:r w:rsidR="00EE621F">
        <w:t xml:space="preserve">proposed in the business plan, and at the </w:t>
      </w:r>
      <w:r w:rsidR="003B694B">
        <w:t xml:space="preserve">end of </w:t>
      </w:r>
      <w:r w:rsidR="00056803">
        <w:t>Scottish Water’s</w:t>
      </w:r>
      <w:r w:rsidR="003B694B">
        <w:t xml:space="preserve"> </w:t>
      </w:r>
      <w:r w:rsidR="00056803">
        <w:t>Long-Term Investment Strategy (LTIS) period in 2050-51</w:t>
      </w:r>
      <w:r w:rsidR="00A3282C">
        <w:t xml:space="preserve"> </w:t>
      </w:r>
      <w:r w:rsidR="00056803">
        <w:t xml:space="preserve">as impacted by the </w:t>
      </w:r>
      <w:r w:rsidR="00792262">
        <w:t>long-term planned maintenance expenditure in SRC33, SRC</w:t>
      </w:r>
      <w:r w:rsidR="00EB766D">
        <w:t>39 and SRC45 period</w:t>
      </w:r>
      <w:r w:rsidR="0018111E">
        <w:t>s</w:t>
      </w:r>
      <w:r w:rsidR="00EB766D">
        <w:t>.</w:t>
      </w:r>
      <w:r w:rsidR="00AD4A66">
        <w:t xml:space="preserve"> </w:t>
      </w:r>
    </w:p>
    <w:p w14:paraId="3F0C62B8" w14:textId="01CB6AA1" w:rsidR="007E4322" w:rsidRDefault="00C241C5" w:rsidP="00A61F77">
      <w:r>
        <w:t>A</w:t>
      </w:r>
      <w:r w:rsidR="00245CAB">
        <w:t xml:space="preserve">sset health </w:t>
      </w:r>
      <w:r w:rsidR="003319FD">
        <w:t xml:space="preserve">is </w:t>
      </w:r>
      <w:r w:rsidR="00B34CFE">
        <w:t xml:space="preserve">reported </w:t>
      </w:r>
      <w:r w:rsidR="00A3282C">
        <w:t xml:space="preserve">for those assets which Scottish Water </w:t>
      </w:r>
      <w:r w:rsidR="007678A1">
        <w:t>has model information on</w:t>
      </w:r>
      <w:r w:rsidR="00FC3614">
        <w:t xml:space="preserve"> (referred to as ‘modelled assets’)</w:t>
      </w:r>
      <w:r w:rsidR="007678A1">
        <w:t xml:space="preserve">. </w:t>
      </w:r>
    </w:p>
    <w:p w14:paraId="35B9C75C" w14:textId="77777777" w:rsidR="00AB0A94" w:rsidRDefault="00AB0A94" w:rsidP="00A61F77"/>
    <w:p w14:paraId="3DE032D8" w14:textId="5E99E1E7" w:rsidR="00AB0A94" w:rsidRDefault="00AB0A94" w:rsidP="00A61F77">
      <w:r>
        <w:t>This assessment is being undertaken to understand the potential requirements for asset replacement over SRC27. The data can be used to check whether replacement interventions are keeping pace with deterioration and to determine whether it can provide further insight into emerging asset risks.</w:t>
      </w:r>
    </w:p>
    <w:p w14:paraId="4A82A392" w14:textId="77777777" w:rsidR="007E4322" w:rsidRDefault="007E4322" w:rsidP="00A179E2"/>
    <w:p w14:paraId="49155822" w14:textId="77777777" w:rsidR="007E4322" w:rsidRDefault="007E4322" w:rsidP="00954233">
      <w:pPr>
        <w:pStyle w:val="heading30"/>
        <w:outlineLvl w:val="3"/>
      </w:pPr>
      <w:r>
        <w:t>Guidance</w:t>
      </w:r>
    </w:p>
    <w:p w14:paraId="42359A49" w14:textId="77777777" w:rsidR="00045354" w:rsidRDefault="00045354" w:rsidP="00BE69DF"/>
    <w:p w14:paraId="556610B3" w14:textId="1EE950A0" w:rsidR="005F4BE5" w:rsidRDefault="00870988" w:rsidP="005F4BE5">
      <w:r>
        <w:t>WICS’s</w:t>
      </w:r>
      <w:r w:rsidR="005F4BE5">
        <w:t xml:space="preserve"> methodology sets out that </w:t>
      </w:r>
      <w:r w:rsidR="005F4BE5" w:rsidRPr="00BE69DF">
        <w:t>Scottish Water should, as far as possible, translate the impact of maintenance activities on asset condition into tangible consequences that customers will understand. This is important for allowing stakeholders to understand the impact of maintenance activities on the asset base.</w:t>
      </w:r>
    </w:p>
    <w:p w14:paraId="6C585937" w14:textId="77777777" w:rsidR="005F4BE5" w:rsidRPr="00BE69DF" w:rsidRDefault="005F4BE5" w:rsidP="005F4BE5"/>
    <w:p w14:paraId="414EB175" w14:textId="48FFE52F" w:rsidR="00BB53BA" w:rsidRDefault="005F4BE5" w:rsidP="00BE69DF">
      <w:r>
        <w:t xml:space="preserve">Scottish Water </w:t>
      </w:r>
      <w:r w:rsidR="00FE23FD">
        <w:t xml:space="preserve">has </w:t>
      </w:r>
      <w:r>
        <w:t xml:space="preserve">proposed to capture this using </w:t>
      </w:r>
      <w:r w:rsidR="00FE23FD">
        <w:t>its</w:t>
      </w:r>
      <w:r w:rsidR="009A3ADA">
        <w:t xml:space="preserve"> Equipment Health Index (EHI)</w:t>
      </w:r>
      <w:r w:rsidR="007A3CE6">
        <w:t xml:space="preserve"> </w:t>
      </w:r>
      <w:r w:rsidR="00FE23FD">
        <w:t xml:space="preserve">measure </w:t>
      </w:r>
      <w:r w:rsidR="007A3CE6">
        <w:t>as defined in the table below.</w:t>
      </w:r>
    </w:p>
    <w:p w14:paraId="765667CA" w14:textId="77777777" w:rsidR="00BB53BA" w:rsidRDefault="00BB53BA" w:rsidP="00BE69DF"/>
    <w:p w14:paraId="4B25466B" w14:textId="51D80C01" w:rsidR="001D4495" w:rsidRDefault="001D4495" w:rsidP="00BE69DF">
      <w:r w:rsidRPr="0089608B">
        <w:t xml:space="preserve">Scottish Water has explained that </w:t>
      </w:r>
      <w:r w:rsidR="00C00EF3">
        <w:t>this measure</w:t>
      </w:r>
      <w:r w:rsidRPr="0089608B">
        <w:t xml:space="preserve"> </w:t>
      </w:r>
      <w:r w:rsidR="009D4755">
        <w:t>is</w:t>
      </w:r>
      <w:r w:rsidRPr="0089608B">
        <w:t xml:space="preserve"> at an early stage of maturity and would require further development during the SRC27 period. As such, we require Scottish Water’s business plan to include an improvement plan to address the data and knowledge gaps in its asset condition reporting and forecasting.</w:t>
      </w:r>
    </w:p>
    <w:p w14:paraId="55697DD5" w14:textId="77777777" w:rsidR="001164BD" w:rsidRDefault="001164BD" w:rsidP="001164BD"/>
    <w:p w14:paraId="215A5B63" w14:textId="089579EE" w:rsidR="007E4322" w:rsidRDefault="001164BD" w:rsidP="00954233">
      <w:r w:rsidRPr="00B74E34">
        <w:t xml:space="preserve">Confidence grades should be </w:t>
      </w:r>
      <w:r>
        <w:t>assigned</w:t>
      </w:r>
      <w:r w:rsidRPr="00B74E34">
        <w:t xml:space="preserve"> in accordance with guidance in </w:t>
      </w:r>
      <w:r>
        <w:t>c</w:t>
      </w:r>
      <w:r>
        <w:rPr>
          <w:rFonts w:cstheme="minorHAnsi"/>
        </w:rPr>
        <w:t xml:space="preserve">hapter </w:t>
      </w:r>
      <w:r w:rsidRPr="007E0840">
        <w:rPr>
          <w:rFonts w:cstheme="minorHAnsi"/>
        </w:rPr>
        <w:t>‘Common Definitions’</w:t>
      </w:r>
      <w:r w:rsidRPr="00B74E34">
        <w:t xml:space="preserve">. </w:t>
      </w:r>
    </w:p>
    <w:p w14:paraId="783EDD4F" w14:textId="77777777" w:rsidR="007E4322" w:rsidRDefault="007E4322" w:rsidP="00954233"/>
    <w:p w14:paraId="55D23496" w14:textId="77777777" w:rsidR="00846058" w:rsidRDefault="00846058">
      <w:pPr>
        <w:spacing w:after="160" w:line="259" w:lineRule="auto"/>
        <w:jc w:val="left"/>
        <w:rPr>
          <w:rFonts w:asciiTheme="majorHAnsi" w:hAnsiTheme="majorHAnsi"/>
          <w:b/>
          <w:bCs/>
          <w:caps/>
          <w:color w:val="064276" w:themeColor="text2"/>
          <w:sz w:val="28"/>
          <w:szCs w:val="24"/>
        </w:rPr>
      </w:pPr>
      <w:r>
        <w:br w:type="page"/>
      </w:r>
    </w:p>
    <w:p w14:paraId="59720647" w14:textId="77777777" w:rsidR="008F7199" w:rsidRDefault="008F7199" w:rsidP="007E4322">
      <w:pPr>
        <w:pStyle w:val="heading30"/>
        <w:outlineLvl w:val="3"/>
        <w:sectPr w:rsidR="008F7199" w:rsidSect="006312CE">
          <w:pgSz w:w="11906" w:h="16838" w:code="9"/>
          <w:pgMar w:top="1134" w:right="1134" w:bottom="1134" w:left="1134" w:header="567" w:footer="567" w:gutter="0"/>
          <w:cols w:space="708"/>
          <w:docGrid w:linePitch="360"/>
        </w:sectPr>
      </w:pPr>
    </w:p>
    <w:p w14:paraId="022604D5" w14:textId="1B8B9B51" w:rsidR="007E4322" w:rsidRDefault="007E4322" w:rsidP="00954233">
      <w:pPr>
        <w:pStyle w:val="heading30"/>
        <w:outlineLvl w:val="3"/>
      </w:pPr>
      <w:r>
        <w:lastRenderedPageBreak/>
        <w:t>Definitions</w:t>
      </w:r>
    </w:p>
    <w:p w14:paraId="1FBB2673" w14:textId="77777777" w:rsidR="00045354" w:rsidRDefault="00045354" w:rsidP="00954233"/>
    <w:p w14:paraId="47B7745E" w14:textId="05476A06" w:rsidR="00FC2921" w:rsidRDefault="00FC2921" w:rsidP="00954233">
      <w:pPr>
        <w:pStyle w:val="SMALLHEADINGALLCAPS"/>
      </w:pPr>
      <w:r>
        <w:t>Equipment Health index band definitions</w:t>
      </w:r>
    </w:p>
    <w:p w14:paraId="63F80E38" w14:textId="77777777" w:rsidR="00FC2921" w:rsidRDefault="00FC2921" w:rsidP="00954233">
      <w:r w:rsidRPr="00EC5567">
        <w:t>Asset lifetime is defined as the amount of time (measured in years) that elapses from installation to the end of the asset’s useful life (the point at which the asset is decommissioned and replaced with an alternative means of providing the service).</w:t>
      </w:r>
    </w:p>
    <w:p w14:paraId="3E465801" w14:textId="77777777" w:rsidR="00FC2921" w:rsidRDefault="00FC2921" w:rsidP="00954233"/>
    <w:tbl>
      <w:tblPr>
        <w:tblStyle w:val="Blueline"/>
        <w:tblW w:w="0" w:type="auto"/>
        <w:tblLook w:val="04A0" w:firstRow="1" w:lastRow="0" w:firstColumn="1" w:lastColumn="0" w:noHBand="0" w:noVBand="1"/>
      </w:tblPr>
      <w:tblGrid>
        <w:gridCol w:w="727"/>
        <w:gridCol w:w="8617"/>
      </w:tblGrid>
      <w:tr w:rsidR="00FC2921" w:rsidRPr="008658F3" w14:paraId="3E4292DC" w14:textId="77777777">
        <w:trPr>
          <w:cnfStyle w:val="100000000000" w:firstRow="1" w:lastRow="0" w:firstColumn="0" w:lastColumn="0" w:oddVBand="0" w:evenVBand="0" w:oddHBand="0" w:evenHBand="0" w:firstRowFirstColumn="0" w:firstRowLastColumn="0" w:lastRowFirstColumn="0" w:lastRowLastColumn="0"/>
          <w:trHeight w:val="285"/>
        </w:trPr>
        <w:tc>
          <w:tcPr>
            <w:tcW w:w="0" w:type="auto"/>
            <w:hideMark/>
          </w:tcPr>
          <w:p w14:paraId="2BAAFA27" w14:textId="77777777" w:rsidR="00FC2921" w:rsidRPr="008658F3" w:rsidRDefault="00FC2921">
            <w:pPr>
              <w:spacing w:line="240" w:lineRule="auto"/>
              <w:jc w:val="left"/>
              <w:rPr>
                <w:rFonts w:asciiTheme="minorHAnsi" w:hAnsiTheme="minorHAnsi" w:cstheme="minorHAnsi"/>
                <w:szCs w:val="24"/>
              </w:rPr>
            </w:pPr>
            <w:r>
              <w:rPr>
                <w:rFonts w:asciiTheme="minorHAnsi" w:hAnsiTheme="minorHAnsi" w:cstheme="minorHAnsi"/>
                <w:szCs w:val="24"/>
              </w:rPr>
              <w:t>Band</w:t>
            </w:r>
          </w:p>
        </w:tc>
        <w:tc>
          <w:tcPr>
            <w:tcW w:w="0" w:type="auto"/>
            <w:hideMark/>
          </w:tcPr>
          <w:p w14:paraId="594B7133" w14:textId="77777777" w:rsidR="00FC2921" w:rsidRPr="008658F3" w:rsidRDefault="00FC2921">
            <w:pPr>
              <w:spacing w:line="240" w:lineRule="auto"/>
              <w:jc w:val="left"/>
              <w:rPr>
                <w:rFonts w:asciiTheme="minorHAnsi" w:hAnsiTheme="minorHAnsi" w:cstheme="minorHAnsi"/>
                <w:szCs w:val="24"/>
              </w:rPr>
            </w:pPr>
            <w:r w:rsidRPr="008658F3">
              <w:rPr>
                <w:rFonts w:asciiTheme="minorHAnsi" w:hAnsiTheme="minorHAnsi" w:cstheme="minorHAnsi"/>
                <w:szCs w:val="24"/>
              </w:rPr>
              <w:t>Description</w:t>
            </w:r>
          </w:p>
        </w:tc>
      </w:tr>
      <w:tr w:rsidR="00FC2921" w:rsidRPr="003028A6" w14:paraId="1AA4B8B7" w14:textId="77777777">
        <w:trPr>
          <w:trHeight w:val="20"/>
        </w:trPr>
        <w:tc>
          <w:tcPr>
            <w:tcW w:w="0" w:type="auto"/>
            <w:hideMark/>
          </w:tcPr>
          <w:p w14:paraId="1B08D9E4" w14:textId="77777777" w:rsidR="00FC2921" w:rsidRPr="00E06E8A" w:rsidRDefault="00FC2921">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hideMark/>
          </w:tcPr>
          <w:p w14:paraId="3D9BBCBF" w14:textId="77777777" w:rsidR="00FC2921" w:rsidRPr="00874485" w:rsidRDefault="00FC2921">
            <w:pPr>
              <w:spacing w:line="240" w:lineRule="auto"/>
              <w:jc w:val="left"/>
              <w:rPr>
                <w:rFonts w:ascii="Calibri" w:eastAsia="Times New Roman" w:hAnsi="Calibri" w:cs="Calibri"/>
                <w:szCs w:val="24"/>
                <w:lang w:eastAsia="en-GB"/>
              </w:rPr>
            </w:pPr>
            <w:r w:rsidRPr="00900DD6">
              <w:t xml:space="preserve">Length of network with </w:t>
            </w:r>
            <w:r>
              <w:t>actual asset age less</w:t>
            </w:r>
            <w:r w:rsidRPr="00900DD6">
              <w:t xml:space="preserve"> than 65% of expected asset life</w:t>
            </w:r>
          </w:p>
        </w:tc>
      </w:tr>
      <w:tr w:rsidR="00FC2921" w:rsidRPr="003028A6" w14:paraId="358013DF" w14:textId="77777777">
        <w:trPr>
          <w:trHeight w:val="20"/>
        </w:trPr>
        <w:tc>
          <w:tcPr>
            <w:tcW w:w="0" w:type="auto"/>
            <w:hideMark/>
          </w:tcPr>
          <w:p w14:paraId="3C4F0957" w14:textId="77777777" w:rsidR="00FC2921" w:rsidRPr="00E06E8A" w:rsidRDefault="00FC2921">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hideMark/>
          </w:tcPr>
          <w:p w14:paraId="3F2625AC" w14:textId="77777777" w:rsidR="00FC2921" w:rsidRPr="00874485" w:rsidRDefault="00FC2921">
            <w:pPr>
              <w:spacing w:line="240" w:lineRule="auto"/>
              <w:jc w:val="left"/>
              <w:rPr>
                <w:rFonts w:ascii="Calibri" w:eastAsia="Times New Roman" w:hAnsi="Calibri" w:cs="Calibri"/>
                <w:szCs w:val="24"/>
                <w:lang w:eastAsia="en-GB"/>
              </w:rPr>
            </w:pPr>
            <w:r w:rsidRPr="00900DD6">
              <w:t xml:space="preserve">Length of network with </w:t>
            </w:r>
            <w:r>
              <w:t xml:space="preserve">actual asset age </w:t>
            </w:r>
            <w:r w:rsidRPr="00900DD6">
              <w:t>between 65% and 85% of expected asset life</w:t>
            </w:r>
          </w:p>
        </w:tc>
      </w:tr>
      <w:tr w:rsidR="00FC2921" w:rsidRPr="003028A6" w14:paraId="0AC2111E" w14:textId="77777777">
        <w:trPr>
          <w:trHeight w:val="20"/>
        </w:trPr>
        <w:tc>
          <w:tcPr>
            <w:tcW w:w="0" w:type="auto"/>
            <w:hideMark/>
          </w:tcPr>
          <w:p w14:paraId="0D872A6E" w14:textId="77777777" w:rsidR="00FC2921" w:rsidRPr="00E06E8A" w:rsidRDefault="00FC2921">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hideMark/>
          </w:tcPr>
          <w:p w14:paraId="15737E54" w14:textId="77777777" w:rsidR="00FC2921" w:rsidRPr="00874485" w:rsidRDefault="00FC2921">
            <w:pPr>
              <w:spacing w:line="240" w:lineRule="auto"/>
              <w:jc w:val="left"/>
              <w:rPr>
                <w:rFonts w:ascii="Calibri" w:eastAsia="Times New Roman" w:hAnsi="Calibri" w:cs="Calibri"/>
                <w:szCs w:val="24"/>
                <w:lang w:eastAsia="en-GB"/>
              </w:rPr>
            </w:pPr>
            <w:r w:rsidRPr="00900DD6">
              <w:t xml:space="preserve">Length of network with </w:t>
            </w:r>
            <w:r>
              <w:t xml:space="preserve">actual asset age </w:t>
            </w:r>
            <w:r w:rsidRPr="00900DD6">
              <w:t>between 85% and 100% of expected asset life</w:t>
            </w:r>
          </w:p>
        </w:tc>
      </w:tr>
      <w:tr w:rsidR="00FC2921" w:rsidRPr="003028A6" w14:paraId="7048AE9A" w14:textId="77777777">
        <w:trPr>
          <w:trHeight w:val="20"/>
        </w:trPr>
        <w:tc>
          <w:tcPr>
            <w:tcW w:w="0" w:type="auto"/>
            <w:hideMark/>
          </w:tcPr>
          <w:p w14:paraId="52177301" w14:textId="77777777" w:rsidR="00FC2921" w:rsidRPr="00E06E8A" w:rsidRDefault="00FC2921">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hideMark/>
          </w:tcPr>
          <w:p w14:paraId="68A3D5A9" w14:textId="77777777" w:rsidR="00FC2921" w:rsidRPr="00874485" w:rsidRDefault="00FC2921">
            <w:pPr>
              <w:spacing w:line="240" w:lineRule="auto"/>
              <w:jc w:val="left"/>
              <w:rPr>
                <w:rFonts w:ascii="Calibri" w:eastAsia="Times New Roman" w:hAnsi="Calibri" w:cs="Calibri"/>
                <w:szCs w:val="24"/>
                <w:lang w:eastAsia="en-GB"/>
              </w:rPr>
            </w:pPr>
            <w:r w:rsidRPr="00900DD6">
              <w:t xml:space="preserve">Length of network with </w:t>
            </w:r>
            <w:r>
              <w:t>actual asset age more</w:t>
            </w:r>
            <w:r w:rsidRPr="00900DD6">
              <w:t xml:space="preserve"> than 100% of expected asset life</w:t>
            </w:r>
          </w:p>
        </w:tc>
      </w:tr>
      <w:tr w:rsidR="00FC2921" w:rsidRPr="003028A6" w14:paraId="52F7FA1C" w14:textId="77777777">
        <w:trPr>
          <w:trHeight w:val="20"/>
        </w:trPr>
        <w:tc>
          <w:tcPr>
            <w:tcW w:w="0" w:type="auto"/>
            <w:hideMark/>
          </w:tcPr>
          <w:p w14:paraId="2F5F2D9A" w14:textId="77777777" w:rsidR="00FC2921" w:rsidRPr="00E06E8A" w:rsidRDefault="00FC2921">
            <w:pPr>
              <w:spacing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X</w:t>
            </w:r>
          </w:p>
        </w:tc>
        <w:tc>
          <w:tcPr>
            <w:tcW w:w="0" w:type="auto"/>
            <w:hideMark/>
          </w:tcPr>
          <w:p w14:paraId="716536E6" w14:textId="77777777" w:rsidR="00FC2921" w:rsidRPr="00874485" w:rsidRDefault="00FC2921">
            <w:pPr>
              <w:spacing w:line="240" w:lineRule="auto"/>
              <w:jc w:val="left"/>
              <w:rPr>
                <w:rFonts w:ascii="Calibri" w:eastAsia="Times New Roman" w:hAnsi="Calibri" w:cs="Calibri"/>
                <w:szCs w:val="24"/>
                <w:lang w:eastAsia="en-GB"/>
              </w:rPr>
            </w:pPr>
            <w:r w:rsidRPr="00900DD6">
              <w:t>Unable to quantify</w:t>
            </w:r>
          </w:p>
        </w:tc>
      </w:tr>
    </w:tbl>
    <w:p w14:paraId="294C74EE" w14:textId="77777777" w:rsidR="00D50C02" w:rsidRDefault="00D50C02" w:rsidP="00954233"/>
    <w:p w14:paraId="6B9E1346" w14:textId="77777777" w:rsidR="007E4322" w:rsidRDefault="007E4322" w:rsidP="00954233"/>
    <w:tbl>
      <w:tblPr>
        <w:tblStyle w:val="Blueline"/>
        <w:tblW w:w="5043" w:type="pct"/>
        <w:tblLook w:val="04A0" w:firstRow="1" w:lastRow="0" w:firstColumn="1" w:lastColumn="0" w:noHBand="0" w:noVBand="1"/>
      </w:tblPr>
      <w:tblGrid>
        <w:gridCol w:w="1226"/>
        <w:gridCol w:w="3027"/>
        <w:gridCol w:w="8505"/>
        <w:gridCol w:w="1937"/>
      </w:tblGrid>
      <w:tr w:rsidR="00F71378" w:rsidRPr="00644B4B" w14:paraId="0D0C6886" w14:textId="77777777" w:rsidTr="00F71378">
        <w:trPr>
          <w:cnfStyle w:val="100000000000" w:firstRow="1" w:lastRow="0" w:firstColumn="0" w:lastColumn="0" w:oddVBand="0" w:evenVBand="0" w:oddHBand="0" w:evenHBand="0" w:firstRowFirstColumn="0" w:firstRowLastColumn="0" w:lastRowFirstColumn="0" w:lastRowLastColumn="0"/>
          <w:tblHeader/>
        </w:trPr>
        <w:tc>
          <w:tcPr>
            <w:tcW w:w="417" w:type="pct"/>
            <w:vAlign w:val="center"/>
          </w:tcPr>
          <w:p w14:paraId="46D07BFF" w14:textId="77777777" w:rsidR="00846058" w:rsidRPr="00E06E8A" w:rsidRDefault="00846058">
            <w:pPr>
              <w:pStyle w:val="BodyText"/>
              <w:spacing w:before="0"/>
              <w:rPr>
                <w:rFonts w:asciiTheme="minorHAnsi" w:hAnsiTheme="minorHAnsi" w:cstheme="minorHAnsi"/>
              </w:rPr>
            </w:pPr>
            <w:r>
              <w:rPr>
                <w:rFonts w:asciiTheme="minorHAnsi" w:hAnsiTheme="minorHAnsi" w:cstheme="minorHAnsi"/>
              </w:rPr>
              <w:t>Column</w:t>
            </w:r>
            <w:r w:rsidRPr="00E06E8A">
              <w:rPr>
                <w:rFonts w:asciiTheme="minorHAnsi" w:hAnsiTheme="minorHAnsi" w:cstheme="minorHAnsi"/>
              </w:rPr>
              <w:t xml:space="preserve"> Reference</w:t>
            </w:r>
          </w:p>
        </w:tc>
        <w:tc>
          <w:tcPr>
            <w:tcW w:w="1030" w:type="pct"/>
            <w:vAlign w:val="center"/>
          </w:tcPr>
          <w:p w14:paraId="4731AD91" w14:textId="77777777" w:rsidR="00846058" w:rsidRPr="00E06E8A" w:rsidRDefault="00846058">
            <w:pPr>
              <w:pStyle w:val="BodyText"/>
              <w:spacing w:before="0"/>
              <w:rPr>
                <w:rFonts w:asciiTheme="minorHAnsi" w:hAnsiTheme="minorHAnsi" w:cstheme="minorHAnsi"/>
              </w:rPr>
            </w:pPr>
            <w:r w:rsidRPr="00E06E8A">
              <w:rPr>
                <w:rFonts w:asciiTheme="minorHAnsi" w:hAnsiTheme="minorHAnsi" w:cstheme="minorHAnsi"/>
              </w:rPr>
              <w:t>Column Title</w:t>
            </w:r>
          </w:p>
        </w:tc>
        <w:tc>
          <w:tcPr>
            <w:tcW w:w="2894" w:type="pct"/>
            <w:vAlign w:val="center"/>
          </w:tcPr>
          <w:p w14:paraId="57DC7BE6" w14:textId="77777777" w:rsidR="00846058" w:rsidRPr="00E06E8A" w:rsidRDefault="00846058">
            <w:pPr>
              <w:pStyle w:val="BodyText"/>
              <w:spacing w:before="0"/>
              <w:rPr>
                <w:rFonts w:asciiTheme="minorHAnsi" w:hAnsiTheme="minorHAnsi" w:cstheme="minorHAnsi"/>
              </w:rPr>
            </w:pPr>
            <w:r w:rsidRPr="00E06E8A">
              <w:rPr>
                <w:rFonts w:asciiTheme="minorHAnsi" w:hAnsiTheme="minorHAnsi" w:cstheme="minorHAnsi"/>
              </w:rPr>
              <w:t>Description</w:t>
            </w:r>
          </w:p>
        </w:tc>
        <w:tc>
          <w:tcPr>
            <w:tcW w:w="659" w:type="pct"/>
            <w:vAlign w:val="center"/>
          </w:tcPr>
          <w:p w14:paraId="408A19CB" w14:textId="77777777" w:rsidR="00846058" w:rsidRPr="00E06E8A" w:rsidRDefault="00846058">
            <w:pPr>
              <w:pStyle w:val="BodyText"/>
              <w:spacing w:before="0"/>
              <w:rPr>
                <w:rFonts w:asciiTheme="minorHAnsi" w:hAnsiTheme="minorHAnsi" w:cstheme="minorHAnsi"/>
              </w:rPr>
            </w:pPr>
            <w:r w:rsidRPr="00E06E8A">
              <w:rPr>
                <w:rFonts w:asciiTheme="minorHAnsi" w:hAnsiTheme="minorHAnsi" w:cstheme="minorHAnsi"/>
              </w:rPr>
              <w:t>Units</w:t>
            </w:r>
          </w:p>
        </w:tc>
      </w:tr>
      <w:tr w:rsidR="005C337B" w:rsidRPr="00644B4B" w14:paraId="5FD53031" w14:textId="77777777" w:rsidTr="00954233">
        <w:tc>
          <w:tcPr>
            <w:tcW w:w="0" w:type="pct"/>
          </w:tcPr>
          <w:p w14:paraId="3012A61C" w14:textId="77777777" w:rsidR="00846058" w:rsidRPr="00E06E8A" w:rsidRDefault="00846058">
            <w:pPr>
              <w:pStyle w:val="BodyText"/>
              <w:rPr>
                <w:rFonts w:asciiTheme="minorHAnsi" w:hAnsiTheme="minorHAnsi" w:cstheme="minorHAnsi"/>
              </w:rPr>
            </w:pPr>
            <w:r>
              <w:rPr>
                <w:rFonts w:asciiTheme="minorHAnsi" w:hAnsiTheme="minorHAnsi" w:cstheme="minorHAnsi"/>
              </w:rPr>
              <w:t>N/A</w:t>
            </w:r>
          </w:p>
        </w:tc>
        <w:tc>
          <w:tcPr>
            <w:tcW w:w="1030" w:type="pct"/>
          </w:tcPr>
          <w:p w14:paraId="567B5A4F" w14:textId="77777777" w:rsidR="00846058" w:rsidRPr="00E06E8A" w:rsidRDefault="00846058">
            <w:pPr>
              <w:pStyle w:val="BodyText"/>
              <w:rPr>
                <w:rFonts w:asciiTheme="minorHAnsi" w:hAnsiTheme="minorHAnsi" w:cstheme="minorHAnsi"/>
              </w:rPr>
            </w:pPr>
            <w:r>
              <w:rPr>
                <w:rFonts w:asciiTheme="minorHAnsi" w:hAnsiTheme="minorHAnsi" w:cstheme="minorHAnsi"/>
              </w:rPr>
              <w:t xml:space="preserve">Block A: </w:t>
            </w:r>
            <w:r w:rsidRPr="00E06E8A">
              <w:rPr>
                <w:rFonts w:asciiTheme="minorHAnsi" w:hAnsiTheme="minorHAnsi" w:cstheme="minorHAnsi"/>
              </w:rPr>
              <w:t>Asset</w:t>
            </w:r>
            <w:r>
              <w:rPr>
                <w:rFonts w:asciiTheme="minorHAnsi" w:hAnsiTheme="minorHAnsi" w:cstheme="minorHAnsi"/>
              </w:rPr>
              <w:t>s</w:t>
            </w:r>
          </w:p>
        </w:tc>
        <w:tc>
          <w:tcPr>
            <w:tcW w:w="2894" w:type="pct"/>
          </w:tcPr>
          <w:p w14:paraId="5544763E" w14:textId="390AF460" w:rsidR="00846058" w:rsidRDefault="00846058">
            <w:pPr>
              <w:pStyle w:val="BodyText"/>
              <w:rPr>
                <w:rFonts w:asciiTheme="minorHAnsi" w:hAnsiTheme="minorHAnsi" w:cstheme="minorHAnsi"/>
              </w:rPr>
            </w:pPr>
            <w:r w:rsidRPr="00E06E8A">
              <w:rPr>
                <w:rFonts w:asciiTheme="minorHAnsi" w:hAnsiTheme="minorHAnsi" w:cstheme="minorHAnsi"/>
              </w:rPr>
              <w:t xml:space="preserve">Assets are </w:t>
            </w:r>
            <w:r w:rsidR="00E568BE">
              <w:rPr>
                <w:rFonts w:asciiTheme="minorHAnsi" w:hAnsiTheme="minorHAnsi" w:cstheme="minorHAnsi"/>
              </w:rPr>
              <w:t>split into three categories: Modelled Assets, Infinite-Life Assets and Unmodelled Assets.</w:t>
            </w:r>
            <w:r w:rsidR="00481619">
              <w:rPr>
                <w:rFonts w:asciiTheme="minorHAnsi" w:hAnsiTheme="minorHAnsi" w:cstheme="minorHAnsi"/>
              </w:rPr>
              <w:t xml:space="preserve"> </w:t>
            </w:r>
          </w:p>
          <w:p w14:paraId="0D087CAC" w14:textId="3FF80693" w:rsidR="00C024AA" w:rsidRDefault="00C024AA">
            <w:pPr>
              <w:pStyle w:val="BodyText"/>
              <w:rPr>
                <w:rFonts w:asciiTheme="minorHAnsi" w:hAnsiTheme="minorHAnsi" w:cstheme="minorHAnsi"/>
              </w:rPr>
            </w:pPr>
            <w:r>
              <w:rPr>
                <w:rFonts w:asciiTheme="minorHAnsi" w:hAnsiTheme="minorHAnsi" w:cstheme="minorHAnsi"/>
              </w:rPr>
              <w:t>The Modelled Assets are classified as per Scottish Water’s Level 1 asset models.</w:t>
            </w:r>
          </w:p>
          <w:p w14:paraId="2B943BD9" w14:textId="714590A3" w:rsidR="00846058" w:rsidRPr="00E06E8A" w:rsidRDefault="00C024AA" w:rsidP="0018041E">
            <w:pPr>
              <w:pStyle w:val="BodyText"/>
              <w:rPr>
                <w:rFonts w:asciiTheme="minorHAnsi" w:hAnsiTheme="minorHAnsi" w:cstheme="minorHAnsi"/>
                <w:u w:val="single"/>
              </w:rPr>
            </w:pPr>
            <w:r>
              <w:rPr>
                <w:rFonts w:asciiTheme="minorHAnsi" w:hAnsiTheme="minorHAnsi" w:cstheme="minorHAnsi"/>
              </w:rPr>
              <w:t>The Infinite-Life Assets and Unmodelled Assets</w:t>
            </w:r>
            <w:r w:rsidR="00D475CD">
              <w:rPr>
                <w:rFonts w:asciiTheme="minorHAnsi" w:hAnsiTheme="minorHAnsi" w:cstheme="minorHAnsi"/>
              </w:rPr>
              <w:t xml:space="preserve"> </w:t>
            </w:r>
            <w:r w:rsidR="00490D98">
              <w:rPr>
                <w:rFonts w:asciiTheme="minorHAnsi" w:hAnsiTheme="minorHAnsi" w:cstheme="minorHAnsi"/>
              </w:rPr>
              <w:t xml:space="preserve">follow the classification in </w:t>
            </w:r>
            <w:r w:rsidR="00C81677">
              <w:rPr>
                <w:rFonts w:asciiTheme="minorHAnsi" w:hAnsiTheme="minorHAnsi" w:cstheme="minorHAnsi"/>
              </w:rPr>
              <w:t>table 3a.</w:t>
            </w:r>
          </w:p>
        </w:tc>
        <w:tc>
          <w:tcPr>
            <w:tcW w:w="659" w:type="pct"/>
          </w:tcPr>
          <w:p w14:paraId="70C8BBB0" w14:textId="77777777" w:rsidR="00846058" w:rsidRPr="00E06E8A" w:rsidRDefault="00846058">
            <w:pPr>
              <w:pStyle w:val="BodyText"/>
              <w:rPr>
                <w:rFonts w:asciiTheme="minorHAnsi" w:hAnsiTheme="minorHAnsi" w:cstheme="minorHAnsi"/>
              </w:rPr>
            </w:pPr>
            <w:r w:rsidRPr="00E06E8A">
              <w:rPr>
                <w:rFonts w:asciiTheme="minorHAnsi" w:hAnsiTheme="minorHAnsi" w:cstheme="minorHAnsi"/>
              </w:rPr>
              <w:t>N/A</w:t>
            </w:r>
          </w:p>
        </w:tc>
      </w:tr>
      <w:tr w:rsidR="005C337B" w:rsidRPr="00644B4B" w14:paraId="6AB467B5" w14:textId="77777777" w:rsidTr="00954233">
        <w:tc>
          <w:tcPr>
            <w:tcW w:w="0" w:type="pct"/>
          </w:tcPr>
          <w:p w14:paraId="10A6BF51" w14:textId="20E2E1B3" w:rsidR="00846058" w:rsidRPr="00E06E8A" w:rsidRDefault="00160EB6">
            <w:pPr>
              <w:pStyle w:val="BodyText"/>
              <w:rPr>
                <w:rFonts w:asciiTheme="minorHAnsi" w:hAnsiTheme="minorHAnsi" w:cstheme="minorHAnsi"/>
              </w:rPr>
            </w:pPr>
            <w:r>
              <w:rPr>
                <w:rFonts w:asciiTheme="minorHAnsi" w:hAnsiTheme="minorHAnsi" w:cstheme="minorHAnsi"/>
              </w:rPr>
              <w:t>1 to 6</w:t>
            </w:r>
          </w:p>
        </w:tc>
        <w:tc>
          <w:tcPr>
            <w:tcW w:w="1030" w:type="pct"/>
          </w:tcPr>
          <w:p w14:paraId="7CF5486B" w14:textId="2963C3FA" w:rsidR="00846058" w:rsidRPr="005D3B52" w:rsidRDefault="00F71378" w:rsidP="00F71378">
            <w:pPr>
              <w:pStyle w:val="BodyText"/>
              <w:rPr>
                <w:rFonts w:asciiTheme="minorHAnsi" w:hAnsiTheme="minorHAnsi" w:cstheme="minorHAnsi"/>
              </w:rPr>
            </w:pPr>
            <w:r w:rsidRPr="005D3B52">
              <w:rPr>
                <w:rFonts w:asciiTheme="minorHAnsi" w:hAnsiTheme="minorHAnsi" w:cstheme="minorHAnsi"/>
              </w:rPr>
              <w:t xml:space="preserve">Asset health </w:t>
            </w:r>
            <w:r w:rsidR="008C00EB" w:rsidRPr="00954233">
              <w:rPr>
                <w:rFonts w:asciiTheme="minorHAnsi" w:hAnsiTheme="minorHAnsi" w:cstheme="minorHAnsi"/>
              </w:rPr>
              <w:t xml:space="preserve">as </w:t>
            </w:r>
            <w:r w:rsidRPr="005D3B52">
              <w:rPr>
                <w:rFonts w:asciiTheme="minorHAnsi" w:hAnsiTheme="minorHAnsi" w:cstheme="minorHAnsi"/>
              </w:rPr>
              <w:t xml:space="preserve">at </w:t>
            </w:r>
            <w:r w:rsidR="008C00EB" w:rsidRPr="00954233">
              <w:rPr>
                <w:rFonts w:asciiTheme="minorHAnsi" w:hAnsiTheme="minorHAnsi" w:cstheme="minorHAnsi"/>
              </w:rPr>
              <w:t>31 March 2025</w:t>
            </w:r>
            <w:r w:rsidRPr="005D3B52">
              <w:rPr>
                <w:rFonts w:asciiTheme="minorHAnsi" w:hAnsiTheme="minorHAnsi" w:cstheme="minorHAnsi"/>
              </w:rPr>
              <w:t xml:space="preserve"> (% total assets)</w:t>
            </w:r>
          </w:p>
          <w:p w14:paraId="68062F09" w14:textId="217F8CC2" w:rsidR="00F71378" w:rsidRPr="005D3B52" w:rsidRDefault="00F71378" w:rsidP="00F71378">
            <w:pPr>
              <w:pStyle w:val="BodyText"/>
              <w:rPr>
                <w:rFonts w:asciiTheme="minorHAnsi" w:hAnsiTheme="minorHAnsi" w:cstheme="minorHAnsi"/>
              </w:rPr>
            </w:pPr>
            <w:r w:rsidRPr="005D3B52">
              <w:rPr>
                <w:rFonts w:asciiTheme="minorHAnsi" w:hAnsiTheme="minorHAnsi" w:cstheme="minorHAnsi"/>
              </w:rPr>
              <w:lastRenderedPageBreak/>
              <w:t xml:space="preserve">Confidence </w:t>
            </w:r>
            <w:r w:rsidR="00053741">
              <w:rPr>
                <w:rFonts w:asciiTheme="minorHAnsi" w:hAnsiTheme="minorHAnsi" w:cstheme="minorHAnsi"/>
              </w:rPr>
              <w:t>g</w:t>
            </w:r>
            <w:r w:rsidRPr="005D3B52">
              <w:rPr>
                <w:rFonts w:asciiTheme="minorHAnsi" w:hAnsiTheme="minorHAnsi" w:cstheme="minorHAnsi"/>
              </w:rPr>
              <w:t>rade</w:t>
            </w:r>
          </w:p>
        </w:tc>
        <w:tc>
          <w:tcPr>
            <w:tcW w:w="2894" w:type="pct"/>
          </w:tcPr>
          <w:p w14:paraId="50475757" w14:textId="4717DC0A" w:rsidR="00846058" w:rsidRPr="00E06E8A" w:rsidRDefault="002D02EA">
            <w:pPr>
              <w:pStyle w:val="BodyText"/>
              <w:rPr>
                <w:rFonts w:asciiTheme="minorHAnsi" w:hAnsiTheme="minorHAnsi" w:cstheme="minorHAnsi"/>
              </w:rPr>
            </w:pPr>
            <w:r>
              <w:rPr>
                <w:rFonts w:asciiTheme="minorHAnsi" w:hAnsiTheme="minorHAnsi" w:cstheme="minorHAnsi"/>
              </w:rPr>
              <w:lastRenderedPageBreak/>
              <w:t xml:space="preserve">The percentage of the total number of assets for each asset line which </w:t>
            </w:r>
            <w:r w:rsidR="009B7E7B">
              <w:rPr>
                <w:rFonts w:asciiTheme="minorHAnsi" w:hAnsiTheme="minorHAnsi" w:cstheme="minorHAnsi"/>
              </w:rPr>
              <w:t>falls under each EHI band</w:t>
            </w:r>
            <w:r w:rsidR="00DE0F8E">
              <w:rPr>
                <w:rFonts w:asciiTheme="minorHAnsi" w:hAnsiTheme="minorHAnsi" w:cstheme="minorHAnsi"/>
              </w:rPr>
              <w:t xml:space="preserve"> as </w:t>
            </w:r>
            <w:r w:rsidR="008C00EB">
              <w:rPr>
                <w:rFonts w:asciiTheme="minorHAnsi" w:hAnsiTheme="minorHAnsi" w:cstheme="minorHAnsi"/>
              </w:rPr>
              <w:t>at</w:t>
            </w:r>
            <w:r w:rsidR="00DE0F8E">
              <w:rPr>
                <w:rFonts w:asciiTheme="minorHAnsi" w:hAnsiTheme="minorHAnsi" w:cstheme="minorHAnsi"/>
              </w:rPr>
              <w:t xml:space="preserve"> </w:t>
            </w:r>
            <w:r w:rsidR="00DA0CA9" w:rsidRPr="00954233">
              <w:rPr>
                <w:rFonts w:asciiTheme="minorHAnsi" w:hAnsiTheme="minorHAnsi" w:cstheme="minorHAnsi"/>
              </w:rPr>
              <w:t>31 March 2025</w:t>
            </w:r>
            <w:r w:rsidR="009B7E7B">
              <w:rPr>
                <w:rFonts w:asciiTheme="minorHAnsi" w:hAnsiTheme="minorHAnsi" w:cstheme="minorHAnsi"/>
              </w:rPr>
              <w:t xml:space="preserve">. The </w:t>
            </w:r>
            <w:r w:rsidR="00504260">
              <w:rPr>
                <w:rFonts w:asciiTheme="minorHAnsi" w:hAnsiTheme="minorHAnsi" w:cstheme="minorHAnsi"/>
              </w:rPr>
              <w:t xml:space="preserve">sum across columns 1 to 5 should total </w:t>
            </w:r>
            <w:r w:rsidR="00504260">
              <w:rPr>
                <w:rFonts w:asciiTheme="minorHAnsi" w:hAnsiTheme="minorHAnsi" w:cstheme="minorHAnsi"/>
              </w:rPr>
              <w:lastRenderedPageBreak/>
              <w:t>100%</w:t>
            </w:r>
            <w:r w:rsidR="00366C2E">
              <w:rPr>
                <w:rFonts w:asciiTheme="minorHAnsi" w:hAnsiTheme="minorHAnsi" w:cstheme="minorHAnsi"/>
              </w:rPr>
              <w:t>.</w:t>
            </w:r>
          </w:p>
        </w:tc>
        <w:tc>
          <w:tcPr>
            <w:tcW w:w="659" w:type="pct"/>
          </w:tcPr>
          <w:p w14:paraId="5BEE9419" w14:textId="1D12EE89" w:rsidR="00846058" w:rsidRPr="00E06E8A" w:rsidRDefault="00366C2E">
            <w:pPr>
              <w:pStyle w:val="BodyText"/>
              <w:rPr>
                <w:rFonts w:asciiTheme="minorHAnsi" w:hAnsiTheme="minorHAnsi" w:cstheme="minorHAnsi"/>
              </w:rPr>
            </w:pPr>
            <w:r>
              <w:rPr>
                <w:rFonts w:asciiTheme="minorHAnsi" w:hAnsiTheme="minorHAnsi" w:cstheme="minorHAnsi"/>
              </w:rPr>
              <w:lastRenderedPageBreak/>
              <w:t>%</w:t>
            </w:r>
          </w:p>
        </w:tc>
      </w:tr>
      <w:tr w:rsidR="005C337B" w:rsidRPr="00644B4B" w14:paraId="6880EE04" w14:textId="77777777" w:rsidTr="00954233">
        <w:tc>
          <w:tcPr>
            <w:tcW w:w="0" w:type="pct"/>
          </w:tcPr>
          <w:p w14:paraId="25FB88C9" w14:textId="504540ED" w:rsidR="00846058" w:rsidRPr="00E06E8A" w:rsidRDefault="00F71378">
            <w:pPr>
              <w:pStyle w:val="BodyText"/>
              <w:rPr>
                <w:rFonts w:asciiTheme="minorHAnsi" w:hAnsiTheme="minorHAnsi" w:cstheme="minorHAnsi"/>
              </w:rPr>
            </w:pPr>
            <w:r>
              <w:rPr>
                <w:rFonts w:asciiTheme="minorHAnsi" w:hAnsiTheme="minorHAnsi" w:cstheme="minorHAnsi"/>
              </w:rPr>
              <w:t>7 and 8</w:t>
            </w:r>
          </w:p>
        </w:tc>
        <w:tc>
          <w:tcPr>
            <w:tcW w:w="1030" w:type="pct"/>
          </w:tcPr>
          <w:p w14:paraId="3DBB4E6D" w14:textId="09BE548E" w:rsidR="00846058" w:rsidRPr="005D3B52" w:rsidRDefault="00807C63">
            <w:pPr>
              <w:pStyle w:val="BodyText"/>
              <w:rPr>
                <w:rFonts w:asciiTheme="minorHAnsi" w:hAnsiTheme="minorHAnsi" w:cstheme="minorHAnsi"/>
              </w:rPr>
            </w:pPr>
            <w:r w:rsidRPr="005D3B52">
              <w:rPr>
                <w:rFonts w:asciiTheme="minorHAnsi" w:hAnsiTheme="minorHAnsi" w:cstheme="minorHAnsi"/>
              </w:rPr>
              <w:t>Total SRC27 maintenance expenditure (£m) (2024-25 price base)</w:t>
            </w:r>
          </w:p>
        </w:tc>
        <w:tc>
          <w:tcPr>
            <w:tcW w:w="2894" w:type="pct"/>
          </w:tcPr>
          <w:p w14:paraId="55BC8968" w14:textId="6ECFD9BD" w:rsidR="00846058" w:rsidRPr="00CD2C81" w:rsidRDefault="003A318B">
            <w:pPr>
              <w:pStyle w:val="BodyText"/>
              <w:rPr>
                <w:rFonts w:asciiTheme="minorHAnsi" w:hAnsiTheme="minorHAnsi" w:cstheme="minorHAnsi"/>
              </w:rPr>
            </w:pPr>
            <w:r>
              <w:rPr>
                <w:rFonts w:asciiTheme="minorHAnsi" w:hAnsiTheme="minorHAnsi" w:cstheme="minorHAnsi"/>
              </w:rPr>
              <w:t xml:space="preserve">These columns are calculated fields which bring forward the </w:t>
            </w:r>
            <w:r w:rsidR="00492E1C">
              <w:rPr>
                <w:rFonts w:asciiTheme="minorHAnsi" w:hAnsiTheme="minorHAnsi" w:cstheme="minorHAnsi"/>
              </w:rPr>
              <w:t>expenditure from table 3a.</w:t>
            </w:r>
          </w:p>
        </w:tc>
        <w:tc>
          <w:tcPr>
            <w:tcW w:w="659" w:type="pct"/>
          </w:tcPr>
          <w:p w14:paraId="3CF04481" w14:textId="17D16917" w:rsidR="00846058" w:rsidRPr="00E06E8A" w:rsidRDefault="00492E1C">
            <w:pPr>
              <w:pStyle w:val="BodyText"/>
              <w:rPr>
                <w:rFonts w:asciiTheme="minorHAnsi" w:hAnsiTheme="minorHAnsi" w:cstheme="minorHAnsi"/>
              </w:rPr>
            </w:pPr>
            <w:r w:rsidRPr="00E06E8A">
              <w:rPr>
                <w:rFonts w:asciiTheme="minorHAnsi" w:hAnsiTheme="minorHAnsi" w:cstheme="minorHAnsi"/>
              </w:rPr>
              <w:t>£m in 2024-25 price base</w:t>
            </w:r>
          </w:p>
        </w:tc>
      </w:tr>
      <w:tr w:rsidR="005C337B" w:rsidRPr="00644B4B" w14:paraId="695CC325" w14:textId="77777777" w:rsidTr="00954233">
        <w:tc>
          <w:tcPr>
            <w:tcW w:w="0" w:type="pct"/>
          </w:tcPr>
          <w:p w14:paraId="3537F189" w14:textId="140EEDD8" w:rsidR="00846058" w:rsidRPr="00E06E8A" w:rsidRDefault="00486D59">
            <w:pPr>
              <w:pStyle w:val="BodyText"/>
              <w:rPr>
                <w:rFonts w:asciiTheme="minorHAnsi" w:hAnsiTheme="minorHAnsi" w:cstheme="minorHAnsi"/>
              </w:rPr>
            </w:pPr>
            <w:r>
              <w:rPr>
                <w:rFonts w:asciiTheme="minorHAnsi" w:hAnsiTheme="minorHAnsi" w:cstheme="minorHAnsi"/>
              </w:rPr>
              <w:t>9 to 14</w:t>
            </w:r>
          </w:p>
        </w:tc>
        <w:tc>
          <w:tcPr>
            <w:tcW w:w="1030" w:type="pct"/>
          </w:tcPr>
          <w:p w14:paraId="48AB02B2" w14:textId="79DA6296" w:rsidR="00846058" w:rsidRPr="005D3B52" w:rsidRDefault="00B40951" w:rsidP="00B40951">
            <w:pPr>
              <w:pStyle w:val="BodyText"/>
              <w:rPr>
                <w:rFonts w:asciiTheme="minorHAnsi" w:hAnsiTheme="minorHAnsi" w:cstheme="minorHAnsi"/>
              </w:rPr>
            </w:pPr>
            <w:r w:rsidRPr="005D3B52">
              <w:rPr>
                <w:rFonts w:asciiTheme="minorHAnsi" w:hAnsiTheme="minorHAnsi" w:cstheme="minorHAnsi"/>
              </w:rPr>
              <w:t xml:space="preserve">Asset health </w:t>
            </w:r>
            <w:r w:rsidR="00E83A92" w:rsidRPr="005D3B52">
              <w:rPr>
                <w:rFonts w:asciiTheme="minorHAnsi" w:hAnsiTheme="minorHAnsi" w:cstheme="minorHAnsi"/>
              </w:rPr>
              <w:t xml:space="preserve">as </w:t>
            </w:r>
            <w:r w:rsidRPr="005D3B52">
              <w:rPr>
                <w:rFonts w:asciiTheme="minorHAnsi" w:hAnsiTheme="minorHAnsi" w:cstheme="minorHAnsi"/>
              </w:rPr>
              <w:t xml:space="preserve">at </w:t>
            </w:r>
            <w:r w:rsidR="00E83A92" w:rsidRPr="005D3B52">
              <w:rPr>
                <w:rFonts w:asciiTheme="minorHAnsi" w:hAnsiTheme="minorHAnsi" w:cstheme="minorHAnsi"/>
              </w:rPr>
              <w:t>31 March 2033</w:t>
            </w:r>
            <w:r w:rsidRPr="005D3B52">
              <w:rPr>
                <w:rFonts w:asciiTheme="minorHAnsi" w:hAnsiTheme="minorHAnsi" w:cstheme="minorHAnsi"/>
              </w:rPr>
              <w:t xml:space="preserve"> (% total assets)</w:t>
            </w:r>
          </w:p>
          <w:p w14:paraId="4E2D97BC" w14:textId="75A5F09C" w:rsidR="00B40951" w:rsidRPr="005D3B52" w:rsidRDefault="00B40951" w:rsidP="00B40951">
            <w:pPr>
              <w:pStyle w:val="BodyText"/>
              <w:rPr>
                <w:rFonts w:asciiTheme="minorHAnsi" w:hAnsiTheme="minorHAnsi" w:cstheme="minorHAnsi"/>
              </w:rPr>
            </w:pPr>
            <w:r w:rsidRPr="005D3B52">
              <w:rPr>
                <w:rFonts w:asciiTheme="minorHAnsi" w:hAnsiTheme="minorHAnsi" w:cstheme="minorHAnsi"/>
              </w:rPr>
              <w:t>Confidence grade</w:t>
            </w:r>
          </w:p>
        </w:tc>
        <w:tc>
          <w:tcPr>
            <w:tcW w:w="2894" w:type="pct"/>
          </w:tcPr>
          <w:p w14:paraId="4622D85F" w14:textId="4782B465" w:rsidR="00846058" w:rsidRPr="00CD2C81" w:rsidRDefault="00B40951">
            <w:pPr>
              <w:pStyle w:val="BodyText"/>
              <w:rPr>
                <w:rFonts w:asciiTheme="minorHAnsi" w:hAnsiTheme="minorHAnsi" w:cstheme="minorHAnsi"/>
              </w:rPr>
            </w:pPr>
            <w:r>
              <w:rPr>
                <w:rFonts w:asciiTheme="minorHAnsi" w:hAnsiTheme="minorHAnsi" w:cstheme="minorHAnsi"/>
              </w:rPr>
              <w:t xml:space="preserve">The forecast percentage of the total number of assets for each asset line which falls under each EHI band as </w:t>
            </w:r>
            <w:r w:rsidR="00A21AD7">
              <w:rPr>
                <w:rFonts w:asciiTheme="minorHAnsi" w:hAnsiTheme="minorHAnsi" w:cstheme="minorHAnsi"/>
              </w:rPr>
              <w:t>at</w:t>
            </w:r>
            <w:r>
              <w:rPr>
                <w:rFonts w:asciiTheme="minorHAnsi" w:hAnsiTheme="minorHAnsi" w:cstheme="minorHAnsi"/>
              </w:rPr>
              <w:t xml:space="preserve"> </w:t>
            </w:r>
            <w:r w:rsidRPr="00954233">
              <w:rPr>
                <w:rFonts w:asciiTheme="minorHAnsi" w:hAnsiTheme="minorHAnsi" w:cstheme="minorHAnsi"/>
              </w:rPr>
              <w:t>31 March 20</w:t>
            </w:r>
            <w:r w:rsidR="00375099" w:rsidRPr="00954233">
              <w:rPr>
                <w:rFonts w:asciiTheme="minorHAnsi" w:hAnsiTheme="minorHAnsi" w:cstheme="minorHAnsi"/>
              </w:rPr>
              <w:t>33</w:t>
            </w:r>
            <w:r>
              <w:rPr>
                <w:rFonts w:asciiTheme="minorHAnsi" w:hAnsiTheme="minorHAnsi" w:cstheme="minorHAnsi"/>
              </w:rPr>
              <w:t xml:space="preserve">. The sum across columns </w:t>
            </w:r>
            <w:r w:rsidR="00375099">
              <w:rPr>
                <w:rFonts w:asciiTheme="minorHAnsi" w:hAnsiTheme="minorHAnsi" w:cstheme="minorHAnsi"/>
              </w:rPr>
              <w:t>9</w:t>
            </w:r>
            <w:r>
              <w:rPr>
                <w:rFonts w:asciiTheme="minorHAnsi" w:hAnsiTheme="minorHAnsi" w:cstheme="minorHAnsi"/>
              </w:rPr>
              <w:t xml:space="preserve"> to </w:t>
            </w:r>
            <w:r w:rsidR="00375099">
              <w:rPr>
                <w:rFonts w:asciiTheme="minorHAnsi" w:hAnsiTheme="minorHAnsi" w:cstheme="minorHAnsi"/>
              </w:rPr>
              <w:t>13</w:t>
            </w:r>
            <w:r>
              <w:rPr>
                <w:rFonts w:asciiTheme="minorHAnsi" w:hAnsiTheme="minorHAnsi" w:cstheme="minorHAnsi"/>
              </w:rPr>
              <w:t xml:space="preserve"> should total 100%.</w:t>
            </w:r>
          </w:p>
        </w:tc>
        <w:tc>
          <w:tcPr>
            <w:tcW w:w="659" w:type="pct"/>
          </w:tcPr>
          <w:p w14:paraId="41D37C85" w14:textId="24F45197" w:rsidR="00846058" w:rsidRPr="00E06E8A" w:rsidRDefault="00375099">
            <w:pPr>
              <w:pStyle w:val="BodyText"/>
              <w:rPr>
                <w:rFonts w:asciiTheme="minorHAnsi" w:hAnsiTheme="minorHAnsi" w:cstheme="minorHAnsi"/>
              </w:rPr>
            </w:pPr>
            <w:r>
              <w:rPr>
                <w:rFonts w:asciiTheme="minorHAnsi" w:hAnsiTheme="minorHAnsi" w:cstheme="minorHAnsi"/>
              </w:rPr>
              <w:t>%</w:t>
            </w:r>
          </w:p>
        </w:tc>
      </w:tr>
      <w:tr w:rsidR="005C337B" w:rsidRPr="00644B4B" w14:paraId="3C9C6A46" w14:textId="77777777" w:rsidTr="00954233">
        <w:tc>
          <w:tcPr>
            <w:tcW w:w="0" w:type="pct"/>
          </w:tcPr>
          <w:p w14:paraId="26B75190" w14:textId="119118F1" w:rsidR="00846058" w:rsidRPr="00E06E8A" w:rsidRDefault="00375099">
            <w:pPr>
              <w:pStyle w:val="BodyText"/>
              <w:rPr>
                <w:rFonts w:asciiTheme="minorHAnsi" w:hAnsiTheme="minorHAnsi" w:cstheme="minorHAnsi"/>
              </w:rPr>
            </w:pPr>
            <w:r>
              <w:rPr>
                <w:rFonts w:asciiTheme="minorHAnsi" w:hAnsiTheme="minorHAnsi" w:cstheme="minorHAnsi"/>
              </w:rPr>
              <w:t>15 to 17</w:t>
            </w:r>
          </w:p>
        </w:tc>
        <w:tc>
          <w:tcPr>
            <w:tcW w:w="1030" w:type="pct"/>
          </w:tcPr>
          <w:p w14:paraId="61C0C319" w14:textId="5E230A4A" w:rsidR="00846058" w:rsidRPr="005D3B52" w:rsidRDefault="009F641E">
            <w:pPr>
              <w:pStyle w:val="BodyText"/>
              <w:rPr>
                <w:rFonts w:asciiTheme="minorHAnsi" w:hAnsiTheme="minorHAnsi" w:cstheme="minorHAnsi"/>
              </w:rPr>
            </w:pPr>
            <w:r w:rsidRPr="005D3B52">
              <w:rPr>
                <w:rFonts w:asciiTheme="minorHAnsi" w:hAnsiTheme="minorHAnsi" w:cstheme="minorHAnsi"/>
              </w:rPr>
              <w:t>Long-term planned maintenance expenditure (£m) (2024-25 price base)</w:t>
            </w:r>
          </w:p>
        </w:tc>
        <w:tc>
          <w:tcPr>
            <w:tcW w:w="2894" w:type="pct"/>
          </w:tcPr>
          <w:p w14:paraId="3B09825B" w14:textId="5A3A2355" w:rsidR="00846058" w:rsidRPr="00CD2C81" w:rsidRDefault="00F07709">
            <w:pPr>
              <w:pStyle w:val="BodyText"/>
              <w:rPr>
                <w:rFonts w:asciiTheme="minorHAnsi" w:hAnsiTheme="minorHAnsi" w:cstheme="minorHAnsi"/>
              </w:rPr>
            </w:pPr>
            <w:r>
              <w:rPr>
                <w:rFonts w:asciiTheme="minorHAnsi" w:hAnsiTheme="minorHAnsi" w:cstheme="minorHAnsi"/>
              </w:rPr>
              <w:t>The long-term planned maintenance expenditure as per Scottish Water’s Long-Term Investment Strategy for each of the subsequent regulatory period: SRC</w:t>
            </w:r>
            <w:r w:rsidR="001C3A85">
              <w:rPr>
                <w:rFonts w:asciiTheme="minorHAnsi" w:hAnsiTheme="minorHAnsi" w:cstheme="minorHAnsi"/>
              </w:rPr>
              <w:t xml:space="preserve"> 2033</w:t>
            </w:r>
            <w:r w:rsidR="00A208D3">
              <w:rPr>
                <w:rFonts w:asciiTheme="minorHAnsi" w:hAnsiTheme="minorHAnsi" w:cstheme="minorHAnsi"/>
              </w:rPr>
              <w:t>-</w:t>
            </w:r>
            <w:r w:rsidR="001C3A85">
              <w:rPr>
                <w:rFonts w:asciiTheme="minorHAnsi" w:hAnsiTheme="minorHAnsi" w:cstheme="minorHAnsi"/>
              </w:rPr>
              <w:t>39, SRC 20</w:t>
            </w:r>
            <w:r w:rsidR="00681A94">
              <w:rPr>
                <w:rFonts w:asciiTheme="minorHAnsi" w:hAnsiTheme="minorHAnsi" w:cstheme="minorHAnsi"/>
              </w:rPr>
              <w:t>39-45 and SRC 2045-</w:t>
            </w:r>
            <w:r w:rsidR="00A208D3">
              <w:rPr>
                <w:rFonts w:asciiTheme="minorHAnsi" w:hAnsiTheme="minorHAnsi" w:cstheme="minorHAnsi"/>
              </w:rPr>
              <w:t>51</w:t>
            </w:r>
            <w:r w:rsidR="000D4C3B">
              <w:rPr>
                <w:rFonts w:asciiTheme="minorHAnsi" w:hAnsiTheme="minorHAnsi" w:cstheme="minorHAnsi"/>
              </w:rPr>
              <w:t>.</w:t>
            </w:r>
          </w:p>
        </w:tc>
        <w:tc>
          <w:tcPr>
            <w:tcW w:w="659" w:type="pct"/>
          </w:tcPr>
          <w:p w14:paraId="76DAA297" w14:textId="1972414A" w:rsidR="00846058" w:rsidRPr="00E06E8A" w:rsidRDefault="009F641E">
            <w:pPr>
              <w:pStyle w:val="BodyText"/>
              <w:rPr>
                <w:rFonts w:asciiTheme="minorHAnsi" w:hAnsiTheme="minorHAnsi" w:cstheme="minorHAnsi"/>
              </w:rPr>
            </w:pPr>
            <w:r w:rsidRPr="00E06E8A">
              <w:rPr>
                <w:rFonts w:asciiTheme="minorHAnsi" w:hAnsiTheme="minorHAnsi" w:cstheme="minorHAnsi"/>
              </w:rPr>
              <w:t>£m in 2024-25 price base</w:t>
            </w:r>
          </w:p>
        </w:tc>
      </w:tr>
      <w:tr w:rsidR="00944221" w:rsidRPr="00644B4B" w14:paraId="589D5804" w14:textId="77777777" w:rsidTr="00954233">
        <w:tc>
          <w:tcPr>
            <w:tcW w:w="0" w:type="pct"/>
          </w:tcPr>
          <w:p w14:paraId="11227704" w14:textId="6E319F45" w:rsidR="00944221" w:rsidRPr="00E06E8A" w:rsidRDefault="00944221" w:rsidP="00944221">
            <w:pPr>
              <w:pStyle w:val="BodyText"/>
              <w:rPr>
                <w:rFonts w:asciiTheme="minorHAnsi" w:hAnsiTheme="minorHAnsi" w:cstheme="minorHAnsi"/>
              </w:rPr>
            </w:pPr>
            <w:r>
              <w:rPr>
                <w:rFonts w:asciiTheme="minorHAnsi" w:hAnsiTheme="minorHAnsi" w:cstheme="minorHAnsi"/>
              </w:rPr>
              <w:t>18 to 23</w:t>
            </w:r>
          </w:p>
        </w:tc>
        <w:tc>
          <w:tcPr>
            <w:tcW w:w="1030" w:type="pct"/>
          </w:tcPr>
          <w:p w14:paraId="653178F3" w14:textId="0C3F02E1" w:rsidR="00944221" w:rsidRPr="005D3B52" w:rsidRDefault="00944221" w:rsidP="00944221">
            <w:pPr>
              <w:pStyle w:val="BodyText"/>
              <w:rPr>
                <w:rFonts w:asciiTheme="minorHAnsi" w:hAnsiTheme="minorHAnsi" w:cstheme="minorHAnsi"/>
              </w:rPr>
            </w:pPr>
            <w:r w:rsidRPr="005D3B52">
              <w:rPr>
                <w:rFonts w:asciiTheme="minorHAnsi" w:hAnsiTheme="minorHAnsi" w:cstheme="minorHAnsi"/>
              </w:rPr>
              <w:t xml:space="preserve">Asset health </w:t>
            </w:r>
            <w:r w:rsidR="00A21AD7" w:rsidRPr="00954233">
              <w:rPr>
                <w:rFonts w:asciiTheme="minorHAnsi" w:hAnsiTheme="minorHAnsi" w:cstheme="minorHAnsi"/>
              </w:rPr>
              <w:t xml:space="preserve">as </w:t>
            </w:r>
            <w:r w:rsidR="00A21AD7" w:rsidRPr="00AF05C2">
              <w:rPr>
                <w:rFonts w:asciiTheme="minorHAnsi" w:hAnsiTheme="minorHAnsi" w:cstheme="minorHAnsi"/>
              </w:rPr>
              <w:t xml:space="preserve">at </w:t>
            </w:r>
            <w:r w:rsidR="00A21AD7" w:rsidRPr="00954233">
              <w:rPr>
                <w:rFonts w:asciiTheme="minorHAnsi" w:hAnsiTheme="minorHAnsi" w:cstheme="minorHAnsi"/>
              </w:rPr>
              <w:t>31 March 2051</w:t>
            </w:r>
            <w:r w:rsidRPr="005D3B52">
              <w:rPr>
                <w:rFonts w:asciiTheme="minorHAnsi" w:hAnsiTheme="minorHAnsi" w:cstheme="minorHAnsi"/>
              </w:rPr>
              <w:t xml:space="preserve"> (% total assets)</w:t>
            </w:r>
          </w:p>
          <w:p w14:paraId="1987AC7F" w14:textId="35F9FD03" w:rsidR="00944221" w:rsidRPr="005D3B52" w:rsidRDefault="00944221" w:rsidP="00944221">
            <w:pPr>
              <w:pStyle w:val="BodyText"/>
              <w:rPr>
                <w:rFonts w:asciiTheme="minorHAnsi" w:hAnsiTheme="minorHAnsi" w:cstheme="minorHAnsi"/>
              </w:rPr>
            </w:pPr>
            <w:r w:rsidRPr="005D3B52">
              <w:rPr>
                <w:rFonts w:asciiTheme="minorHAnsi" w:hAnsiTheme="minorHAnsi" w:cstheme="minorHAnsi"/>
              </w:rPr>
              <w:t>Confidence grade</w:t>
            </w:r>
          </w:p>
        </w:tc>
        <w:tc>
          <w:tcPr>
            <w:tcW w:w="2894" w:type="pct"/>
          </w:tcPr>
          <w:p w14:paraId="04F13239" w14:textId="4B6BA22D" w:rsidR="00944221" w:rsidRPr="00CD2C81" w:rsidRDefault="00944221" w:rsidP="00944221">
            <w:pPr>
              <w:pStyle w:val="BodyText"/>
              <w:keepLines/>
              <w:rPr>
                <w:rFonts w:asciiTheme="minorHAnsi" w:hAnsiTheme="minorHAnsi" w:cstheme="minorHAnsi"/>
              </w:rPr>
            </w:pPr>
            <w:r>
              <w:rPr>
                <w:rFonts w:asciiTheme="minorHAnsi" w:hAnsiTheme="minorHAnsi" w:cstheme="minorHAnsi"/>
              </w:rPr>
              <w:t xml:space="preserve">The forecast percentage of the total number of assets for each asset line which falls under each EHI band as </w:t>
            </w:r>
            <w:r w:rsidR="00A21AD7">
              <w:rPr>
                <w:rFonts w:asciiTheme="minorHAnsi" w:hAnsiTheme="minorHAnsi" w:cstheme="minorHAnsi"/>
              </w:rPr>
              <w:t>at</w:t>
            </w:r>
            <w:r>
              <w:rPr>
                <w:rFonts w:asciiTheme="minorHAnsi" w:hAnsiTheme="minorHAnsi" w:cstheme="minorHAnsi"/>
              </w:rPr>
              <w:t xml:space="preserve"> </w:t>
            </w:r>
            <w:r w:rsidRPr="00022A4C">
              <w:rPr>
                <w:rFonts w:asciiTheme="minorHAnsi" w:hAnsiTheme="minorHAnsi" w:cstheme="minorHAnsi"/>
              </w:rPr>
              <w:t>31 March 20</w:t>
            </w:r>
            <w:r w:rsidR="0056692A">
              <w:rPr>
                <w:rFonts w:asciiTheme="minorHAnsi" w:hAnsiTheme="minorHAnsi" w:cstheme="minorHAnsi"/>
              </w:rPr>
              <w:t>51</w:t>
            </w:r>
            <w:r>
              <w:rPr>
                <w:rFonts w:asciiTheme="minorHAnsi" w:hAnsiTheme="minorHAnsi" w:cstheme="minorHAnsi"/>
              </w:rPr>
              <w:t xml:space="preserve">. The sum across columns </w:t>
            </w:r>
            <w:r w:rsidR="00CC6A7D">
              <w:rPr>
                <w:rFonts w:asciiTheme="minorHAnsi" w:hAnsiTheme="minorHAnsi" w:cstheme="minorHAnsi"/>
              </w:rPr>
              <w:t>18</w:t>
            </w:r>
            <w:r>
              <w:rPr>
                <w:rFonts w:asciiTheme="minorHAnsi" w:hAnsiTheme="minorHAnsi" w:cstheme="minorHAnsi"/>
              </w:rPr>
              <w:t xml:space="preserve"> to </w:t>
            </w:r>
            <w:r w:rsidR="00CC6A7D">
              <w:rPr>
                <w:rFonts w:asciiTheme="minorHAnsi" w:hAnsiTheme="minorHAnsi" w:cstheme="minorHAnsi"/>
              </w:rPr>
              <w:t>22</w:t>
            </w:r>
            <w:r>
              <w:rPr>
                <w:rFonts w:asciiTheme="minorHAnsi" w:hAnsiTheme="minorHAnsi" w:cstheme="minorHAnsi"/>
              </w:rPr>
              <w:t xml:space="preserve"> should total 100%.</w:t>
            </w:r>
          </w:p>
        </w:tc>
        <w:tc>
          <w:tcPr>
            <w:tcW w:w="659" w:type="pct"/>
          </w:tcPr>
          <w:p w14:paraId="34205D05" w14:textId="19A61C6F" w:rsidR="00944221" w:rsidRPr="00E06E8A" w:rsidRDefault="00944221" w:rsidP="00944221">
            <w:pPr>
              <w:pStyle w:val="BodyText"/>
              <w:rPr>
                <w:rFonts w:asciiTheme="minorHAnsi" w:hAnsiTheme="minorHAnsi" w:cstheme="minorHAnsi"/>
              </w:rPr>
            </w:pPr>
            <w:r>
              <w:rPr>
                <w:rFonts w:asciiTheme="minorHAnsi" w:hAnsiTheme="minorHAnsi" w:cstheme="minorHAnsi"/>
              </w:rPr>
              <w:t>%</w:t>
            </w:r>
          </w:p>
        </w:tc>
      </w:tr>
      <w:tr w:rsidR="00DE3BD3" w:rsidRPr="00644B4B" w14:paraId="3F799BEF" w14:textId="77777777" w:rsidTr="00954233">
        <w:trPr>
          <w:trHeight w:val="1019"/>
        </w:trPr>
        <w:tc>
          <w:tcPr>
            <w:tcW w:w="0" w:type="pct"/>
          </w:tcPr>
          <w:p w14:paraId="5A73531F" w14:textId="6B099DE2" w:rsidR="00DE3BD3" w:rsidDel="00D01F0A" w:rsidRDefault="00DE3BD3" w:rsidP="00DE3BD3">
            <w:pPr>
              <w:pStyle w:val="BodyText"/>
              <w:rPr>
                <w:rFonts w:asciiTheme="minorHAnsi" w:hAnsiTheme="minorHAnsi" w:cstheme="minorHAnsi"/>
              </w:rPr>
            </w:pPr>
            <w:r>
              <w:rPr>
                <w:rFonts w:asciiTheme="minorHAnsi" w:hAnsiTheme="minorHAnsi" w:cstheme="minorHAnsi"/>
              </w:rPr>
              <w:t>24 to 35</w:t>
            </w:r>
          </w:p>
        </w:tc>
        <w:tc>
          <w:tcPr>
            <w:tcW w:w="1030" w:type="pct"/>
          </w:tcPr>
          <w:p w14:paraId="0B306A27" w14:textId="77777777" w:rsidR="00DE3BD3" w:rsidRDefault="00DE3BD3" w:rsidP="00DE3BD3">
            <w:pPr>
              <w:pStyle w:val="BodyText"/>
              <w:rPr>
                <w:rFonts w:asciiTheme="minorHAnsi" w:hAnsiTheme="minorHAnsi" w:cstheme="minorHAnsi"/>
              </w:rPr>
            </w:pPr>
            <w:r w:rsidRPr="005D3B52">
              <w:rPr>
                <w:rFonts w:asciiTheme="minorHAnsi" w:hAnsiTheme="minorHAnsi" w:cstheme="minorHAnsi"/>
              </w:rPr>
              <w:t>Block C: Asset Health Under Alternative Scenarios</w:t>
            </w:r>
          </w:p>
          <w:p w14:paraId="1548A6C7" w14:textId="69B3631B" w:rsidR="00FC5F58" w:rsidRPr="005D3B52" w:rsidRDefault="00FC5F58" w:rsidP="00DE3BD3">
            <w:pPr>
              <w:pStyle w:val="BodyText"/>
              <w:rPr>
                <w:rFonts w:asciiTheme="minorHAnsi" w:hAnsiTheme="minorHAnsi" w:cstheme="minorHAnsi"/>
              </w:rPr>
            </w:pPr>
            <w:r>
              <w:rPr>
                <w:rFonts w:asciiTheme="minorHAnsi" w:hAnsiTheme="minorHAnsi" w:cstheme="minorHAnsi"/>
              </w:rPr>
              <w:t xml:space="preserve">Confidence </w:t>
            </w:r>
            <w:r w:rsidR="00053741">
              <w:rPr>
                <w:rFonts w:asciiTheme="minorHAnsi" w:hAnsiTheme="minorHAnsi" w:cstheme="minorHAnsi"/>
              </w:rPr>
              <w:t>grade</w:t>
            </w:r>
          </w:p>
        </w:tc>
        <w:tc>
          <w:tcPr>
            <w:tcW w:w="2894" w:type="pct"/>
          </w:tcPr>
          <w:p w14:paraId="1F32E3F5" w14:textId="40C27788" w:rsidR="00DE3BD3" w:rsidRPr="00E06E8A" w:rsidRDefault="00DE3BD3" w:rsidP="00DE3BD3">
            <w:pPr>
              <w:pStyle w:val="BodyText"/>
              <w:rPr>
                <w:rFonts w:asciiTheme="minorHAnsi" w:hAnsiTheme="minorHAnsi" w:cstheme="minorHAnsi"/>
              </w:rPr>
            </w:pPr>
            <w:r>
              <w:rPr>
                <w:rFonts w:asciiTheme="minorHAnsi" w:hAnsiTheme="minorHAnsi" w:cstheme="minorHAnsi"/>
              </w:rPr>
              <w:t xml:space="preserve">The </w:t>
            </w:r>
            <w:r w:rsidR="008D047B">
              <w:rPr>
                <w:rFonts w:asciiTheme="minorHAnsi" w:hAnsiTheme="minorHAnsi" w:cstheme="minorHAnsi"/>
              </w:rPr>
              <w:t xml:space="preserve">Scenario B and Scenario C </w:t>
            </w:r>
            <w:r>
              <w:rPr>
                <w:rFonts w:asciiTheme="minorHAnsi" w:hAnsiTheme="minorHAnsi" w:cstheme="minorHAnsi"/>
              </w:rPr>
              <w:t xml:space="preserve">forecast percentage of the total number of assets for each asset line which falls under each EHI band as </w:t>
            </w:r>
            <w:r w:rsidR="001E3FE7">
              <w:rPr>
                <w:rFonts w:asciiTheme="minorHAnsi" w:hAnsiTheme="minorHAnsi" w:cstheme="minorHAnsi"/>
              </w:rPr>
              <w:t>at</w:t>
            </w:r>
            <w:r>
              <w:rPr>
                <w:rFonts w:asciiTheme="minorHAnsi" w:hAnsiTheme="minorHAnsi" w:cstheme="minorHAnsi"/>
              </w:rPr>
              <w:t xml:space="preserve"> </w:t>
            </w:r>
            <w:r w:rsidRPr="00022A4C">
              <w:rPr>
                <w:rFonts w:asciiTheme="minorHAnsi" w:hAnsiTheme="minorHAnsi" w:cstheme="minorHAnsi"/>
              </w:rPr>
              <w:t>31 March 2033</w:t>
            </w:r>
            <w:r>
              <w:rPr>
                <w:rFonts w:asciiTheme="minorHAnsi" w:hAnsiTheme="minorHAnsi" w:cstheme="minorHAnsi"/>
              </w:rPr>
              <w:t>. The sum</w:t>
            </w:r>
            <w:r w:rsidR="00D06656">
              <w:rPr>
                <w:rFonts w:asciiTheme="minorHAnsi" w:hAnsiTheme="minorHAnsi" w:cstheme="minorHAnsi"/>
              </w:rPr>
              <w:t>s</w:t>
            </w:r>
            <w:r>
              <w:rPr>
                <w:rFonts w:asciiTheme="minorHAnsi" w:hAnsiTheme="minorHAnsi" w:cstheme="minorHAnsi"/>
              </w:rPr>
              <w:t xml:space="preserve"> across columns </w:t>
            </w:r>
            <w:r w:rsidR="00CC6A7D">
              <w:rPr>
                <w:rFonts w:asciiTheme="minorHAnsi" w:hAnsiTheme="minorHAnsi" w:cstheme="minorHAnsi"/>
              </w:rPr>
              <w:t>24</w:t>
            </w:r>
            <w:r>
              <w:rPr>
                <w:rFonts w:asciiTheme="minorHAnsi" w:hAnsiTheme="minorHAnsi" w:cstheme="minorHAnsi"/>
              </w:rPr>
              <w:t xml:space="preserve"> to </w:t>
            </w:r>
            <w:r w:rsidR="00CC6A7D">
              <w:rPr>
                <w:rFonts w:asciiTheme="minorHAnsi" w:hAnsiTheme="minorHAnsi" w:cstheme="minorHAnsi"/>
              </w:rPr>
              <w:t>28 and across columns 30 to 34</w:t>
            </w:r>
            <w:r>
              <w:rPr>
                <w:rFonts w:asciiTheme="minorHAnsi" w:hAnsiTheme="minorHAnsi" w:cstheme="minorHAnsi"/>
              </w:rPr>
              <w:t xml:space="preserve"> should </w:t>
            </w:r>
            <w:r w:rsidR="00D06656">
              <w:rPr>
                <w:rFonts w:asciiTheme="minorHAnsi" w:hAnsiTheme="minorHAnsi" w:cstheme="minorHAnsi"/>
              </w:rPr>
              <w:t xml:space="preserve">each </w:t>
            </w:r>
            <w:r>
              <w:rPr>
                <w:rFonts w:asciiTheme="minorHAnsi" w:hAnsiTheme="minorHAnsi" w:cstheme="minorHAnsi"/>
              </w:rPr>
              <w:t>total 100%.</w:t>
            </w:r>
          </w:p>
        </w:tc>
        <w:tc>
          <w:tcPr>
            <w:tcW w:w="659" w:type="pct"/>
          </w:tcPr>
          <w:p w14:paraId="7E5FE24D" w14:textId="0F063AE9" w:rsidR="00DE3BD3" w:rsidRPr="00E06E8A" w:rsidRDefault="00DE3BD3" w:rsidP="00DE3BD3">
            <w:pPr>
              <w:pStyle w:val="BodyText"/>
              <w:rPr>
                <w:rFonts w:asciiTheme="minorHAnsi" w:hAnsiTheme="minorHAnsi" w:cstheme="minorHAnsi"/>
              </w:rPr>
            </w:pPr>
            <w:r>
              <w:rPr>
                <w:rFonts w:asciiTheme="minorHAnsi" w:hAnsiTheme="minorHAnsi" w:cstheme="minorHAnsi"/>
              </w:rPr>
              <w:t>%</w:t>
            </w:r>
          </w:p>
        </w:tc>
      </w:tr>
    </w:tbl>
    <w:p w14:paraId="5C44C7BD" w14:textId="43E7D590" w:rsidR="007E4322" w:rsidRDefault="007E4322">
      <w:pPr>
        <w:spacing w:after="160" w:line="259" w:lineRule="auto"/>
        <w:jc w:val="left"/>
      </w:pPr>
      <w:r>
        <w:br w:type="page"/>
      </w:r>
    </w:p>
    <w:p w14:paraId="0667B53A" w14:textId="77777777" w:rsidR="008F7199" w:rsidRDefault="008F7199" w:rsidP="007E4322">
      <w:pPr>
        <w:sectPr w:rsidR="008F7199" w:rsidSect="00954233">
          <w:pgSz w:w="16838" w:h="11906" w:orient="landscape" w:code="9"/>
          <w:pgMar w:top="1134" w:right="1134" w:bottom="1134" w:left="1134" w:header="567" w:footer="567" w:gutter="0"/>
          <w:cols w:space="708"/>
          <w:docGrid w:linePitch="360"/>
        </w:sectPr>
      </w:pPr>
    </w:p>
    <w:p w14:paraId="2FF8D9CB" w14:textId="77777777" w:rsidR="007E4322" w:rsidRDefault="007E4322" w:rsidP="00954233"/>
    <w:p w14:paraId="73D14BAA" w14:textId="2DD50823" w:rsidR="00BC1B5F" w:rsidRDefault="00BC1B5F" w:rsidP="00954233">
      <w:pPr>
        <w:pStyle w:val="heading10"/>
        <w:outlineLvl w:val="0"/>
      </w:pPr>
      <w:bookmarkStart w:id="21" w:name="_Toc184736041"/>
      <w:r>
        <w:t xml:space="preserve">Mains and </w:t>
      </w:r>
      <w:r w:rsidR="00F14757">
        <w:t>sewers condition</w:t>
      </w:r>
      <w:bookmarkEnd w:id="21"/>
      <w:r w:rsidR="00F14757">
        <w:t xml:space="preserve"> </w:t>
      </w:r>
    </w:p>
    <w:p w14:paraId="4B2DCC60" w14:textId="4A2373AC" w:rsidR="00C10EF5" w:rsidRDefault="00C10EF5" w:rsidP="00BC1B5F">
      <w:pPr>
        <w:pStyle w:val="heading20"/>
        <w:ind w:left="788" w:hanging="431"/>
        <w:outlineLvl w:val="1"/>
      </w:pPr>
      <w:bookmarkStart w:id="22" w:name="_Toc184736042"/>
      <w:r>
        <w:t>Purpose</w:t>
      </w:r>
      <w:bookmarkEnd w:id="22"/>
    </w:p>
    <w:p w14:paraId="4E795448" w14:textId="77777777" w:rsidR="00C10EF5" w:rsidRDefault="00C10EF5" w:rsidP="00C10EF5"/>
    <w:p w14:paraId="6F7F677D" w14:textId="6D1CF39A" w:rsidR="006C3F90" w:rsidRDefault="00880D06" w:rsidP="00095F72">
      <w:r>
        <w:t>This table will contribute towards meeting the methodology requirement for Scottish Water to “provide a measure (or measures) of asset condition across its asset base and, as far as possible, translate the impact of maintenance activities on asset condition into tangible consequences that customers will understand”</w:t>
      </w:r>
      <w:r w:rsidR="002219AE">
        <w:t>. The data in this table is</w:t>
      </w:r>
      <w:r w:rsidR="00D91C15">
        <w:t xml:space="preserve"> more granular </w:t>
      </w:r>
      <w:r w:rsidR="00800C09">
        <w:t>than the</w:t>
      </w:r>
      <w:r w:rsidR="00DA7ABE">
        <w:t xml:space="preserve"> </w:t>
      </w:r>
      <w:r w:rsidR="00A233C1">
        <w:t>data on infrastructure assets in table 3b.</w:t>
      </w:r>
      <w:r>
        <w:t xml:space="preserve"> </w:t>
      </w:r>
    </w:p>
    <w:p w14:paraId="340E6246" w14:textId="77777777" w:rsidR="009D0D6F" w:rsidRDefault="009D0D6F" w:rsidP="00095F72"/>
    <w:p w14:paraId="52A2CDE2" w14:textId="5442772C" w:rsidR="009D0D6F" w:rsidRDefault="009D0D6F" w:rsidP="00095F72">
      <w:r>
        <w:t xml:space="preserve">This assessment is being undertaken to understand the potential requirements for asset </w:t>
      </w:r>
      <w:r w:rsidR="00DB2F7E">
        <w:t>replacement</w:t>
      </w:r>
      <w:r>
        <w:t xml:space="preserve"> over SRC27. </w:t>
      </w:r>
      <w:r w:rsidR="005436BF">
        <w:t>The data can be used to check whether replacement interventions are keeping pace with deterioration and to determine whether it can provide further insight into</w:t>
      </w:r>
      <w:r>
        <w:t xml:space="preserve"> emerging asset risks.</w:t>
      </w:r>
    </w:p>
    <w:p w14:paraId="059901F7" w14:textId="77777777" w:rsidR="001164BD" w:rsidRDefault="001164BD" w:rsidP="00095F72"/>
    <w:p w14:paraId="0616FF18" w14:textId="009BA58A" w:rsidR="002E4F66" w:rsidRPr="00B74E34" w:rsidRDefault="002E4F66" w:rsidP="002E4F66">
      <w:r w:rsidRPr="00B74E34">
        <w:t>Confidence grades</w:t>
      </w:r>
      <w:r w:rsidR="00B74E34" w:rsidRPr="00B74E34">
        <w:t xml:space="preserve"> should be </w:t>
      </w:r>
      <w:r w:rsidR="000A5D0B">
        <w:t>assigned</w:t>
      </w:r>
      <w:r w:rsidR="00B74E34" w:rsidRPr="00B74E34">
        <w:t xml:space="preserve"> in accordance with guidance in </w:t>
      </w:r>
      <w:r w:rsidR="00C545A9">
        <w:t>c</w:t>
      </w:r>
      <w:r w:rsidR="00775266">
        <w:rPr>
          <w:rFonts w:cstheme="minorHAnsi"/>
        </w:rPr>
        <w:t xml:space="preserve">hapter </w:t>
      </w:r>
      <w:r w:rsidR="007E0840" w:rsidRPr="007E0840">
        <w:rPr>
          <w:rFonts w:cstheme="minorHAnsi"/>
        </w:rPr>
        <w:t>‘Common Definitions’</w:t>
      </w:r>
      <w:r w:rsidR="00B74E34" w:rsidRPr="00B74E34">
        <w:t xml:space="preserve">. </w:t>
      </w:r>
    </w:p>
    <w:p w14:paraId="3B44FBDC" w14:textId="77777777" w:rsidR="002E4F66" w:rsidRDefault="002E4F66" w:rsidP="002E4F66">
      <w:pPr>
        <w:rPr>
          <w:rFonts w:ascii="Arial" w:hAnsi="Arial" w:cs="Arial"/>
        </w:rPr>
      </w:pPr>
    </w:p>
    <w:p w14:paraId="2B25384D" w14:textId="77777777" w:rsidR="002E4F66" w:rsidRDefault="002E4F66" w:rsidP="00BC1B5F"/>
    <w:p w14:paraId="26AC58B3" w14:textId="77777777" w:rsidR="00F358FD" w:rsidRDefault="00F358FD">
      <w:pPr>
        <w:spacing w:after="160" w:line="259" w:lineRule="auto"/>
        <w:jc w:val="left"/>
        <w:rPr>
          <w:color w:val="5F7577" w:themeColor="accent2"/>
          <w:sz w:val="32"/>
          <w:szCs w:val="28"/>
        </w:rPr>
      </w:pPr>
      <w:r>
        <w:br w:type="page"/>
      </w:r>
    </w:p>
    <w:p w14:paraId="06AAB7D2" w14:textId="77777777" w:rsidR="008148E6" w:rsidRDefault="008148E6" w:rsidP="00BC1B5F">
      <w:pPr>
        <w:pStyle w:val="heading20"/>
        <w:ind w:left="788" w:hanging="431"/>
        <w:outlineLvl w:val="1"/>
        <w:sectPr w:rsidR="008148E6" w:rsidSect="006312CE">
          <w:pgSz w:w="11906" w:h="16838" w:code="9"/>
          <w:pgMar w:top="1134" w:right="1134" w:bottom="1134" w:left="1134" w:header="567" w:footer="567" w:gutter="0"/>
          <w:cols w:space="708"/>
          <w:docGrid w:linePitch="360"/>
        </w:sectPr>
      </w:pPr>
    </w:p>
    <w:p w14:paraId="235B61CB" w14:textId="67223732" w:rsidR="00BC1B5F" w:rsidRDefault="00BC1B5F" w:rsidP="00BC1B5F">
      <w:pPr>
        <w:pStyle w:val="heading20"/>
        <w:ind w:left="788" w:hanging="431"/>
        <w:outlineLvl w:val="1"/>
      </w:pPr>
      <w:bookmarkStart w:id="23" w:name="_Toc184736043"/>
      <w:r>
        <w:lastRenderedPageBreak/>
        <w:t>Definitions</w:t>
      </w:r>
      <w:bookmarkEnd w:id="23"/>
    </w:p>
    <w:p w14:paraId="4F3E9AEA" w14:textId="77777777" w:rsidR="00CB40E2" w:rsidRDefault="00CB40E2" w:rsidP="005034E5"/>
    <w:p w14:paraId="04218C0D" w14:textId="741D7C9A" w:rsidR="00A1408F" w:rsidRDefault="00A1408F" w:rsidP="00A1408F">
      <w:r>
        <w:t xml:space="preserve">The tables below </w:t>
      </w:r>
      <w:r w:rsidR="00A44A14">
        <w:t>show</w:t>
      </w:r>
      <w:r w:rsidR="00CF6757">
        <w:t xml:space="preserve"> the requirements for asset performance/condition by material type, condition grade relative to the burst rate, and Equipment Health Index (EHI),</w:t>
      </w:r>
      <w:r w:rsidR="00544A11">
        <w:t xml:space="preserve"> which </w:t>
      </w:r>
      <w:r w:rsidR="00F63692">
        <w:t>measures actual age relative to expected asset lifetime</w:t>
      </w:r>
      <w:r>
        <w:t xml:space="preserve">. </w:t>
      </w:r>
    </w:p>
    <w:p w14:paraId="0C4F42F7" w14:textId="77777777" w:rsidR="00A1408F" w:rsidRDefault="00A1408F" w:rsidP="00A1408F"/>
    <w:p w14:paraId="1868D6DB" w14:textId="4AC5B8BA" w:rsidR="00ED2FF9" w:rsidRPr="00CB40E2" w:rsidRDefault="00CB40E2" w:rsidP="00731879">
      <w:pPr>
        <w:pStyle w:val="SMALLHEADINGALLCAPS"/>
      </w:pPr>
      <w:r w:rsidRPr="00734731">
        <w:t>Water mains data</w:t>
      </w:r>
      <w:r w:rsidRPr="00CB40E2">
        <w:tab/>
      </w:r>
      <w:r w:rsidRPr="00CB40E2">
        <w:tab/>
      </w:r>
      <w:r w:rsidRPr="00CB40E2">
        <w:tab/>
      </w:r>
      <w:r w:rsidRPr="00CB40E2">
        <w:tab/>
      </w:r>
      <w:r w:rsidRPr="00CB40E2">
        <w:tab/>
      </w:r>
      <w:r w:rsidRPr="00CB40E2">
        <w:tab/>
      </w:r>
    </w:p>
    <w:tbl>
      <w:tblPr>
        <w:tblStyle w:val="Blueline"/>
        <w:tblW w:w="0" w:type="auto"/>
        <w:tblLook w:val="04A0" w:firstRow="1" w:lastRow="0" w:firstColumn="1" w:lastColumn="0" w:noHBand="0" w:noVBand="1"/>
      </w:tblPr>
      <w:tblGrid>
        <w:gridCol w:w="1690"/>
        <w:gridCol w:w="4454"/>
        <w:gridCol w:w="7408"/>
        <w:gridCol w:w="1018"/>
      </w:tblGrid>
      <w:tr w:rsidR="0068316A" w:rsidRPr="00ED2FF9" w14:paraId="5D4E70E5" w14:textId="7D2AD2D7" w:rsidTr="00954233">
        <w:trPr>
          <w:cnfStyle w:val="100000000000" w:firstRow="1" w:lastRow="0" w:firstColumn="0" w:lastColumn="0" w:oddVBand="0" w:evenVBand="0" w:oddHBand="0" w:evenHBand="0" w:firstRowFirstColumn="0" w:firstRowLastColumn="0" w:lastRowFirstColumn="0" w:lastRowLastColumn="0"/>
          <w:trHeight w:val="297"/>
          <w:tblHeader/>
        </w:trPr>
        <w:tc>
          <w:tcPr>
            <w:tcW w:w="0" w:type="auto"/>
            <w:noWrap/>
          </w:tcPr>
          <w:p w14:paraId="5DB3FF1A" w14:textId="3548B864" w:rsidR="00FE0B80" w:rsidRPr="00E06E8A" w:rsidRDefault="00D569C2" w:rsidP="00FE0B80">
            <w:pPr>
              <w:spacing w:line="240" w:lineRule="auto"/>
              <w:jc w:val="left"/>
              <w:rPr>
                <w:rFonts w:ascii="Calibri" w:eastAsia="Times New Roman" w:hAnsi="Calibri" w:cs="Calibri"/>
                <w:szCs w:val="24"/>
                <w:lang w:eastAsia="en-GB"/>
              </w:rPr>
            </w:pPr>
            <w:r>
              <w:rPr>
                <w:rFonts w:ascii="Calibri" w:hAnsi="Calibri" w:cs="Calibri"/>
                <w:szCs w:val="24"/>
              </w:rPr>
              <w:t xml:space="preserve">Line </w:t>
            </w:r>
            <w:r w:rsidR="00FE0B80" w:rsidRPr="00E06E8A">
              <w:rPr>
                <w:rFonts w:ascii="Calibri" w:hAnsi="Calibri" w:cs="Calibri"/>
                <w:szCs w:val="24"/>
              </w:rPr>
              <w:t>Reference</w:t>
            </w:r>
          </w:p>
        </w:tc>
        <w:tc>
          <w:tcPr>
            <w:tcW w:w="0" w:type="dxa"/>
          </w:tcPr>
          <w:p w14:paraId="7704BBEB" w14:textId="77DFAAEF" w:rsidR="00FE0B80" w:rsidRPr="00E06E8A" w:rsidRDefault="005837B7" w:rsidP="00FE0B80">
            <w:pPr>
              <w:spacing w:line="240" w:lineRule="auto"/>
              <w:jc w:val="left"/>
              <w:rPr>
                <w:rFonts w:ascii="Calibri" w:eastAsia="Times New Roman" w:hAnsi="Calibri" w:cs="Calibri"/>
                <w:szCs w:val="24"/>
                <w:lang w:eastAsia="en-GB"/>
              </w:rPr>
            </w:pPr>
            <w:r>
              <w:rPr>
                <w:rFonts w:ascii="Calibri" w:hAnsi="Calibri" w:cs="Calibri"/>
                <w:szCs w:val="24"/>
              </w:rPr>
              <w:t>Block</w:t>
            </w:r>
            <w:r w:rsidR="00FE0B80" w:rsidRPr="00E06E8A">
              <w:rPr>
                <w:rFonts w:ascii="Calibri" w:hAnsi="Calibri" w:cs="Calibri"/>
                <w:szCs w:val="24"/>
              </w:rPr>
              <w:t xml:space="preserve"> Title</w:t>
            </w:r>
          </w:p>
        </w:tc>
        <w:tc>
          <w:tcPr>
            <w:tcW w:w="0" w:type="dxa"/>
          </w:tcPr>
          <w:p w14:paraId="610CFAC2" w14:textId="2CA0D985" w:rsidR="00FE0B80" w:rsidRPr="00E06E8A" w:rsidRDefault="00FE0B80" w:rsidP="0098266C">
            <w:pPr>
              <w:spacing w:after="60" w:line="240" w:lineRule="auto"/>
              <w:jc w:val="left"/>
              <w:rPr>
                <w:rFonts w:ascii="Calibri" w:eastAsia="Times New Roman" w:hAnsi="Calibri" w:cs="Calibri"/>
                <w:szCs w:val="24"/>
                <w:lang w:eastAsia="en-GB"/>
              </w:rPr>
            </w:pPr>
            <w:r w:rsidRPr="00E06E8A">
              <w:rPr>
                <w:rFonts w:ascii="Calibri" w:hAnsi="Calibri" w:cs="Calibri"/>
                <w:szCs w:val="24"/>
              </w:rPr>
              <w:t>Description</w:t>
            </w:r>
          </w:p>
        </w:tc>
        <w:tc>
          <w:tcPr>
            <w:tcW w:w="0" w:type="auto"/>
          </w:tcPr>
          <w:p w14:paraId="6EE7720C" w14:textId="1F2792B3" w:rsidR="00FE0B80" w:rsidRPr="00E06E8A" w:rsidRDefault="00FE0B80" w:rsidP="00FE0B80">
            <w:pPr>
              <w:spacing w:line="240" w:lineRule="auto"/>
              <w:jc w:val="left"/>
              <w:rPr>
                <w:rFonts w:ascii="Calibri" w:hAnsi="Calibri" w:cs="Calibri"/>
                <w:szCs w:val="24"/>
              </w:rPr>
            </w:pPr>
            <w:r w:rsidRPr="00E06E8A">
              <w:rPr>
                <w:rFonts w:ascii="Calibri" w:hAnsi="Calibri" w:cs="Calibri"/>
                <w:szCs w:val="24"/>
              </w:rPr>
              <w:t>Units</w:t>
            </w:r>
          </w:p>
        </w:tc>
      </w:tr>
      <w:tr w:rsidR="0068316A" w:rsidRPr="00ED2FF9" w14:paraId="78444F30" w14:textId="0A7D36CC" w:rsidTr="00277C3B">
        <w:trPr>
          <w:trHeight w:val="297"/>
        </w:trPr>
        <w:tc>
          <w:tcPr>
            <w:tcW w:w="0" w:type="auto"/>
            <w:noWrap/>
          </w:tcPr>
          <w:p w14:paraId="09074DE7" w14:textId="630CC680" w:rsidR="00FE0B80" w:rsidRPr="00E06E8A" w:rsidRDefault="006E318E"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4.1 to 4.7</w:t>
            </w:r>
          </w:p>
        </w:tc>
        <w:tc>
          <w:tcPr>
            <w:tcW w:w="4547" w:type="dxa"/>
          </w:tcPr>
          <w:p w14:paraId="5F742AE5" w14:textId="4E4328F9" w:rsidR="00FE0B80" w:rsidRPr="00E06E8A" w:rsidRDefault="00440DF4" w:rsidP="00FE0B80">
            <w:pPr>
              <w:spacing w:line="240" w:lineRule="auto"/>
              <w:jc w:val="left"/>
              <w:rPr>
                <w:rFonts w:ascii="Calibri" w:eastAsia="Times New Roman" w:hAnsi="Calibri" w:cs="Calibri"/>
                <w:szCs w:val="24"/>
                <w:lang w:eastAsia="en-GB"/>
              </w:rPr>
            </w:pPr>
            <w:r w:rsidRPr="00440DF4">
              <w:rPr>
                <w:rFonts w:ascii="Calibri" w:eastAsia="Times New Roman" w:hAnsi="Calibri" w:cs="Calibri"/>
                <w:szCs w:val="24"/>
                <w:lang w:eastAsia="en-GB"/>
              </w:rPr>
              <w:t xml:space="preserve">Block A: Length of Water Mains (km) </w:t>
            </w:r>
            <w:r w:rsidR="00542AB5" w:rsidRPr="00542AB5">
              <w:rPr>
                <w:rFonts w:ascii="Calibri" w:eastAsia="Times New Roman" w:hAnsi="Calibri" w:cs="Calibri"/>
                <w:szCs w:val="24"/>
                <w:lang w:eastAsia="en-GB"/>
              </w:rPr>
              <w:t>by Condition Grade as at 31 March 2025</w:t>
            </w:r>
          </w:p>
        </w:tc>
        <w:tc>
          <w:tcPr>
            <w:tcW w:w="7593" w:type="dxa"/>
          </w:tcPr>
          <w:p w14:paraId="00DBBB4C" w14:textId="24868FB4" w:rsidR="00FE0B80" w:rsidRPr="00270540" w:rsidRDefault="00C47DA4"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main </w:t>
            </w:r>
            <w:r w:rsidR="00454602" w:rsidRPr="00270540">
              <w:rPr>
                <w:rFonts w:asciiTheme="minorHAnsi" w:hAnsiTheme="minorHAnsi" w:cstheme="minorHAnsi"/>
              </w:rPr>
              <w:t>classified by</w:t>
            </w:r>
            <w:r w:rsidRPr="00270540">
              <w:rPr>
                <w:rFonts w:asciiTheme="minorHAnsi" w:hAnsiTheme="minorHAnsi" w:cstheme="minorHAnsi"/>
              </w:rPr>
              <w:t xml:space="preserve"> each material type </w:t>
            </w:r>
            <w:r w:rsidR="0036339C" w:rsidRPr="00270540">
              <w:rPr>
                <w:rFonts w:asciiTheme="minorHAnsi" w:hAnsiTheme="minorHAnsi" w:cstheme="minorHAnsi"/>
              </w:rPr>
              <w:t xml:space="preserve">and </w:t>
            </w:r>
            <w:r w:rsidR="00ED4A51">
              <w:rPr>
                <w:rFonts w:asciiTheme="minorHAnsi" w:hAnsiTheme="minorHAnsi" w:cstheme="minorHAnsi"/>
              </w:rPr>
              <w:t>condition grade</w:t>
            </w:r>
            <w:r w:rsidR="009222EE">
              <w:rPr>
                <w:rFonts w:asciiTheme="minorHAnsi" w:hAnsiTheme="minorHAnsi" w:cstheme="minorHAnsi"/>
              </w:rPr>
              <w:t xml:space="preserve"> (as defined in the table below)</w:t>
            </w:r>
            <w:r w:rsidR="00240844" w:rsidRPr="00270540">
              <w:rPr>
                <w:rFonts w:asciiTheme="minorHAnsi" w:hAnsiTheme="minorHAnsi" w:cstheme="minorHAnsi"/>
              </w:rPr>
              <w:t xml:space="preserve"> as a baseline </w:t>
            </w:r>
            <w:r w:rsidR="00D62746" w:rsidRPr="00270540">
              <w:rPr>
                <w:rFonts w:asciiTheme="minorHAnsi" w:hAnsiTheme="minorHAnsi" w:cstheme="minorHAnsi"/>
              </w:rPr>
              <w:t xml:space="preserve">as </w:t>
            </w:r>
            <w:r w:rsidR="00EA1A39" w:rsidRPr="00270540">
              <w:rPr>
                <w:rFonts w:asciiTheme="minorHAnsi" w:hAnsiTheme="minorHAnsi" w:cstheme="minorHAnsi"/>
              </w:rPr>
              <w:t>at</w:t>
            </w:r>
            <w:r w:rsidR="00D62746" w:rsidRPr="00270540">
              <w:rPr>
                <w:rFonts w:asciiTheme="minorHAnsi" w:hAnsiTheme="minorHAnsi" w:cstheme="minorHAnsi"/>
              </w:rPr>
              <w:t xml:space="preserve"> 31 March </w:t>
            </w:r>
            <w:r w:rsidR="00D62746" w:rsidRPr="00987B12">
              <w:rPr>
                <w:rFonts w:asciiTheme="minorHAnsi" w:hAnsiTheme="minorHAnsi" w:cstheme="minorHAnsi"/>
              </w:rPr>
              <w:t>202</w:t>
            </w:r>
            <w:r w:rsidR="00D92207" w:rsidRPr="00987B12">
              <w:rPr>
                <w:rFonts w:asciiTheme="minorHAnsi" w:hAnsiTheme="minorHAnsi" w:cstheme="minorHAnsi"/>
              </w:rPr>
              <w:t>5</w:t>
            </w:r>
            <w:r w:rsidR="00E72A50" w:rsidRPr="00270540">
              <w:rPr>
                <w:rFonts w:asciiTheme="minorHAnsi" w:hAnsiTheme="minorHAnsi" w:cstheme="minorHAnsi"/>
              </w:rPr>
              <w:t>.</w:t>
            </w:r>
            <w:r w:rsidRPr="00270540">
              <w:rPr>
                <w:rFonts w:asciiTheme="minorHAnsi" w:hAnsiTheme="minorHAnsi" w:cstheme="minorHAnsi"/>
              </w:rPr>
              <w:t xml:space="preserve"> </w:t>
            </w:r>
          </w:p>
        </w:tc>
        <w:tc>
          <w:tcPr>
            <w:tcW w:w="0" w:type="auto"/>
          </w:tcPr>
          <w:p w14:paraId="00ABF56C" w14:textId="1D967DB6" w:rsidR="00FE0B80" w:rsidRPr="00E06E8A" w:rsidRDefault="00AA17B0"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k</w:t>
            </w:r>
            <w:r w:rsidR="00C47DA4" w:rsidRPr="00E06E8A">
              <w:rPr>
                <w:rFonts w:ascii="Calibri" w:eastAsia="Times New Roman" w:hAnsi="Calibri" w:cs="Calibri"/>
                <w:szCs w:val="24"/>
                <w:lang w:eastAsia="en-GB"/>
              </w:rPr>
              <w:t>m</w:t>
            </w:r>
          </w:p>
        </w:tc>
      </w:tr>
      <w:tr w:rsidR="0068316A" w:rsidRPr="00ED2FF9" w14:paraId="6DA0B75D" w14:textId="50EA7940" w:rsidTr="00277C3B">
        <w:trPr>
          <w:trHeight w:val="297"/>
        </w:trPr>
        <w:tc>
          <w:tcPr>
            <w:tcW w:w="0" w:type="auto"/>
            <w:noWrap/>
          </w:tcPr>
          <w:p w14:paraId="57F1ADAD" w14:textId="60535690" w:rsidR="00FE0B80" w:rsidRPr="00E06E8A" w:rsidRDefault="00A82FBC"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4.8 to 4.14</w:t>
            </w:r>
          </w:p>
        </w:tc>
        <w:tc>
          <w:tcPr>
            <w:tcW w:w="4547" w:type="dxa"/>
          </w:tcPr>
          <w:p w14:paraId="7A809BFF" w14:textId="5933D370" w:rsidR="00FE0B80" w:rsidRPr="00E06E8A" w:rsidRDefault="004B4B7D" w:rsidP="00FE0B80">
            <w:pPr>
              <w:spacing w:line="240" w:lineRule="auto"/>
              <w:jc w:val="left"/>
              <w:rPr>
                <w:rFonts w:ascii="Calibri" w:eastAsia="Times New Roman" w:hAnsi="Calibri" w:cs="Calibri"/>
                <w:szCs w:val="24"/>
                <w:lang w:eastAsia="en-GB"/>
              </w:rPr>
            </w:pPr>
            <w:r w:rsidRPr="004B4B7D">
              <w:rPr>
                <w:rFonts w:ascii="Calibri" w:eastAsia="Times New Roman" w:hAnsi="Calibri" w:cs="Calibri"/>
                <w:szCs w:val="24"/>
                <w:lang w:eastAsia="en-GB"/>
              </w:rPr>
              <w:t>Block B: Length of Water Mains (km) by Condition Grade as at 31 March 2033 (No Investment, Asset Deterioration Case Only)</w:t>
            </w:r>
          </w:p>
        </w:tc>
        <w:tc>
          <w:tcPr>
            <w:tcW w:w="7593" w:type="dxa"/>
          </w:tcPr>
          <w:p w14:paraId="08A632DE" w14:textId="5A8A13CE" w:rsidR="00FE0B80" w:rsidRPr="00270540" w:rsidRDefault="002629D8"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w:t>
            </w:r>
            <w:r w:rsidR="00582871" w:rsidRPr="00270540">
              <w:rPr>
                <w:rFonts w:asciiTheme="minorHAnsi" w:hAnsiTheme="minorHAnsi" w:cstheme="minorHAnsi"/>
              </w:rPr>
              <w:t>length</w:t>
            </w:r>
            <w:r w:rsidRPr="00270540">
              <w:rPr>
                <w:rFonts w:asciiTheme="minorHAnsi" w:hAnsiTheme="minorHAnsi" w:cstheme="minorHAnsi"/>
              </w:rPr>
              <w:t xml:space="preserve"> of </w:t>
            </w:r>
            <w:r w:rsidR="00582871" w:rsidRPr="00270540">
              <w:rPr>
                <w:rFonts w:asciiTheme="minorHAnsi" w:hAnsiTheme="minorHAnsi" w:cstheme="minorHAnsi"/>
              </w:rPr>
              <w:t>main</w:t>
            </w:r>
            <w:r w:rsidR="00E542BE" w:rsidRPr="00270540">
              <w:rPr>
                <w:rFonts w:asciiTheme="minorHAnsi" w:hAnsiTheme="minorHAnsi" w:cstheme="minorHAnsi"/>
              </w:rPr>
              <w:t xml:space="preserve"> </w:t>
            </w:r>
            <w:r w:rsidR="00B047F6" w:rsidRPr="00270540">
              <w:rPr>
                <w:rFonts w:asciiTheme="minorHAnsi" w:hAnsiTheme="minorHAnsi" w:cstheme="minorHAnsi"/>
              </w:rPr>
              <w:t>classified</w:t>
            </w:r>
            <w:r w:rsidR="00E542BE" w:rsidRPr="00270540">
              <w:rPr>
                <w:rFonts w:asciiTheme="minorHAnsi" w:hAnsiTheme="minorHAnsi" w:cstheme="minorHAnsi"/>
              </w:rPr>
              <w:t xml:space="preserve"> by </w:t>
            </w:r>
            <w:r w:rsidR="00582871" w:rsidRPr="00270540">
              <w:rPr>
                <w:rFonts w:asciiTheme="minorHAnsi" w:hAnsiTheme="minorHAnsi" w:cstheme="minorHAnsi"/>
              </w:rPr>
              <w:t xml:space="preserve">each </w:t>
            </w:r>
            <w:r w:rsidR="00E542BE" w:rsidRPr="00270540">
              <w:rPr>
                <w:rFonts w:asciiTheme="minorHAnsi" w:hAnsiTheme="minorHAnsi" w:cstheme="minorHAnsi"/>
              </w:rPr>
              <w:t xml:space="preserve">material type and </w:t>
            </w:r>
            <w:r w:rsidR="00582871">
              <w:rPr>
                <w:rFonts w:asciiTheme="minorHAnsi" w:hAnsiTheme="minorHAnsi" w:cstheme="minorHAnsi"/>
              </w:rPr>
              <w:t>condition grade (as defined in</w:t>
            </w:r>
            <w:r w:rsidR="00240844" w:rsidRPr="00270540">
              <w:rPr>
                <w:rFonts w:asciiTheme="minorHAnsi" w:hAnsiTheme="minorHAnsi" w:cstheme="minorHAnsi"/>
              </w:rPr>
              <w:t xml:space="preserve"> the </w:t>
            </w:r>
            <w:r w:rsidR="00582871">
              <w:rPr>
                <w:rFonts w:asciiTheme="minorHAnsi" w:hAnsiTheme="minorHAnsi" w:cstheme="minorHAnsi"/>
              </w:rPr>
              <w:t>table below)</w:t>
            </w:r>
            <w:r w:rsidR="00240844" w:rsidRPr="00270540">
              <w:rPr>
                <w:rFonts w:asciiTheme="minorHAnsi" w:hAnsiTheme="minorHAnsi" w:cstheme="minorHAnsi"/>
              </w:rPr>
              <w:t xml:space="preserve"> </w:t>
            </w:r>
            <w:r w:rsidR="002323A2" w:rsidRPr="00270540">
              <w:rPr>
                <w:rFonts w:asciiTheme="minorHAnsi" w:hAnsiTheme="minorHAnsi" w:cstheme="minorHAnsi"/>
              </w:rPr>
              <w:t xml:space="preserve">as at 31 March 2033 </w:t>
            </w:r>
            <w:r w:rsidR="00582871">
              <w:rPr>
                <w:rFonts w:asciiTheme="minorHAnsi" w:hAnsiTheme="minorHAnsi" w:cstheme="minorHAnsi"/>
              </w:rPr>
              <w:t xml:space="preserve">assuming no </w:t>
            </w:r>
            <w:r w:rsidR="003D105D">
              <w:rPr>
                <w:rFonts w:asciiTheme="minorHAnsi" w:hAnsiTheme="minorHAnsi" w:cstheme="minorHAnsi"/>
              </w:rPr>
              <w:t>investment takes place</w:t>
            </w:r>
            <w:r w:rsidR="007A3316">
              <w:rPr>
                <w:rFonts w:asciiTheme="minorHAnsi" w:hAnsiTheme="minorHAnsi" w:cstheme="minorHAnsi"/>
              </w:rPr>
              <w:t xml:space="preserve"> between </w:t>
            </w:r>
            <w:r w:rsidR="0041365F" w:rsidRPr="00270540">
              <w:rPr>
                <w:rFonts w:asciiTheme="minorHAnsi" w:hAnsiTheme="minorHAnsi" w:cstheme="minorHAnsi"/>
              </w:rPr>
              <w:t xml:space="preserve">31 March </w:t>
            </w:r>
            <w:r w:rsidR="007A3316">
              <w:rPr>
                <w:rFonts w:asciiTheme="minorHAnsi" w:hAnsiTheme="minorHAnsi" w:cstheme="minorHAnsi"/>
              </w:rPr>
              <w:t>202</w:t>
            </w:r>
            <w:r w:rsidR="009D1CE6">
              <w:rPr>
                <w:rFonts w:asciiTheme="minorHAnsi" w:hAnsiTheme="minorHAnsi" w:cstheme="minorHAnsi"/>
              </w:rPr>
              <w:t xml:space="preserve">5 and </w:t>
            </w:r>
            <w:r w:rsidR="0041365F" w:rsidRPr="00270540">
              <w:rPr>
                <w:rFonts w:asciiTheme="minorHAnsi" w:hAnsiTheme="minorHAnsi" w:cstheme="minorHAnsi"/>
              </w:rPr>
              <w:t>31 March</w:t>
            </w:r>
            <w:r w:rsidR="009D1CE6">
              <w:rPr>
                <w:rFonts w:asciiTheme="minorHAnsi" w:hAnsiTheme="minorHAnsi" w:cstheme="minorHAnsi"/>
              </w:rPr>
              <w:t xml:space="preserve"> 2033</w:t>
            </w:r>
            <w:r w:rsidR="00582871" w:rsidRPr="00270540">
              <w:rPr>
                <w:rFonts w:asciiTheme="minorHAnsi" w:hAnsiTheme="minorHAnsi" w:cstheme="minorHAnsi"/>
              </w:rPr>
              <w:t>.</w:t>
            </w:r>
            <w:r w:rsidR="0041365F">
              <w:rPr>
                <w:rFonts w:asciiTheme="minorHAnsi" w:hAnsiTheme="minorHAnsi" w:cstheme="minorHAnsi"/>
              </w:rPr>
              <w:t xml:space="preserve"> </w:t>
            </w:r>
            <w:r w:rsidR="005A7F48">
              <w:rPr>
                <w:rFonts w:asciiTheme="minorHAnsi" w:hAnsiTheme="minorHAnsi" w:cstheme="minorHAnsi"/>
              </w:rPr>
              <w:t xml:space="preserve">In other words, this data should represent the </w:t>
            </w:r>
            <w:r w:rsidR="00D20036">
              <w:rPr>
                <w:rFonts w:asciiTheme="minorHAnsi" w:hAnsiTheme="minorHAnsi" w:cstheme="minorHAnsi"/>
              </w:rPr>
              <w:t xml:space="preserve">asset condition </w:t>
            </w:r>
            <w:r w:rsidR="00D76EDF">
              <w:rPr>
                <w:rFonts w:asciiTheme="minorHAnsi" w:hAnsiTheme="minorHAnsi" w:cstheme="minorHAnsi"/>
              </w:rPr>
              <w:t xml:space="preserve">as affected </w:t>
            </w:r>
            <w:r w:rsidR="00405C48">
              <w:rPr>
                <w:rFonts w:asciiTheme="minorHAnsi" w:hAnsiTheme="minorHAnsi" w:cstheme="minorHAnsi"/>
              </w:rPr>
              <w:t xml:space="preserve">only </w:t>
            </w:r>
            <w:r w:rsidR="00D76EDF">
              <w:rPr>
                <w:rFonts w:asciiTheme="minorHAnsi" w:hAnsiTheme="minorHAnsi" w:cstheme="minorHAnsi"/>
              </w:rPr>
              <w:t>by</w:t>
            </w:r>
            <w:r w:rsidR="00405C48">
              <w:rPr>
                <w:rFonts w:asciiTheme="minorHAnsi" w:hAnsiTheme="minorHAnsi" w:cstheme="minorHAnsi"/>
              </w:rPr>
              <w:t xml:space="preserve"> asset deteri</w:t>
            </w:r>
            <w:r w:rsidR="00CF6216">
              <w:rPr>
                <w:rFonts w:asciiTheme="minorHAnsi" w:hAnsiTheme="minorHAnsi" w:cstheme="minorHAnsi"/>
              </w:rPr>
              <w:t>oration.</w:t>
            </w:r>
          </w:p>
        </w:tc>
        <w:tc>
          <w:tcPr>
            <w:tcW w:w="0" w:type="auto"/>
          </w:tcPr>
          <w:p w14:paraId="4E3A7C31" w14:textId="280E974D" w:rsidR="00FE0B80" w:rsidRPr="00E06E8A" w:rsidRDefault="003925C1" w:rsidP="00FE0B80">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N</w:t>
            </w:r>
            <w:r w:rsidR="00AA17B0">
              <w:rPr>
                <w:rFonts w:ascii="Calibri" w:eastAsia="Times New Roman" w:hAnsi="Calibri" w:cs="Calibri"/>
                <w:szCs w:val="24"/>
                <w:lang w:eastAsia="en-GB"/>
              </w:rPr>
              <w:t>umber</w:t>
            </w:r>
          </w:p>
        </w:tc>
      </w:tr>
      <w:tr w:rsidR="0068316A" w:rsidRPr="00ED2FF9" w14:paraId="3B97F78E" w14:textId="02F89DDF" w:rsidTr="00277C3B">
        <w:trPr>
          <w:trHeight w:val="297"/>
        </w:trPr>
        <w:tc>
          <w:tcPr>
            <w:tcW w:w="0" w:type="auto"/>
            <w:noWrap/>
          </w:tcPr>
          <w:p w14:paraId="68F289A9" w14:textId="6F5CC8DA" w:rsidR="00FE0B80" w:rsidRPr="00E06E8A" w:rsidRDefault="00050AE7"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4.15 to 4.21</w:t>
            </w:r>
          </w:p>
        </w:tc>
        <w:tc>
          <w:tcPr>
            <w:tcW w:w="4547" w:type="dxa"/>
          </w:tcPr>
          <w:p w14:paraId="65D8FA25" w14:textId="0412A4F0" w:rsidR="00FE0B80" w:rsidRPr="00E06E8A" w:rsidRDefault="00E93B49" w:rsidP="00FE0B80">
            <w:pPr>
              <w:spacing w:line="240" w:lineRule="auto"/>
              <w:jc w:val="left"/>
              <w:rPr>
                <w:rFonts w:ascii="Calibri" w:eastAsia="Times New Roman" w:hAnsi="Calibri" w:cs="Calibri"/>
                <w:szCs w:val="24"/>
                <w:lang w:eastAsia="en-GB"/>
              </w:rPr>
            </w:pPr>
            <w:r w:rsidRPr="00E93B49">
              <w:rPr>
                <w:rFonts w:ascii="Calibri" w:eastAsia="Times New Roman" w:hAnsi="Calibri" w:cs="Calibri"/>
                <w:szCs w:val="24"/>
                <w:lang w:eastAsia="en-GB"/>
              </w:rPr>
              <w:t>Block C: Length of Water Mains (km) by Condition Grade as at 31 March 2033 (Proposed Investment Case)</w:t>
            </w:r>
          </w:p>
        </w:tc>
        <w:tc>
          <w:tcPr>
            <w:tcW w:w="7593" w:type="dxa"/>
          </w:tcPr>
          <w:p w14:paraId="27139982" w14:textId="5F8F94E0" w:rsidR="00FE0B80" w:rsidRPr="00270540" w:rsidRDefault="00071011"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w:t>
            </w:r>
            <w:r w:rsidR="00E93B49" w:rsidRPr="00270540">
              <w:rPr>
                <w:rFonts w:asciiTheme="minorHAnsi" w:hAnsiTheme="minorHAnsi" w:cstheme="minorHAnsi"/>
              </w:rPr>
              <w:t>length of main</w:t>
            </w:r>
            <w:r w:rsidRPr="00270540">
              <w:rPr>
                <w:rFonts w:asciiTheme="minorHAnsi" w:hAnsiTheme="minorHAnsi" w:cstheme="minorHAnsi"/>
              </w:rPr>
              <w:t xml:space="preserve"> </w:t>
            </w:r>
            <w:r w:rsidR="00B047F6" w:rsidRPr="00270540">
              <w:rPr>
                <w:rFonts w:asciiTheme="minorHAnsi" w:hAnsiTheme="minorHAnsi" w:cstheme="minorHAnsi"/>
              </w:rPr>
              <w:t xml:space="preserve">classified </w:t>
            </w:r>
            <w:r w:rsidR="00E72A50" w:rsidRPr="00270540">
              <w:rPr>
                <w:rFonts w:asciiTheme="minorHAnsi" w:hAnsiTheme="minorHAnsi" w:cstheme="minorHAnsi"/>
              </w:rPr>
              <w:t xml:space="preserve">by </w:t>
            </w:r>
            <w:r w:rsidR="00E93B49" w:rsidRPr="00270540">
              <w:rPr>
                <w:rFonts w:asciiTheme="minorHAnsi" w:hAnsiTheme="minorHAnsi" w:cstheme="minorHAnsi"/>
              </w:rPr>
              <w:t xml:space="preserve">each </w:t>
            </w:r>
            <w:r w:rsidR="00E72A50" w:rsidRPr="00270540">
              <w:rPr>
                <w:rFonts w:asciiTheme="minorHAnsi" w:hAnsiTheme="minorHAnsi" w:cstheme="minorHAnsi"/>
              </w:rPr>
              <w:t xml:space="preserve">material type and </w:t>
            </w:r>
            <w:r w:rsidR="00E93B49">
              <w:rPr>
                <w:rFonts w:asciiTheme="minorHAnsi" w:hAnsiTheme="minorHAnsi" w:cstheme="minorHAnsi"/>
              </w:rPr>
              <w:t>condition grade (as defined in the table below)</w:t>
            </w:r>
            <w:r w:rsidR="00240844" w:rsidRPr="00270540">
              <w:rPr>
                <w:rFonts w:asciiTheme="minorHAnsi" w:hAnsiTheme="minorHAnsi" w:cstheme="minorHAnsi"/>
              </w:rPr>
              <w:t xml:space="preserve"> </w:t>
            </w:r>
            <w:r w:rsidR="002323A2" w:rsidRPr="00270540">
              <w:rPr>
                <w:rFonts w:asciiTheme="minorHAnsi" w:hAnsiTheme="minorHAnsi" w:cstheme="minorHAnsi"/>
              </w:rPr>
              <w:t>as at 31 March 2033</w:t>
            </w:r>
            <w:r w:rsidR="00E93B49">
              <w:rPr>
                <w:rFonts w:asciiTheme="minorHAnsi" w:hAnsiTheme="minorHAnsi" w:cstheme="minorHAnsi"/>
              </w:rPr>
              <w:t xml:space="preserve"> assuming</w:t>
            </w:r>
            <w:r w:rsidR="00181820">
              <w:rPr>
                <w:rFonts w:asciiTheme="minorHAnsi" w:hAnsiTheme="minorHAnsi" w:cstheme="minorHAnsi"/>
              </w:rPr>
              <w:t xml:space="preserve"> that Scottish Water delivers the proposed investment </w:t>
            </w:r>
            <w:r w:rsidR="00FE6924">
              <w:rPr>
                <w:rFonts w:asciiTheme="minorHAnsi" w:hAnsiTheme="minorHAnsi" w:cstheme="minorHAnsi"/>
              </w:rPr>
              <w:t>in SRC27</w:t>
            </w:r>
            <w:r w:rsidR="00B70DBD">
              <w:rPr>
                <w:rFonts w:asciiTheme="minorHAnsi" w:hAnsiTheme="minorHAnsi" w:cstheme="minorHAnsi"/>
              </w:rPr>
              <w:t xml:space="preserve"> under (Reference) Scenario A</w:t>
            </w:r>
            <w:r w:rsidR="004634D3">
              <w:rPr>
                <w:rFonts w:asciiTheme="minorHAnsi" w:hAnsiTheme="minorHAnsi" w:cstheme="minorHAnsi"/>
              </w:rPr>
              <w:t xml:space="preserve">. </w:t>
            </w:r>
            <w:r w:rsidR="005C7F40" w:rsidRPr="005C7F40">
              <w:rPr>
                <w:rFonts w:asciiTheme="minorHAnsi" w:hAnsiTheme="minorHAnsi" w:cstheme="minorHAnsi"/>
              </w:rPr>
              <w:t>In other words, this data should represent</w:t>
            </w:r>
            <w:r w:rsidR="005C7F40">
              <w:rPr>
                <w:rFonts w:asciiTheme="minorHAnsi" w:hAnsiTheme="minorHAnsi" w:cstheme="minorHAnsi"/>
              </w:rPr>
              <w:t xml:space="preserve"> the asset condition as affected by both asset deterioration and the proposed investment.</w:t>
            </w:r>
          </w:p>
        </w:tc>
        <w:tc>
          <w:tcPr>
            <w:tcW w:w="0" w:type="auto"/>
          </w:tcPr>
          <w:p w14:paraId="16CD1655" w14:textId="5C91B279" w:rsidR="00FE0B80" w:rsidRPr="00E06E8A" w:rsidRDefault="00374C93"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Number</w:t>
            </w:r>
          </w:p>
        </w:tc>
      </w:tr>
      <w:tr w:rsidR="0068316A" w:rsidRPr="00ED2FF9" w14:paraId="733E91C2" w14:textId="073E62E9" w:rsidTr="00277C3B">
        <w:trPr>
          <w:trHeight w:val="297"/>
        </w:trPr>
        <w:tc>
          <w:tcPr>
            <w:tcW w:w="0" w:type="auto"/>
            <w:noWrap/>
          </w:tcPr>
          <w:p w14:paraId="26D2777C" w14:textId="2B727B5F" w:rsidR="00FE0B80" w:rsidRPr="00E06E8A" w:rsidRDefault="00277C3B"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4.22 to 4.2</w:t>
            </w:r>
            <w:r w:rsidR="00422417">
              <w:rPr>
                <w:rFonts w:ascii="Calibri" w:eastAsia="Times New Roman" w:hAnsi="Calibri" w:cs="Calibri"/>
                <w:szCs w:val="24"/>
                <w:lang w:eastAsia="en-GB"/>
              </w:rPr>
              <w:t>7</w:t>
            </w:r>
          </w:p>
        </w:tc>
        <w:tc>
          <w:tcPr>
            <w:tcW w:w="4547" w:type="dxa"/>
          </w:tcPr>
          <w:p w14:paraId="54E0F06E" w14:textId="5EE49795" w:rsidR="00FE0B80" w:rsidRPr="00E06E8A" w:rsidRDefault="00277C3B" w:rsidP="00FE0B80">
            <w:pPr>
              <w:spacing w:line="240" w:lineRule="auto"/>
              <w:jc w:val="left"/>
              <w:rPr>
                <w:rFonts w:ascii="Calibri" w:eastAsia="Times New Roman" w:hAnsi="Calibri" w:cs="Calibri"/>
                <w:szCs w:val="24"/>
                <w:lang w:eastAsia="en-GB"/>
              </w:rPr>
            </w:pPr>
            <w:r w:rsidRPr="00277C3B">
              <w:rPr>
                <w:rFonts w:ascii="Calibri" w:eastAsia="Times New Roman" w:hAnsi="Calibri" w:cs="Calibri"/>
                <w:szCs w:val="24"/>
                <w:lang w:eastAsia="en-GB"/>
              </w:rPr>
              <w:t xml:space="preserve">Block D: Length of Water Mains (km) </w:t>
            </w:r>
            <w:r w:rsidR="0002455D" w:rsidRPr="0002455D">
              <w:rPr>
                <w:rFonts w:ascii="Calibri" w:eastAsia="Times New Roman" w:hAnsi="Calibri" w:cs="Calibri"/>
                <w:szCs w:val="24"/>
                <w:lang w:eastAsia="en-GB"/>
              </w:rPr>
              <w:t>by Equipment Health Index Band as at 31 March 2025</w:t>
            </w:r>
          </w:p>
        </w:tc>
        <w:tc>
          <w:tcPr>
            <w:tcW w:w="7593" w:type="dxa"/>
          </w:tcPr>
          <w:p w14:paraId="71C0DEC7" w14:textId="3B8A6D74" w:rsidR="00FE0B80" w:rsidRPr="00E06E8A" w:rsidRDefault="002C1054" w:rsidP="0098266C">
            <w:pPr>
              <w:pStyle w:val="BodyText"/>
              <w:spacing w:before="0" w:after="60"/>
              <w:rPr>
                <w:rFonts w:ascii="Calibri" w:eastAsia="Times New Roman" w:hAnsi="Calibri" w:cs="Calibri"/>
                <w:lang w:eastAsia="en-GB"/>
              </w:rPr>
            </w:pPr>
            <w:r w:rsidRPr="00270540">
              <w:rPr>
                <w:rFonts w:asciiTheme="minorHAnsi" w:hAnsiTheme="minorHAnsi" w:cstheme="minorHAnsi"/>
              </w:rPr>
              <w:t xml:space="preserve">Provide the length of </w:t>
            </w:r>
            <w:r w:rsidR="006D0ADF" w:rsidRPr="00270540">
              <w:rPr>
                <w:rFonts w:asciiTheme="minorHAnsi" w:hAnsiTheme="minorHAnsi" w:cstheme="minorHAnsi"/>
              </w:rPr>
              <w:t>main</w:t>
            </w:r>
            <w:r w:rsidRPr="00270540">
              <w:rPr>
                <w:rFonts w:asciiTheme="minorHAnsi" w:hAnsiTheme="minorHAnsi" w:cstheme="minorHAnsi"/>
              </w:rPr>
              <w:t xml:space="preserve"> </w:t>
            </w:r>
            <w:r w:rsidR="00B047F6" w:rsidRPr="00270540">
              <w:rPr>
                <w:rFonts w:asciiTheme="minorHAnsi" w:hAnsiTheme="minorHAnsi" w:cstheme="minorHAnsi"/>
              </w:rPr>
              <w:t>classified by</w:t>
            </w:r>
            <w:r w:rsidRPr="00270540">
              <w:rPr>
                <w:rFonts w:asciiTheme="minorHAnsi" w:hAnsiTheme="minorHAnsi" w:cstheme="minorHAnsi"/>
              </w:rPr>
              <w:t xml:space="preserve"> </w:t>
            </w:r>
            <w:r w:rsidR="006D0ADF" w:rsidRPr="00270540">
              <w:rPr>
                <w:rFonts w:asciiTheme="minorHAnsi" w:hAnsiTheme="minorHAnsi" w:cstheme="minorHAnsi"/>
              </w:rPr>
              <w:t xml:space="preserve">each material type and </w:t>
            </w:r>
            <w:r w:rsidR="006D0ADF">
              <w:rPr>
                <w:rFonts w:asciiTheme="minorHAnsi" w:hAnsiTheme="minorHAnsi" w:cstheme="minorHAnsi"/>
              </w:rPr>
              <w:t xml:space="preserve">Equipment Health Index </w:t>
            </w:r>
            <w:r w:rsidR="00D81965">
              <w:rPr>
                <w:rFonts w:asciiTheme="minorHAnsi" w:hAnsiTheme="minorHAnsi" w:cstheme="minorHAnsi"/>
              </w:rPr>
              <w:t>(EHI) band</w:t>
            </w:r>
            <w:r w:rsidR="006D0ADF">
              <w:rPr>
                <w:rFonts w:asciiTheme="minorHAnsi" w:hAnsiTheme="minorHAnsi" w:cstheme="minorHAnsi"/>
              </w:rPr>
              <w:t xml:space="preserve"> (</w:t>
            </w:r>
            <w:r w:rsidR="005B2C26" w:rsidRPr="00270540">
              <w:rPr>
                <w:rFonts w:asciiTheme="minorHAnsi" w:hAnsiTheme="minorHAnsi" w:cstheme="minorHAnsi"/>
              </w:rPr>
              <w:t>as defined</w:t>
            </w:r>
            <w:r w:rsidRPr="00270540">
              <w:rPr>
                <w:rFonts w:asciiTheme="minorHAnsi" w:hAnsiTheme="minorHAnsi" w:cstheme="minorHAnsi"/>
              </w:rPr>
              <w:t xml:space="preserve"> in </w:t>
            </w:r>
            <w:r w:rsidR="00B0039A">
              <w:rPr>
                <w:rFonts w:asciiTheme="minorHAnsi" w:hAnsiTheme="minorHAnsi" w:cstheme="minorHAnsi"/>
              </w:rPr>
              <w:t xml:space="preserve">the </w:t>
            </w:r>
            <w:r w:rsidRPr="00270540">
              <w:rPr>
                <w:rFonts w:asciiTheme="minorHAnsi" w:hAnsiTheme="minorHAnsi" w:cstheme="minorHAnsi"/>
              </w:rPr>
              <w:t>table below</w:t>
            </w:r>
            <w:r w:rsidR="006D0ADF">
              <w:rPr>
                <w:rFonts w:asciiTheme="minorHAnsi" w:hAnsiTheme="minorHAnsi" w:cstheme="minorHAnsi"/>
              </w:rPr>
              <w:t>)</w:t>
            </w:r>
            <w:r w:rsidR="00240844" w:rsidRPr="00270540">
              <w:rPr>
                <w:rFonts w:asciiTheme="minorHAnsi" w:hAnsiTheme="minorHAnsi" w:cstheme="minorHAnsi"/>
              </w:rPr>
              <w:t xml:space="preserve"> as a baseline </w:t>
            </w:r>
            <w:r w:rsidR="002323A2" w:rsidRPr="00270540">
              <w:rPr>
                <w:rFonts w:asciiTheme="minorHAnsi" w:hAnsiTheme="minorHAnsi" w:cstheme="minorHAnsi"/>
              </w:rPr>
              <w:t xml:space="preserve">as </w:t>
            </w:r>
            <w:r w:rsidR="00240844" w:rsidRPr="00270540">
              <w:rPr>
                <w:rFonts w:asciiTheme="minorHAnsi" w:hAnsiTheme="minorHAnsi" w:cstheme="minorHAnsi"/>
              </w:rPr>
              <w:t xml:space="preserve">at </w:t>
            </w:r>
            <w:r w:rsidR="002323A2" w:rsidRPr="00270540">
              <w:rPr>
                <w:rFonts w:asciiTheme="minorHAnsi" w:hAnsiTheme="minorHAnsi" w:cstheme="minorHAnsi"/>
              </w:rPr>
              <w:t xml:space="preserve">31 March </w:t>
            </w:r>
            <w:r w:rsidR="0090632D" w:rsidRPr="00987B12">
              <w:rPr>
                <w:rFonts w:asciiTheme="minorHAnsi" w:hAnsiTheme="minorHAnsi" w:cstheme="minorHAnsi"/>
              </w:rPr>
              <w:t>2025</w:t>
            </w:r>
            <w:r w:rsidR="0090632D" w:rsidRPr="00270540">
              <w:rPr>
                <w:rFonts w:asciiTheme="minorHAnsi" w:hAnsiTheme="minorHAnsi" w:cstheme="minorHAnsi"/>
              </w:rPr>
              <w:t>.</w:t>
            </w:r>
          </w:p>
        </w:tc>
        <w:tc>
          <w:tcPr>
            <w:tcW w:w="0" w:type="auto"/>
          </w:tcPr>
          <w:p w14:paraId="7F652BD4" w14:textId="2B69699D" w:rsidR="00FE0B80" w:rsidRPr="00E06E8A" w:rsidRDefault="003925C1" w:rsidP="00FE0B80">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km</w:t>
            </w:r>
          </w:p>
        </w:tc>
      </w:tr>
      <w:tr w:rsidR="009E63E4" w:rsidRPr="00ED2FF9" w14:paraId="4E5226D4" w14:textId="77777777" w:rsidTr="00277C3B">
        <w:trPr>
          <w:trHeight w:val="297"/>
        </w:trPr>
        <w:tc>
          <w:tcPr>
            <w:tcW w:w="0" w:type="auto"/>
            <w:noWrap/>
          </w:tcPr>
          <w:p w14:paraId="63074A0B" w14:textId="2014B5C4" w:rsidR="009E63E4" w:rsidRDefault="009E63E4"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lastRenderedPageBreak/>
              <w:t>4.28</w:t>
            </w:r>
            <w:r w:rsidR="002A7B0B">
              <w:rPr>
                <w:rFonts w:ascii="Calibri" w:eastAsia="Times New Roman" w:hAnsi="Calibri" w:cs="Calibri"/>
                <w:szCs w:val="24"/>
                <w:lang w:eastAsia="en-GB"/>
              </w:rPr>
              <w:t xml:space="preserve"> to 4.33</w:t>
            </w:r>
          </w:p>
        </w:tc>
        <w:tc>
          <w:tcPr>
            <w:tcW w:w="4547" w:type="dxa"/>
          </w:tcPr>
          <w:p w14:paraId="29B07A30" w14:textId="63111906" w:rsidR="009E63E4" w:rsidRPr="0002455D" w:rsidRDefault="00156628" w:rsidP="00FE0B80">
            <w:pPr>
              <w:spacing w:line="240" w:lineRule="auto"/>
              <w:jc w:val="left"/>
              <w:rPr>
                <w:rFonts w:ascii="Calibri" w:eastAsia="Times New Roman" w:hAnsi="Calibri" w:cs="Calibri"/>
                <w:szCs w:val="24"/>
                <w:lang w:eastAsia="en-GB"/>
              </w:rPr>
            </w:pPr>
            <w:r w:rsidRPr="00156628">
              <w:rPr>
                <w:rFonts w:ascii="Calibri" w:eastAsia="Times New Roman" w:hAnsi="Calibri" w:cs="Calibri"/>
                <w:szCs w:val="24"/>
                <w:lang w:eastAsia="en-GB"/>
              </w:rPr>
              <w:t>Block E: Length of Water Mains (km) by Equipment Health Index Band as at 31 March 2033 (Proposed Investment Case)</w:t>
            </w:r>
          </w:p>
        </w:tc>
        <w:tc>
          <w:tcPr>
            <w:tcW w:w="7593" w:type="dxa"/>
          </w:tcPr>
          <w:p w14:paraId="724C5661" w14:textId="68549214" w:rsidR="009E63E4" w:rsidRPr="00270540" w:rsidRDefault="00156628"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main classified by each material type and </w:t>
            </w:r>
            <w:r>
              <w:rPr>
                <w:rFonts w:asciiTheme="minorHAnsi" w:hAnsiTheme="minorHAnsi" w:cstheme="minorHAnsi"/>
              </w:rPr>
              <w:t xml:space="preserve">Equipment Health Index (EHI) band (as defined in the table below) as </w:t>
            </w:r>
            <w:r w:rsidRPr="00270540">
              <w:rPr>
                <w:rFonts w:asciiTheme="minorHAnsi" w:hAnsiTheme="minorHAnsi" w:cstheme="minorHAnsi"/>
              </w:rPr>
              <w:t xml:space="preserve">at 31 March </w:t>
            </w:r>
            <w:r w:rsidRPr="00987B12">
              <w:rPr>
                <w:rFonts w:asciiTheme="minorHAnsi" w:hAnsiTheme="minorHAnsi" w:cstheme="minorHAnsi"/>
              </w:rPr>
              <w:t>20</w:t>
            </w:r>
            <w:r>
              <w:rPr>
                <w:rFonts w:asciiTheme="minorHAnsi" w:hAnsiTheme="minorHAnsi" w:cstheme="minorHAnsi"/>
              </w:rPr>
              <w:t>33 assuming that Scottish Water delivers the proposed investment in SRC27</w:t>
            </w:r>
            <w:r w:rsidR="00670FE3">
              <w:rPr>
                <w:rFonts w:asciiTheme="minorHAnsi" w:hAnsiTheme="minorHAnsi" w:cstheme="minorHAnsi"/>
              </w:rPr>
              <w:t xml:space="preserve"> under (Reference) Scenario A</w:t>
            </w:r>
            <w:r>
              <w:rPr>
                <w:rFonts w:asciiTheme="minorHAnsi" w:hAnsiTheme="minorHAnsi" w:cstheme="minorHAnsi"/>
              </w:rPr>
              <w:t xml:space="preserve">.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759ACA5C" w14:textId="08A3ADEA" w:rsidR="009E63E4" w:rsidRPr="00E06E8A" w:rsidRDefault="00670FE1"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km</w:t>
            </w:r>
          </w:p>
        </w:tc>
      </w:tr>
    </w:tbl>
    <w:p w14:paraId="1A7D0263" w14:textId="4A534B40" w:rsidR="00CB40E2" w:rsidRDefault="00CB40E2" w:rsidP="005034E5">
      <w:r w:rsidRPr="00CB40E2">
        <w:tab/>
      </w:r>
      <w:r w:rsidRPr="00CB40E2">
        <w:tab/>
      </w:r>
    </w:p>
    <w:p w14:paraId="5CA4E4BF" w14:textId="2D890FDC" w:rsidR="001751F3" w:rsidRDefault="00374C93" w:rsidP="00731879">
      <w:pPr>
        <w:pStyle w:val="SMALLHEADINGALLCAPS"/>
      </w:pPr>
      <w:r>
        <w:t xml:space="preserve">Water </w:t>
      </w:r>
      <w:r w:rsidR="009D0D6F" w:rsidRPr="006B6454">
        <w:t xml:space="preserve">Mains </w:t>
      </w:r>
      <w:r w:rsidR="009238F4" w:rsidRPr="006B6454">
        <w:t>condition grading</w:t>
      </w:r>
    </w:p>
    <w:p w14:paraId="13D75F53" w14:textId="42E87991" w:rsidR="00582871" w:rsidRDefault="00884FDC" w:rsidP="008658F3">
      <w:pPr>
        <w:keepNext/>
      </w:pPr>
      <w:r w:rsidRPr="00731879">
        <w:rPr>
          <w:rFonts w:cstheme="minorHAnsi"/>
        </w:rPr>
        <w:t>B</w:t>
      </w:r>
      <w:r w:rsidR="00582871" w:rsidRPr="00731879">
        <w:rPr>
          <w:rFonts w:cstheme="minorHAnsi"/>
        </w:rPr>
        <w:t xml:space="preserve">aseline </w:t>
      </w:r>
      <w:r w:rsidRPr="00731879">
        <w:rPr>
          <w:rFonts w:cstheme="minorHAnsi"/>
        </w:rPr>
        <w:t>data</w:t>
      </w:r>
      <w:r w:rsidR="00582871" w:rsidRPr="00731879">
        <w:rPr>
          <w:rFonts w:cstheme="minorHAnsi"/>
        </w:rPr>
        <w:t xml:space="preserve"> as at 31 March 2025 </w:t>
      </w:r>
      <w:r w:rsidRPr="00731879">
        <w:rPr>
          <w:rFonts w:cstheme="minorHAnsi"/>
        </w:rPr>
        <w:t>should be based on the</w:t>
      </w:r>
      <w:r w:rsidR="00582871" w:rsidRPr="00731879">
        <w:rPr>
          <w:rFonts w:cstheme="minorHAnsi"/>
        </w:rPr>
        <w:t xml:space="preserve"> average of the annual number of bursts from 1 April 2021 to 31 March 2025</w:t>
      </w:r>
      <w:r w:rsidRPr="00731879">
        <w:rPr>
          <w:rFonts w:cstheme="minorHAnsi"/>
        </w:rPr>
        <w:t>. F</w:t>
      </w:r>
      <w:r w:rsidR="00582871" w:rsidRPr="00731879">
        <w:rPr>
          <w:rFonts w:cstheme="minorHAnsi"/>
        </w:rPr>
        <w:t xml:space="preserve">orecast </w:t>
      </w:r>
      <w:r w:rsidRPr="00731879">
        <w:rPr>
          <w:rFonts w:cstheme="minorHAnsi"/>
        </w:rPr>
        <w:t>data</w:t>
      </w:r>
      <w:r w:rsidR="00582871" w:rsidRPr="00731879">
        <w:rPr>
          <w:rFonts w:cstheme="minorHAnsi"/>
        </w:rPr>
        <w:t xml:space="preserve"> as at 31 March 2033 </w:t>
      </w:r>
      <w:r w:rsidRPr="00731879">
        <w:rPr>
          <w:rFonts w:cstheme="minorHAnsi"/>
        </w:rPr>
        <w:t xml:space="preserve">should be based on the </w:t>
      </w:r>
      <w:r w:rsidR="00582871" w:rsidRPr="00731879">
        <w:rPr>
          <w:rFonts w:cstheme="minorHAnsi"/>
        </w:rPr>
        <w:t>average of the annual number of bursts from 1 April 2029 to 31 March 2033.</w:t>
      </w:r>
    </w:p>
    <w:p w14:paraId="052796FD" w14:textId="77777777" w:rsidR="00582871" w:rsidRDefault="00582871" w:rsidP="008658F3">
      <w:pPr>
        <w:keepNext/>
      </w:pPr>
    </w:p>
    <w:tbl>
      <w:tblPr>
        <w:tblStyle w:val="Blueline"/>
        <w:tblW w:w="0" w:type="auto"/>
        <w:tblLook w:val="04A0" w:firstRow="1" w:lastRow="0" w:firstColumn="1" w:lastColumn="0" w:noHBand="0" w:noVBand="1"/>
      </w:tblPr>
      <w:tblGrid>
        <w:gridCol w:w="823"/>
        <w:gridCol w:w="13747"/>
      </w:tblGrid>
      <w:tr w:rsidR="003028A6" w:rsidRPr="008658F3" w14:paraId="6165E281" w14:textId="77777777" w:rsidTr="00954233">
        <w:trPr>
          <w:cnfStyle w:val="100000000000" w:firstRow="1" w:lastRow="0" w:firstColumn="0" w:lastColumn="0" w:oddVBand="0" w:evenVBand="0" w:oddHBand="0" w:evenHBand="0" w:firstRowFirstColumn="0" w:firstRowLastColumn="0" w:lastRowFirstColumn="0" w:lastRowLastColumn="0"/>
          <w:trHeight w:val="285"/>
          <w:tblHeader/>
        </w:trPr>
        <w:tc>
          <w:tcPr>
            <w:tcW w:w="0" w:type="auto"/>
            <w:hideMark/>
          </w:tcPr>
          <w:p w14:paraId="2B7A5F08" w14:textId="77777777" w:rsidR="003028A6" w:rsidRPr="008658F3" w:rsidRDefault="003028A6" w:rsidP="008658F3">
            <w:pPr>
              <w:spacing w:line="240" w:lineRule="auto"/>
              <w:jc w:val="left"/>
              <w:rPr>
                <w:rFonts w:asciiTheme="minorHAnsi" w:hAnsiTheme="minorHAnsi" w:cstheme="minorHAnsi"/>
                <w:szCs w:val="24"/>
              </w:rPr>
            </w:pPr>
            <w:r w:rsidRPr="008658F3">
              <w:rPr>
                <w:rFonts w:asciiTheme="minorHAnsi" w:hAnsiTheme="minorHAnsi" w:cstheme="minorHAnsi"/>
                <w:szCs w:val="24"/>
              </w:rPr>
              <w:t>Grade</w:t>
            </w:r>
          </w:p>
        </w:tc>
        <w:tc>
          <w:tcPr>
            <w:tcW w:w="0" w:type="auto"/>
            <w:hideMark/>
          </w:tcPr>
          <w:p w14:paraId="109C90A6" w14:textId="77777777" w:rsidR="003028A6" w:rsidRPr="008658F3" w:rsidRDefault="003028A6" w:rsidP="002C7EFC">
            <w:pPr>
              <w:spacing w:line="240" w:lineRule="auto"/>
              <w:jc w:val="left"/>
              <w:rPr>
                <w:rFonts w:asciiTheme="minorHAnsi" w:hAnsiTheme="minorHAnsi" w:cstheme="minorHAnsi"/>
                <w:szCs w:val="24"/>
              </w:rPr>
            </w:pPr>
            <w:r w:rsidRPr="008658F3">
              <w:rPr>
                <w:rFonts w:asciiTheme="minorHAnsi" w:hAnsiTheme="minorHAnsi" w:cstheme="minorHAnsi"/>
                <w:szCs w:val="24"/>
              </w:rPr>
              <w:t>Description</w:t>
            </w:r>
          </w:p>
        </w:tc>
      </w:tr>
      <w:tr w:rsidR="003028A6" w:rsidRPr="003028A6" w14:paraId="3CE59B0F" w14:textId="77777777" w:rsidTr="008148E6">
        <w:trPr>
          <w:trHeight w:val="690"/>
        </w:trPr>
        <w:tc>
          <w:tcPr>
            <w:tcW w:w="0" w:type="auto"/>
            <w:hideMark/>
          </w:tcPr>
          <w:p w14:paraId="1CAF6387"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hideMark/>
          </w:tcPr>
          <w:p w14:paraId="0F8A04C4" w14:textId="74F7B011"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Excellent</w:t>
            </w:r>
            <w:r w:rsidRPr="00874485">
              <w:rPr>
                <w:rFonts w:ascii="Calibri" w:eastAsia="Times New Roman" w:hAnsi="Calibri" w:cs="Calibri"/>
                <w:szCs w:val="24"/>
                <w:lang w:eastAsia="en-GB"/>
              </w:rPr>
              <w:br/>
              <w:t xml:space="preserve">Bursts average up to 125/1000km/annum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w:t>
            </w:r>
            <w:r w:rsidR="005A511E" w:rsidRPr="00874485">
              <w:rPr>
                <w:rFonts w:ascii="Calibri" w:eastAsia="Times New Roman" w:hAnsi="Calibri" w:cs="Calibri"/>
                <w:szCs w:val="24"/>
                <w:lang w:eastAsia="en-GB"/>
              </w:rPr>
              <w:t>2000</w:t>
            </w:r>
            <w:r w:rsidRPr="00874485">
              <w:rPr>
                <w:rFonts w:ascii="Calibri" w:eastAsia="Times New Roman" w:hAnsi="Calibri" w:cs="Calibri"/>
                <w:szCs w:val="24"/>
                <w:lang w:eastAsia="en-GB"/>
              </w:rPr>
              <w:t xml:space="preserve"> metres or more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02600428" w14:textId="77777777" w:rsidTr="008148E6">
        <w:trPr>
          <w:trHeight w:val="930"/>
        </w:trPr>
        <w:tc>
          <w:tcPr>
            <w:tcW w:w="0" w:type="auto"/>
            <w:hideMark/>
          </w:tcPr>
          <w:p w14:paraId="4F7A6FB5"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hideMark/>
          </w:tcPr>
          <w:p w14:paraId="271C43C1" w14:textId="5DF183EC"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Good</w:t>
            </w:r>
            <w:r w:rsidRPr="00874485">
              <w:rPr>
                <w:rFonts w:ascii="Calibri" w:eastAsia="Times New Roman" w:hAnsi="Calibri" w:cs="Calibri"/>
                <w:szCs w:val="24"/>
                <w:lang w:eastAsia="en-GB"/>
              </w:rPr>
              <w:br/>
              <w:t xml:space="preserve">Bursts average greater than 125 up to 250 burst/1000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2000</w:t>
            </w:r>
            <w:r w:rsidRPr="00874485">
              <w:rPr>
                <w:rFonts w:ascii="Calibri" w:eastAsia="Times New Roman" w:hAnsi="Calibri" w:cs="Calibri"/>
                <w:szCs w:val="24"/>
                <w:lang w:eastAsia="en-GB"/>
              </w:rPr>
              <w:t xml:space="preserve"> metres down to </w:t>
            </w:r>
            <w:r w:rsidR="005A511E" w:rsidRPr="00874485">
              <w:rPr>
                <w:rFonts w:ascii="Calibri" w:eastAsia="Times New Roman" w:hAnsi="Calibri" w:cs="Calibri"/>
                <w:szCs w:val="24"/>
                <w:lang w:eastAsia="en-GB"/>
              </w:rPr>
              <w:t>1000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021CD042" w14:textId="77777777" w:rsidTr="008148E6">
        <w:trPr>
          <w:trHeight w:val="930"/>
        </w:trPr>
        <w:tc>
          <w:tcPr>
            <w:tcW w:w="0" w:type="auto"/>
            <w:hideMark/>
          </w:tcPr>
          <w:p w14:paraId="388C191F"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hideMark/>
          </w:tcPr>
          <w:p w14:paraId="71AC82A4" w14:textId="7AB2A93E"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Adequate</w:t>
            </w:r>
            <w:r w:rsidRPr="00874485">
              <w:rPr>
                <w:rFonts w:ascii="Calibri" w:eastAsia="Times New Roman" w:hAnsi="Calibri" w:cs="Calibri"/>
                <w:szCs w:val="24"/>
                <w:lang w:eastAsia="en-GB"/>
              </w:rPr>
              <w:br/>
              <w:t xml:space="preserve">Bursts average greater than 250 up to 500 bursts/1000km/annum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1000</w:t>
            </w:r>
            <w:r w:rsidRPr="00874485">
              <w:rPr>
                <w:rFonts w:ascii="Calibri" w:eastAsia="Times New Roman" w:hAnsi="Calibri" w:cs="Calibri"/>
                <w:szCs w:val="24"/>
                <w:lang w:eastAsia="en-GB"/>
              </w:rPr>
              <w:t xml:space="preserve"> metres down to </w:t>
            </w:r>
            <w:r w:rsidR="005A511E" w:rsidRPr="00874485">
              <w:rPr>
                <w:rFonts w:ascii="Calibri" w:eastAsia="Times New Roman" w:hAnsi="Calibri" w:cs="Calibri"/>
                <w:szCs w:val="24"/>
                <w:lang w:eastAsia="en-GB"/>
              </w:rPr>
              <w:t>500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4A2FEE33" w14:textId="77777777" w:rsidTr="008148E6">
        <w:trPr>
          <w:trHeight w:val="930"/>
        </w:trPr>
        <w:tc>
          <w:tcPr>
            <w:tcW w:w="0" w:type="auto"/>
            <w:hideMark/>
          </w:tcPr>
          <w:p w14:paraId="266E1F10"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hideMark/>
          </w:tcPr>
          <w:p w14:paraId="69AA6D4C" w14:textId="2C2D0481"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Poor</w:t>
            </w:r>
            <w:r w:rsidRPr="00874485">
              <w:rPr>
                <w:rFonts w:ascii="Calibri" w:eastAsia="Times New Roman" w:hAnsi="Calibri" w:cs="Calibri"/>
                <w:szCs w:val="24"/>
                <w:lang w:eastAsia="en-GB"/>
              </w:rPr>
              <w:br/>
              <w:t xml:space="preserve">Bursts average greater than 500 up to 1000/1000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500</w:t>
            </w:r>
            <w:r w:rsidRPr="00874485">
              <w:rPr>
                <w:rFonts w:ascii="Calibri" w:eastAsia="Times New Roman" w:hAnsi="Calibri" w:cs="Calibri"/>
                <w:szCs w:val="24"/>
                <w:lang w:eastAsia="en-GB"/>
              </w:rPr>
              <w:t xml:space="preserve"> metres down to </w:t>
            </w:r>
            <w:r w:rsidR="00874485" w:rsidRPr="00874485">
              <w:rPr>
                <w:rFonts w:ascii="Calibri" w:eastAsia="Times New Roman" w:hAnsi="Calibri" w:cs="Calibri"/>
                <w:szCs w:val="24"/>
                <w:lang w:eastAsia="en-GB"/>
              </w:rPr>
              <w:t>250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62EE941F" w14:textId="77777777" w:rsidTr="008148E6">
        <w:trPr>
          <w:trHeight w:val="690"/>
        </w:trPr>
        <w:tc>
          <w:tcPr>
            <w:tcW w:w="0" w:type="auto"/>
            <w:hideMark/>
          </w:tcPr>
          <w:p w14:paraId="2BD20274"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lastRenderedPageBreak/>
              <w:t>5</w:t>
            </w:r>
          </w:p>
        </w:tc>
        <w:tc>
          <w:tcPr>
            <w:tcW w:w="0" w:type="auto"/>
            <w:hideMark/>
          </w:tcPr>
          <w:p w14:paraId="32B4F382" w14:textId="2665B11A"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Very Poor</w:t>
            </w:r>
            <w:r w:rsidRPr="00874485">
              <w:rPr>
                <w:rFonts w:ascii="Calibri" w:eastAsia="Times New Roman" w:hAnsi="Calibri" w:cs="Calibri"/>
                <w:szCs w:val="24"/>
                <w:lang w:eastAsia="en-GB"/>
              </w:rPr>
              <w:br/>
              <w:t xml:space="preserve">Bursts average greater than 1000/1000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w:t>
            </w:r>
            <w:r w:rsidR="004671C6" w:rsidRPr="00874485">
              <w:rPr>
                <w:rFonts w:ascii="Calibri" w:eastAsia="Times New Roman" w:hAnsi="Calibri" w:cs="Calibri"/>
                <w:szCs w:val="24"/>
                <w:lang w:eastAsia="en-GB"/>
              </w:rPr>
              <w:t xml:space="preserve"> </w:t>
            </w:r>
            <w:r w:rsidRPr="00874485">
              <w:rPr>
                <w:rFonts w:ascii="Calibri" w:eastAsia="Times New Roman" w:hAnsi="Calibri" w:cs="Calibri"/>
                <w:szCs w:val="24"/>
                <w:lang w:eastAsia="en-GB"/>
              </w:rPr>
              <w:t xml:space="preserve">(equivalent to less than </w:t>
            </w:r>
            <w:r w:rsidR="00874485" w:rsidRPr="00874485">
              <w:rPr>
                <w:rFonts w:ascii="Calibri" w:eastAsia="Times New Roman" w:hAnsi="Calibri" w:cs="Calibri"/>
                <w:szCs w:val="24"/>
                <w:lang w:eastAsia="en-GB"/>
              </w:rPr>
              <w:t>250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bl>
    <w:p w14:paraId="13B66D68" w14:textId="77777777" w:rsidR="00C10EF5" w:rsidRDefault="00C10EF5" w:rsidP="00C10EF5"/>
    <w:p w14:paraId="2E9D6A02" w14:textId="3C5351A0" w:rsidR="008B5170" w:rsidRDefault="00412E4B" w:rsidP="006553EA">
      <w:pPr>
        <w:pStyle w:val="SMALLHEADINGALLCAPS"/>
      </w:pPr>
      <w:r>
        <w:t>Equipment Health index</w:t>
      </w:r>
      <w:r w:rsidR="00973A7E">
        <w:t xml:space="preserve"> band definitions</w:t>
      </w:r>
    </w:p>
    <w:p w14:paraId="2C2664CA" w14:textId="026AEE09" w:rsidR="0047710A" w:rsidRDefault="00EC5567" w:rsidP="00731879">
      <w:r w:rsidRPr="00EC5567">
        <w:t>Asset lifetime is defined as the amount of time (measured in years) that elapses from installation to the end of the asset’s useful life (the point at which the asset is decommissioned and replaced with an alternative means of providing the service).</w:t>
      </w:r>
    </w:p>
    <w:p w14:paraId="0C2C50B0" w14:textId="77777777" w:rsidR="0047710A" w:rsidRDefault="0047710A" w:rsidP="00731879">
      <w:pPr>
        <w:pStyle w:val="SMALLHEADINGALLCAPS"/>
      </w:pPr>
    </w:p>
    <w:tbl>
      <w:tblPr>
        <w:tblStyle w:val="Blueline"/>
        <w:tblW w:w="0" w:type="auto"/>
        <w:tblLook w:val="04A0" w:firstRow="1" w:lastRow="0" w:firstColumn="1" w:lastColumn="0" w:noHBand="0" w:noVBand="1"/>
      </w:tblPr>
      <w:tblGrid>
        <w:gridCol w:w="727"/>
        <w:gridCol w:w="8617"/>
      </w:tblGrid>
      <w:tr w:rsidR="00973A7E" w:rsidRPr="008658F3" w14:paraId="0892551E" w14:textId="77777777">
        <w:trPr>
          <w:cnfStyle w:val="100000000000" w:firstRow="1" w:lastRow="0" w:firstColumn="0" w:lastColumn="0" w:oddVBand="0" w:evenVBand="0" w:oddHBand="0" w:evenHBand="0" w:firstRowFirstColumn="0" w:firstRowLastColumn="0" w:lastRowFirstColumn="0" w:lastRowLastColumn="0"/>
          <w:trHeight w:val="285"/>
        </w:trPr>
        <w:tc>
          <w:tcPr>
            <w:tcW w:w="0" w:type="auto"/>
            <w:hideMark/>
          </w:tcPr>
          <w:p w14:paraId="629A3127" w14:textId="11B43405" w:rsidR="00973A7E" w:rsidRPr="008658F3" w:rsidRDefault="00973A7E">
            <w:pPr>
              <w:spacing w:line="240" w:lineRule="auto"/>
              <w:jc w:val="left"/>
              <w:rPr>
                <w:rFonts w:asciiTheme="minorHAnsi" w:hAnsiTheme="minorHAnsi" w:cstheme="minorHAnsi"/>
                <w:szCs w:val="24"/>
              </w:rPr>
            </w:pPr>
            <w:r>
              <w:rPr>
                <w:rFonts w:asciiTheme="minorHAnsi" w:hAnsiTheme="minorHAnsi" w:cstheme="minorHAnsi"/>
                <w:szCs w:val="24"/>
              </w:rPr>
              <w:t>Band</w:t>
            </w:r>
          </w:p>
        </w:tc>
        <w:tc>
          <w:tcPr>
            <w:tcW w:w="0" w:type="auto"/>
            <w:hideMark/>
          </w:tcPr>
          <w:p w14:paraId="505C8620" w14:textId="77777777" w:rsidR="00973A7E" w:rsidRPr="008658F3" w:rsidRDefault="00973A7E">
            <w:pPr>
              <w:spacing w:line="240" w:lineRule="auto"/>
              <w:jc w:val="left"/>
              <w:rPr>
                <w:rFonts w:asciiTheme="minorHAnsi" w:hAnsiTheme="minorHAnsi" w:cstheme="minorHAnsi"/>
                <w:szCs w:val="24"/>
              </w:rPr>
            </w:pPr>
            <w:r w:rsidRPr="008658F3">
              <w:rPr>
                <w:rFonts w:asciiTheme="minorHAnsi" w:hAnsiTheme="minorHAnsi" w:cstheme="minorHAnsi"/>
                <w:szCs w:val="24"/>
              </w:rPr>
              <w:t>Description</w:t>
            </w:r>
          </w:p>
        </w:tc>
      </w:tr>
      <w:tr w:rsidR="007E4A95" w:rsidRPr="003028A6" w14:paraId="79E1B975" w14:textId="77777777" w:rsidTr="00731879">
        <w:trPr>
          <w:trHeight w:val="20"/>
        </w:trPr>
        <w:tc>
          <w:tcPr>
            <w:tcW w:w="0" w:type="auto"/>
            <w:hideMark/>
          </w:tcPr>
          <w:p w14:paraId="70D80B0E"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hideMark/>
          </w:tcPr>
          <w:p w14:paraId="2B2D09E7" w14:textId="57A05C5F"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actual asset age less</w:t>
            </w:r>
            <w:r w:rsidRPr="00900DD6">
              <w:t xml:space="preserve"> than 65% of expected asset life</w:t>
            </w:r>
          </w:p>
        </w:tc>
      </w:tr>
      <w:tr w:rsidR="007E4A95" w:rsidRPr="003028A6" w14:paraId="2DDB7236" w14:textId="77777777" w:rsidTr="00731879">
        <w:trPr>
          <w:trHeight w:val="20"/>
        </w:trPr>
        <w:tc>
          <w:tcPr>
            <w:tcW w:w="0" w:type="auto"/>
            <w:hideMark/>
          </w:tcPr>
          <w:p w14:paraId="6394B5D6"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hideMark/>
          </w:tcPr>
          <w:p w14:paraId="5B10C827" w14:textId="411E2F85"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 xml:space="preserve">actual asset age </w:t>
            </w:r>
            <w:r w:rsidRPr="00900DD6">
              <w:t>between 65% and 85% of expected asset life</w:t>
            </w:r>
          </w:p>
        </w:tc>
      </w:tr>
      <w:tr w:rsidR="007E4A95" w:rsidRPr="003028A6" w14:paraId="0AB6BF23" w14:textId="77777777" w:rsidTr="00731879">
        <w:trPr>
          <w:trHeight w:val="20"/>
        </w:trPr>
        <w:tc>
          <w:tcPr>
            <w:tcW w:w="0" w:type="auto"/>
            <w:hideMark/>
          </w:tcPr>
          <w:p w14:paraId="56B946A0"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hideMark/>
          </w:tcPr>
          <w:p w14:paraId="1CD74D21" w14:textId="2FB4728D"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 xml:space="preserve">actual asset age </w:t>
            </w:r>
            <w:r w:rsidRPr="00900DD6">
              <w:t>between 85% and 100% of expected asset life</w:t>
            </w:r>
          </w:p>
        </w:tc>
      </w:tr>
      <w:tr w:rsidR="007E4A95" w:rsidRPr="003028A6" w14:paraId="0598E456" w14:textId="77777777" w:rsidTr="00731879">
        <w:trPr>
          <w:trHeight w:val="20"/>
        </w:trPr>
        <w:tc>
          <w:tcPr>
            <w:tcW w:w="0" w:type="auto"/>
            <w:hideMark/>
          </w:tcPr>
          <w:p w14:paraId="1FCF5485"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hideMark/>
          </w:tcPr>
          <w:p w14:paraId="6FEA2BA2" w14:textId="3A308DB0"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actual asset age more</w:t>
            </w:r>
            <w:r w:rsidRPr="00900DD6">
              <w:t xml:space="preserve"> than 100% of expected asset life</w:t>
            </w:r>
          </w:p>
        </w:tc>
      </w:tr>
      <w:tr w:rsidR="007E4A95" w:rsidRPr="003028A6" w14:paraId="5F937535" w14:textId="77777777" w:rsidTr="00731879">
        <w:trPr>
          <w:trHeight w:val="20"/>
        </w:trPr>
        <w:tc>
          <w:tcPr>
            <w:tcW w:w="0" w:type="auto"/>
            <w:hideMark/>
          </w:tcPr>
          <w:p w14:paraId="557C5BBB" w14:textId="491A83BE" w:rsidR="007E4A95" w:rsidRPr="00E06E8A" w:rsidRDefault="007E4A95" w:rsidP="007E4A95">
            <w:pPr>
              <w:spacing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X</w:t>
            </w:r>
          </w:p>
        </w:tc>
        <w:tc>
          <w:tcPr>
            <w:tcW w:w="0" w:type="auto"/>
            <w:hideMark/>
          </w:tcPr>
          <w:p w14:paraId="1ED80062" w14:textId="23339F5A" w:rsidR="007E4A95" w:rsidRPr="00874485" w:rsidRDefault="007E4A95" w:rsidP="007E4A95">
            <w:pPr>
              <w:spacing w:line="240" w:lineRule="auto"/>
              <w:jc w:val="left"/>
              <w:rPr>
                <w:rFonts w:ascii="Calibri" w:eastAsia="Times New Roman" w:hAnsi="Calibri" w:cs="Calibri"/>
                <w:szCs w:val="24"/>
                <w:lang w:eastAsia="en-GB"/>
              </w:rPr>
            </w:pPr>
            <w:r w:rsidRPr="00900DD6">
              <w:t>Unable to quantify</w:t>
            </w:r>
          </w:p>
        </w:tc>
      </w:tr>
    </w:tbl>
    <w:p w14:paraId="085A0CF2" w14:textId="5E9BFE22" w:rsidR="008B5170" w:rsidRDefault="008B5170" w:rsidP="00C10EF5"/>
    <w:p w14:paraId="76FE5FB1" w14:textId="77777777" w:rsidR="008B5170" w:rsidRDefault="008B5170" w:rsidP="00C10EF5"/>
    <w:p w14:paraId="14276B25" w14:textId="5D606BAB" w:rsidR="00295B40" w:rsidRPr="00734731" w:rsidRDefault="00295B40" w:rsidP="00C568A8">
      <w:pPr>
        <w:pStyle w:val="SMALLHEADINGALLCAPS"/>
      </w:pPr>
      <w:r w:rsidRPr="00734731">
        <w:t>Wastewater sewers data</w:t>
      </w:r>
    </w:p>
    <w:tbl>
      <w:tblPr>
        <w:tblStyle w:val="Blueline"/>
        <w:tblW w:w="0" w:type="auto"/>
        <w:tblLook w:val="04A0" w:firstRow="1" w:lastRow="0" w:firstColumn="1" w:lastColumn="0" w:noHBand="0" w:noVBand="1"/>
      </w:tblPr>
      <w:tblGrid>
        <w:gridCol w:w="1690"/>
        <w:gridCol w:w="4454"/>
        <w:gridCol w:w="7408"/>
        <w:gridCol w:w="1018"/>
      </w:tblGrid>
      <w:tr w:rsidR="00474B2A" w:rsidRPr="00ED2FF9" w14:paraId="3D132673" w14:textId="77777777" w:rsidTr="00954233">
        <w:trPr>
          <w:cnfStyle w:val="100000000000" w:firstRow="1" w:lastRow="0" w:firstColumn="0" w:lastColumn="0" w:oddVBand="0" w:evenVBand="0" w:oddHBand="0" w:evenHBand="0" w:firstRowFirstColumn="0" w:firstRowLastColumn="0" w:lastRowFirstColumn="0" w:lastRowLastColumn="0"/>
          <w:trHeight w:val="297"/>
          <w:tblHeader/>
        </w:trPr>
        <w:tc>
          <w:tcPr>
            <w:tcW w:w="0" w:type="auto"/>
            <w:noWrap/>
          </w:tcPr>
          <w:p w14:paraId="30003165" w14:textId="77777777" w:rsidR="00474B2A" w:rsidRPr="00E06E8A" w:rsidRDefault="00474B2A">
            <w:pPr>
              <w:spacing w:line="240" w:lineRule="auto"/>
              <w:jc w:val="left"/>
              <w:rPr>
                <w:rFonts w:ascii="Calibri" w:eastAsia="Times New Roman" w:hAnsi="Calibri" w:cs="Calibri"/>
                <w:szCs w:val="24"/>
                <w:lang w:eastAsia="en-GB"/>
              </w:rPr>
            </w:pPr>
            <w:r>
              <w:rPr>
                <w:rFonts w:ascii="Calibri" w:hAnsi="Calibri" w:cs="Calibri"/>
                <w:szCs w:val="24"/>
              </w:rPr>
              <w:t xml:space="preserve">Line </w:t>
            </w:r>
            <w:r w:rsidRPr="00E06E8A">
              <w:rPr>
                <w:rFonts w:ascii="Calibri" w:hAnsi="Calibri" w:cs="Calibri"/>
                <w:szCs w:val="24"/>
              </w:rPr>
              <w:t>Reference</w:t>
            </w:r>
          </w:p>
        </w:tc>
        <w:tc>
          <w:tcPr>
            <w:tcW w:w="0" w:type="dxa"/>
          </w:tcPr>
          <w:p w14:paraId="1273AA23" w14:textId="77777777" w:rsidR="00474B2A" w:rsidRPr="00E06E8A" w:rsidRDefault="00474B2A">
            <w:pPr>
              <w:spacing w:line="240" w:lineRule="auto"/>
              <w:jc w:val="left"/>
              <w:rPr>
                <w:rFonts w:ascii="Calibri" w:eastAsia="Times New Roman" w:hAnsi="Calibri" w:cs="Calibri"/>
                <w:szCs w:val="24"/>
                <w:lang w:eastAsia="en-GB"/>
              </w:rPr>
            </w:pPr>
            <w:r>
              <w:rPr>
                <w:rFonts w:ascii="Calibri" w:hAnsi="Calibri" w:cs="Calibri"/>
                <w:szCs w:val="24"/>
              </w:rPr>
              <w:t>Block</w:t>
            </w:r>
            <w:r w:rsidRPr="00E06E8A">
              <w:rPr>
                <w:rFonts w:ascii="Calibri" w:hAnsi="Calibri" w:cs="Calibri"/>
                <w:szCs w:val="24"/>
              </w:rPr>
              <w:t xml:space="preserve"> Title</w:t>
            </w:r>
          </w:p>
        </w:tc>
        <w:tc>
          <w:tcPr>
            <w:tcW w:w="0" w:type="dxa"/>
          </w:tcPr>
          <w:p w14:paraId="7A52CE43" w14:textId="77777777" w:rsidR="00474B2A" w:rsidRPr="00E06E8A" w:rsidRDefault="00474B2A">
            <w:pPr>
              <w:spacing w:after="60" w:line="240" w:lineRule="auto"/>
              <w:jc w:val="left"/>
              <w:rPr>
                <w:rFonts w:ascii="Calibri" w:eastAsia="Times New Roman" w:hAnsi="Calibri" w:cs="Calibri"/>
                <w:szCs w:val="24"/>
                <w:lang w:eastAsia="en-GB"/>
              </w:rPr>
            </w:pPr>
            <w:r w:rsidRPr="00E06E8A">
              <w:rPr>
                <w:rFonts w:ascii="Calibri" w:hAnsi="Calibri" w:cs="Calibri"/>
                <w:szCs w:val="24"/>
              </w:rPr>
              <w:t>Description</w:t>
            </w:r>
          </w:p>
        </w:tc>
        <w:tc>
          <w:tcPr>
            <w:tcW w:w="0" w:type="auto"/>
          </w:tcPr>
          <w:p w14:paraId="55BFE077" w14:textId="77777777" w:rsidR="00474B2A" w:rsidRPr="00E06E8A" w:rsidRDefault="00474B2A">
            <w:pPr>
              <w:spacing w:line="240" w:lineRule="auto"/>
              <w:jc w:val="left"/>
              <w:rPr>
                <w:rFonts w:ascii="Calibri" w:hAnsi="Calibri" w:cs="Calibri"/>
                <w:szCs w:val="24"/>
              </w:rPr>
            </w:pPr>
            <w:r w:rsidRPr="00E06E8A">
              <w:rPr>
                <w:rFonts w:ascii="Calibri" w:hAnsi="Calibri" w:cs="Calibri"/>
                <w:szCs w:val="24"/>
              </w:rPr>
              <w:t>Units</w:t>
            </w:r>
          </w:p>
        </w:tc>
      </w:tr>
      <w:tr w:rsidR="00474B2A" w:rsidRPr="00ED2FF9" w14:paraId="73EFAB7A" w14:textId="77777777">
        <w:trPr>
          <w:trHeight w:val="297"/>
        </w:trPr>
        <w:tc>
          <w:tcPr>
            <w:tcW w:w="0" w:type="auto"/>
            <w:noWrap/>
          </w:tcPr>
          <w:p w14:paraId="22B6CEDD" w14:textId="60B5D2BE"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4.34 to 4.40</w:t>
            </w:r>
          </w:p>
        </w:tc>
        <w:tc>
          <w:tcPr>
            <w:tcW w:w="4547" w:type="dxa"/>
          </w:tcPr>
          <w:p w14:paraId="5A2AB9E4" w14:textId="1385E729" w:rsidR="00474B2A" w:rsidRPr="00E06E8A" w:rsidRDefault="00474B2A">
            <w:pPr>
              <w:spacing w:line="240" w:lineRule="auto"/>
              <w:jc w:val="left"/>
              <w:rPr>
                <w:rFonts w:ascii="Calibri" w:eastAsia="Times New Roman" w:hAnsi="Calibri" w:cs="Calibri"/>
                <w:szCs w:val="24"/>
                <w:lang w:eastAsia="en-GB"/>
              </w:rPr>
            </w:pPr>
            <w:r w:rsidRPr="00542AB5">
              <w:rPr>
                <w:rFonts w:ascii="Calibri" w:eastAsia="Times New Roman" w:hAnsi="Calibri" w:cs="Calibri"/>
                <w:szCs w:val="24"/>
                <w:lang w:eastAsia="en-GB"/>
              </w:rPr>
              <w:t xml:space="preserve">Block </w:t>
            </w:r>
            <w:r w:rsidR="004F3CDD" w:rsidRPr="004F3CDD">
              <w:rPr>
                <w:rFonts w:ascii="Calibri" w:eastAsia="Times New Roman" w:hAnsi="Calibri" w:cs="Calibri"/>
                <w:szCs w:val="24"/>
                <w:lang w:eastAsia="en-GB"/>
              </w:rPr>
              <w:t>F</w:t>
            </w:r>
            <w:r w:rsidRPr="00542AB5">
              <w:rPr>
                <w:rFonts w:ascii="Calibri" w:eastAsia="Times New Roman" w:hAnsi="Calibri" w:cs="Calibri"/>
                <w:szCs w:val="24"/>
                <w:lang w:eastAsia="en-GB"/>
              </w:rPr>
              <w:t xml:space="preserve">: Length of </w:t>
            </w:r>
            <w:r w:rsidR="004F3CDD" w:rsidRPr="004F3CDD">
              <w:rPr>
                <w:rFonts w:ascii="Calibri" w:eastAsia="Times New Roman" w:hAnsi="Calibri" w:cs="Calibri"/>
                <w:szCs w:val="24"/>
                <w:lang w:eastAsia="en-GB"/>
              </w:rPr>
              <w:t>Wastewater Sewers</w:t>
            </w:r>
            <w:r w:rsidRPr="00542AB5">
              <w:rPr>
                <w:rFonts w:ascii="Calibri" w:eastAsia="Times New Roman" w:hAnsi="Calibri" w:cs="Calibri"/>
                <w:szCs w:val="24"/>
                <w:lang w:eastAsia="en-GB"/>
              </w:rPr>
              <w:t xml:space="preserve"> (km) by Condition Grade as at 31 March 2025</w:t>
            </w:r>
          </w:p>
        </w:tc>
        <w:tc>
          <w:tcPr>
            <w:tcW w:w="7593" w:type="dxa"/>
          </w:tcPr>
          <w:p w14:paraId="342A5637" w14:textId="155576EC"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4F3CDD">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r w:rsidRPr="00270540">
              <w:rPr>
                <w:rFonts w:asciiTheme="minorHAnsi" w:hAnsiTheme="minorHAnsi" w:cstheme="minorHAnsi"/>
              </w:rPr>
              <w:t xml:space="preserve">a baseline as at 31 March </w:t>
            </w:r>
            <w:r w:rsidRPr="00987B12">
              <w:rPr>
                <w:rFonts w:asciiTheme="minorHAnsi" w:hAnsiTheme="minorHAnsi" w:cstheme="minorHAnsi"/>
              </w:rPr>
              <w:t>2025</w:t>
            </w:r>
            <w:r w:rsidRPr="00270540">
              <w:rPr>
                <w:rFonts w:asciiTheme="minorHAnsi" w:hAnsiTheme="minorHAnsi" w:cstheme="minorHAnsi"/>
              </w:rPr>
              <w:t xml:space="preserve">. </w:t>
            </w:r>
          </w:p>
        </w:tc>
        <w:tc>
          <w:tcPr>
            <w:tcW w:w="0" w:type="auto"/>
          </w:tcPr>
          <w:p w14:paraId="573A5585" w14:textId="77777777" w:rsidR="00474B2A" w:rsidRPr="00E06E8A" w:rsidRDefault="00474B2A">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k</w:t>
            </w:r>
            <w:r w:rsidRPr="00E06E8A">
              <w:rPr>
                <w:rFonts w:ascii="Calibri" w:eastAsia="Times New Roman" w:hAnsi="Calibri" w:cs="Calibri"/>
                <w:szCs w:val="24"/>
                <w:lang w:eastAsia="en-GB"/>
              </w:rPr>
              <w:t>m</w:t>
            </w:r>
          </w:p>
        </w:tc>
      </w:tr>
      <w:tr w:rsidR="00474B2A" w:rsidRPr="00ED2FF9" w14:paraId="1B535957" w14:textId="77777777">
        <w:trPr>
          <w:trHeight w:val="297"/>
        </w:trPr>
        <w:tc>
          <w:tcPr>
            <w:tcW w:w="0" w:type="auto"/>
            <w:noWrap/>
          </w:tcPr>
          <w:p w14:paraId="4C925132" w14:textId="0F2CF7AC"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lastRenderedPageBreak/>
              <w:t>4.41 to 4.47</w:t>
            </w:r>
          </w:p>
        </w:tc>
        <w:tc>
          <w:tcPr>
            <w:tcW w:w="4547" w:type="dxa"/>
          </w:tcPr>
          <w:p w14:paraId="2441B7F8" w14:textId="0424EA8A"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Block G: Length of Wastewater Sewers (km) by Condition Grade as at 31 March 2033 (No Investment, Asset Deterioration Case Only)</w:t>
            </w:r>
          </w:p>
        </w:tc>
        <w:tc>
          <w:tcPr>
            <w:tcW w:w="7593" w:type="dxa"/>
          </w:tcPr>
          <w:p w14:paraId="083B5F8B" w14:textId="1E56D8A5"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4F3CDD">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r w:rsidRPr="00270540">
              <w:rPr>
                <w:rFonts w:asciiTheme="minorHAnsi" w:hAnsiTheme="minorHAnsi" w:cstheme="minorHAnsi"/>
              </w:rPr>
              <w:t xml:space="preserve">at 31 March </w:t>
            </w:r>
            <w:r w:rsidRPr="00987B12">
              <w:rPr>
                <w:rFonts w:asciiTheme="minorHAnsi" w:hAnsiTheme="minorHAnsi" w:cstheme="minorHAnsi"/>
              </w:rPr>
              <w:t>20</w:t>
            </w:r>
            <w:r>
              <w:rPr>
                <w:rFonts w:asciiTheme="minorHAnsi" w:hAnsiTheme="minorHAnsi" w:cstheme="minorHAnsi"/>
              </w:rPr>
              <w:t xml:space="preserve">33 assuming no investment takes place between </w:t>
            </w:r>
            <w:r w:rsidRPr="00270540">
              <w:rPr>
                <w:rFonts w:asciiTheme="minorHAnsi" w:hAnsiTheme="minorHAnsi" w:cstheme="minorHAnsi"/>
              </w:rPr>
              <w:t xml:space="preserve">31 March </w:t>
            </w:r>
            <w:r>
              <w:rPr>
                <w:rFonts w:asciiTheme="minorHAnsi" w:hAnsiTheme="minorHAnsi" w:cstheme="minorHAnsi"/>
              </w:rPr>
              <w:t xml:space="preserve">2025 and </w:t>
            </w:r>
            <w:r w:rsidRPr="00270540">
              <w:rPr>
                <w:rFonts w:asciiTheme="minorHAnsi" w:hAnsiTheme="minorHAnsi" w:cstheme="minorHAnsi"/>
              </w:rPr>
              <w:t xml:space="preserve">31 March </w:t>
            </w:r>
            <w:r>
              <w:rPr>
                <w:rFonts w:asciiTheme="minorHAnsi" w:hAnsiTheme="minorHAnsi" w:cstheme="minorHAnsi"/>
              </w:rPr>
              <w:t>2033. In other words, this data should represent the asset condition as affected only by asset deterioration.</w:t>
            </w:r>
          </w:p>
        </w:tc>
        <w:tc>
          <w:tcPr>
            <w:tcW w:w="0" w:type="auto"/>
          </w:tcPr>
          <w:p w14:paraId="68CCFEAE" w14:textId="77777777" w:rsidR="00474B2A" w:rsidRPr="00E06E8A" w:rsidRDefault="00474B2A">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N</w:t>
            </w:r>
            <w:r>
              <w:rPr>
                <w:rFonts w:ascii="Calibri" w:eastAsia="Times New Roman" w:hAnsi="Calibri" w:cs="Calibri"/>
                <w:szCs w:val="24"/>
                <w:lang w:eastAsia="en-GB"/>
              </w:rPr>
              <w:t>umber</w:t>
            </w:r>
          </w:p>
        </w:tc>
      </w:tr>
      <w:tr w:rsidR="00474B2A" w:rsidRPr="00ED2FF9" w14:paraId="46D5513B" w14:textId="77777777">
        <w:trPr>
          <w:trHeight w:val="297"/>
        </w:trPr>
        <w:tc>
          <w:tcPr>
            <w:tcW w:w="0" w:type="auto"/>
            <w:noWrap/>
          </w:tcPr>
          <w:p w14:paraId="6797294F" w14:textId="156E212F"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4.48 to 4.54</w:t>
            </w:r>
          </w:p>
        </w:tc>
        <w:tc>
          <w:tcPr>
            <w:tcW w:w="4547" w:type="dxa"/>
          </w:tcPr>
          <w:p w14:paraId="2D189936" w14:textId="1F83EC1D"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Block H: Length of Wastewater Sewers (km) by Condition Grade as at 31 March 2033 (Proposed Investment Case)</w:t>
            </w:r>
          </w:p>
        </w:tc>
        <w:tc>
          <w:tcPr>
            <w:tcW w:w="7593" w:type="dxa"/>
          </w:tcPr>
          <w:p w14:paraId="23BA7A78" w14:textId="5850963C"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r w:rsidRPr="00270540">
              <w:rPr>
                <w:rFonts w:asciiTheme="minorHAnsi" w:hAnsiTheme="minorHAnsi" w:cstheme="minorHAnsi"/>
              </w:rPr>
              <w:t xml:space="preserve">at 31 March </w:t>
            </w:r>
            <w:r w:rsidRPr="00987B12">
              <w:rPr>
                <w:rFonts w:asciiTheme="minorHAnsi" w:hAnsiTheme="minorHAnsi" w:cstheme="minorHAnsi"/>
              </w:rPr>
              <w:t>20</w:t>
            </w:r>
            <w:r>
              <w:rPr>
                <w:rFonts w:asciiTheme="minorHAnsi" w:hAnsiTheme="minorHAnsi" w:cstheme="minorHAnsi"/>
              </w:rPr>
              <w:t>33 assuming that Scottish Water delivers the proposed investment in SRC27</w:t>
            </w:r>
            <w:r w:rsidR="00670FE3">
              <w:rPr>
                <w:rFonts w:asciiTheme="minorHAnsi" w:hAnsiTheme="minorHAnsi" w:cstheme="minorHAnsi"/>
              </w:rPr>
              <w:t xml:space="preserve"> under (Reference) Scenario A</w:t>
            </w:r>
            <w:r>
              <w:rPr>
                <w:rFonts w:asciiTheme="minorHAnsi" w:hAnsiTheme="minorHAnsi" w:cstheme="minorHAnsi"/>
              </w:rPr>
              <w:t xml:space="preserve">.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43F91CDE" w14:textId="77777777" w:rsidR="00474B2A" w:rsidRPr="00E06E8A" w:rsidRDefault="00474B2A">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Number</w:t>
            </w:r>
          </w:p>
        </w:tc>
      </w:tr>
      <w:tr w:rsidR="00474B2A" w:rsidRPr="00ED2FF9" w14:paraId="6728787E" w14:textId="77777777">
        <w:trPr>
          <w:trHeight w:val="297"/>
        </w:trPr>
        <w:tc>
          <w:tcPr>
            <w:tcW w:w="0" w:type="auto"/>
            <w:noWrap/>
          </w:tcPr>
          <w:p w14:paraId="009A2372" w14:textId="48192C0A" w:rsidR="00474B2A" w:rsidRPr="00E06E8A" w:rsidRDefault="00B13E78">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4.55 to 4.60</w:t>
            </w:r>
          </w:p>
        </w:tc>
        <w:tc>
          <w:tcPr>
            <w:tcW w:w="4547" w:type="dxa"/>
          </w:tcPr>
          <w:p w14:paraId="344E8C2E" w14:textId="5F2F71FD"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Block I: Length of Wastewater Sewers (km) by Equipment Health Index Band as at 31 March 2025</w:t>
            </w:r>
          </w:p>
        </w:tc>
        <w:tc>
          <w:tcPr>
            <w:tcW w:w="7593" w:type="dxa"/>
          </w:tcPr>
          <w:p w14:paraId="44648A4B" w14:textId="7EA380E2" w:rsidR="00474B2A" w:rsidRPr="00E06E8A" w:rsidRDefault="00474B2A">
            <w:pPr>
              <w:pStyle w:val="BodyText"/>
              <w:spacing w:before="0" w:after="60"/>
              <w:rPr>
                <w:rFonts w:ascii="Calibri" w:eastAsia="Times New Roman" w:hAnsi="Calibri" w:cs="Calibri"/>
                <w:lang w:eastAsia="en-GB"/>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Equipment Health Index (EHI) band (as defined in the table </w:t>
            </w:r>
            <w:r w:rsidR="00E11FE0">
              <w:rPr>
                <w:rFonts w:asciiTheme="minorHAnsi" w:hAnsiTheme="minorHAnsi" w:cstheme="minorHAnsi"/>
              </w:rPr>
              <w:t>above</w:t>
            </w:r>
            <w:r>
              <w:rPr>
                <w:rFonts w:asciiTheme="minorHAnsi" w:hAnsiTheme="minorHAnsi" w:cstheme="minorHAnsi"/>
              </w:rPr>
              <w:t xml:space="preserve">) as </w:t>
            </w:r>
            <w:r w:rsidRPr="00270540">
              <w:rPr>
                <w:rFonts w:asciiTheme="minorHAnsi" w:hAnsiTheme="minorHAnsi" w:cstheme="minorHAnsi"/>
              </w:rPr>
              <w:t xml:space="preserve">a baseline as at 31 March </w:t>
            </w:r>
            <w:r w:rsidRPr="00987B12">
              <w:rPr>
                <w:rFonts w:asciiTheme="minorHAnsi" w:hAnsiTheme="minorHAnsi" w:cstheme="minorHAnsi"/>
              </w:rPr>
              <w:t>2025</w:t>
            </w:r>
            <w:r w:rsidRPr="00270540">
              <w:rPr>
                <w:rFonts w:asciiTheme="minorHAnsi" w:hAnsiTheme="minorHAnsi" w:cstheme="minorHAnsi"/>
              </w:rPr>
              <w:t>.</w:t>
            </w:r>
          </w:p>
        </w:tc>
        <w:tc>
          <w:tcPr>
            <w:tcW w:w="0" w:type="auto"/>
          </w:tcPr>
          <w:p w14:paraId="601A2C75" w14:textId="77777777" w:rsidR="00474B2A" w:rsidRPr="00E06E8A" w:rsidRDefault="00474B2A">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km</w:t>
            </w:r>
          </w:p>
        </w:tc>
      </w:tr>
      <w:tr w:rsidR="00474B2A" w:rsidRPr="00ED2FF9" w14:paraId="2E3D22D3" w14:textId="77777777">
        <w:trPr>
          <w:trHeight w:val="297"/>
        </w:trPr>
        <w:tc>
          <w:tcPr>
            <w:tcW w:w="0" w:type="auto"/>
            <w:noWrap/>
          </w:tcPr>
          <w:p w14:paraId="16A35A82" w14:textId="2C27DB80" w:rsidR="00474B2A" w:rsidRDefault="00B13E78">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4.61 to 4.66</w:t>
            </w:r>
          </w:p>
        </w:tc>
        <w:tc>
          <w:tcPr>
            <w:tcW w:w="4547" w:type="dxa"/>
          </w:tcPr>
          <w:p w14:paraId="13D3F3D0" w14:textId="68BFCFC8" w:rsidR="00474B2A" w:rsidRPr="0002455D" w:rsidRDefault="00122117">
            <w:pPr>
              <w:spacing w:line="240" w:lineRule="auto"/>
              <w:jc w:val="left"/>
              <w:rPr>
                <w:rFonts w:ascii="Calibri" w:eastAsia="Times New Roman" w:hAnsi="Calibri" w:cs="Calibri"/>
                <w:szCs w:val="24"/>
                <w:lang w:eastAsia="en-GB"/>
              </w:rPr>
            </w:pPr>
            <w:r w:rsidRPr="00122117">
              <w:rPr>
                <w:rFonts w:ascii="Calibri" w:eastAsia="Times New Roman" w:hAnsi="Calibri" w:cs="Calibri"/>
                <w:szCs w:val="24"/>
                <w:lang w:eastAsia="en-GB"/>
              </w:rPr>
              <w:t>Block J: Length of Wastewater Sewers (km) by Equipment Health Index Band as at 31 March 2033 (Proposed Investment Case)</w:t>
            </w:r>
          </w:p>
        </w:tc>
        <w:tc>
          <w:tcPr>
            <w:tcW w:w="7593" w:type="dxa"/>
          </w:tcPr>
          <w:p w14:paraId="453D2A16" w14:textId="0F7A9A70"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Equipment Health Index (EHI) band (as defined in the table </w:t>
            </w:r>
            <w:r w:rsidR="00E11FE0">
              <w:rPr>
                <w:rFonts w:asciiTheme="minorHAnsi" w:hAnsiTheme="minorHAnsi" w:cstheme="minorHAnsi"/>
              </w:rPr>
              <w:t>above</w:t>
            </w:r>
            <w:r>
              <w:rPr>
                <w:rFonts w:asciiTheme="minorHAnsi" w:hAnsiTheme="minorHAnsi" w:cstheme="minorHAnsi"/>
              </w:rPr>
              <w:t xml:space="preserve">) as </w:t>
            </w:r>
            <w:r w:rsidRPr="00270540">
              <w:rPr>
                <w:rFonts w:asciiTheme="minorHAnsi" w:hAnsiTheme="minorHAnsi" w:cstheme="minorHAnsi"/>
              </w:rPr>
              <w:t xml:space="preserve">at 31 March </w:t>
            </w:r>
            <w:r w:rsidRPr="00987B12">
              <w:rPr>
                <w:rFonts w:asciiTheme="minorHAnsi" w:hAnsiTheme="minorHAnsi" w:cstheme="minorHAnsi"/>
              </w:rPr>
              <w:t>20</w:t>
            </w:r>
            <w:r>
              <w:rPr>
                <w:rFonts w:asciiTheme="minorHAnsi" w:hAnsiTheme="minorHAnsi" w:cstheme="minorHAnsi"/>
              </w:rPr>
              <w:t>33 assuming that Scottish Water delivers the proposed investment in SRC27</w:t>
            </w:r>
            <w:r w:rsidR="00670FE3">
              <w:rPr>
                <w:rFonts w:asciiTheme="minorHAnsi" w:hAnsiTheme="minorHAnsi" w:cstheme="minorHAnsi"/>
              </w:rPr>
              <w:t xml:space="preserve"> under (Reference) Scenario A</w:t>
            </w:r>
            <w:r>
              <w:rPr>
                <w:rFonts w:asciiTheme="minorHAnsi" w:hAnsiTheme="minorHAnsi" w:cstheme="minorHAnsi"/>
              </w:rPr>
              <w:t xml:space="preserve">.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56845852" w14:textId="77777777" w:rsidR="00474B2A" w:rsidRPr="00E06E8A" w:rsidRDefault="00474B2A">
            <w:pPr>
              <w:spacing w:line="240" w:lineRule="auto"/>
              <w:jc w:val="left"/>
              <w:rPr>
                <w:rFonts w:ascii="Calibri" w:eastAsia="Times New Roman" w:hAnsi="Calibri" w:cs="Calibri"/>
                <w:szCs w:val="24"/>
                <w:lang w:eastAsia="en-GB"/>
              </w:rPr>
            </w:pPr>
          </w:p>
        </w:tc>
      </w:tr>
    </w:tbl>
    <w:p w14:paraId="1A0C2C9C" w14:textId="2B9E2288" w:rsidR="006321B5" w:rsidRDefault="006321B5">
      <w:pPr>
        <w:spacing w:after="160" w:line="259" w:lineRule="auto"/>
        <w:jc w:val="left"/>
        <w:rPr>
          <w:b/>
          <w:caps/>
          <w:color w:val="064276" w:themeColor="accent1"/>
        </w:rPr>
      </w:pPr>
    </w:p>
    <w:p w14:paraId="39A31105" w14:textId="33D72BC5" w:rsidR="009D0D6F" w:rsidRPr="00C53FBA" w:rsidRDefault="009238F4" w:rsidP="00C568A8">
      <w:pPr>
        <w:pStyle w:val="SMALLHEADINGALLCAPS"/>
      </w:pPr>
      <w:r w:rsidRPr="00C53FBA">
        <w:t>Sewer Condition Grading</w:t>
      </w:r>
    </w:p>
    <w:p w14:paraId="2021AF8B" w14:textId="1C0B555A" w:rsidR="008B5170" w:rsidRDefault="008B5170" w:rsidP="009D0D6F">
      <w:r w:rsidRPr="005F4274">
        <w:rPr>
          <w:rFonts w:cstheme="minorHAnsi"/>
        </w:rPr>
        <w:t xml:space="preserve">Baseline data as at 31 March 2025 should be based on the average of the annual number of bursts from 1 April 2021 to 31 March 2025. Forecast data as at 31 March 2033 should be based on the average of the annual number of </w:t>
      </w:r>
      <w:r w:rsidR="00F07A5B">
        <w:rPr>
          <w:rFonts w:cstheme="minorHAnsi"/>
        </w:rPr>
        <w:t>collapses</w:t>
      </w:r>
      <w:r w:rsidRPr="005F4274">
        <w:rPr>
          <w:rFonts w:cstheme="minorHAnsi"/>
        </w:rPr>
        <w:t xml:space="preserve"> from 1 April 2029 to 31 March 2033.</w:t>
      </w:r>
    </w:p>
    <w:p w14:paraId="39569404" w14:textId="77777777" w:rsidR="001751F3" w:rsidRDefault="001751F3" w:rsidP="009D0D6F"/>
    <w:tbl>
      <w:tblPr>
        <w:tblStyle w:val="Blueline"/>
        <w:tblW w:w="0" w:type="auto"/>
        <w:tblLook w:val="04A0" w:firstRow="1" w:lastRow="0" w:firstColumn="1" w:lastColumn="0" w:noHBand="0" w:noVBand="1"/>
      </w:tblPr>
      <w:tblGrid>
        <w:gridCol w:w="823"/>
        <w:gridCol w:w="13747"/>
      </w:tblGrid>
      <w:tr w:rsidR="009D0D6F" w:rsidRPr="000D6540" w14:paraId="7F7F6BED" w14:textId="77777777" w:rsidTr="00954233">
        <w:trPr>
          <w:cnfStyle w:val="100000000000" w:firstRow="1" w:lastRow="0" w:firstColumn="0" w:lastColumn="0" w:oddVBand="0" w:evenVBand="0" w:oddHBand="0" w:evenHBand="0" w:firstRowFirstColumn="0" w:firstRowLastColumn="0" w:lastRowFirstColumn="0" w:lastRowLastColumn="0"/>
          <w:trHeight w:val="274"/>
          <w:tblHeader/>
        </w:trPr>
        <w:tc>
          <w:tcPr>
            <w:tcW w:w="0" w:type="auto"/>
            <w:hideMark/>
          </w:tcPr>
          <w:p w14:paraId="3FD0B56C" w14:textId="77777777" w:rsidR="009D0D6F" w:rsidRPr="000D6540" w:rsidRDefault="009D0D6F" w:rsidP="000D6540">
            <w:pPr>
              <w:spacing w:line="240" w:lineRule="auto"/>
              <w:jc w:val="left"/>
              <w:rPr>
                <w:rFonts w:asciiTheme="minorHAnsi" w:hAnsiTheme="minorHAnsi" w:cstheme="minorHAnsi"/>
                <w:szCs w:val="24"/>
              </w:rPr>
            </w:pPr>
            <w:r w:rsidRPr="000D6540">
              <w:rPr>
                <w:rFonts w:asciiTheme="minorHAnsi" w:hAnsiTheme="minorHAnsi" w:cstheme="minorHAnsi"/>
                <w:szCs w:val="24"/>
              </w:rPr>
              <w:t>Grade</w:t>
            </w:r>
          </w:p>
        </w:tc>
        <w:tc>
          <w:tcPr>
            <w:tcW w:w="0" w:type="auto"/>
            <w:hideMark/>
          </w:tcPr>
          <w:p w14:paraId="44CCCA73" w14:textId="77777777" w:rsidR="009D0D6F" w:rsidRPr="000D6540" w:rsidRDefault="009D0D6F" w:rsidP="000D6540">
            <w:pPr>
              <w:spacing w:line="240" w:lineRule="auto"/>
              <w:jc w:val="left"/>
              <w:rPr>
                <w:rFonts w:asciiTheme="minorHAnsi" w:hAnsiTheme="minorHAnsi" w:cstheme="minorHAnsi"/>
                <w:szCs w:val="24"/>
              </w:rPr>
            </w:pPr>
            <w:r w:rsidRPr="000D6540">
              <w:rPr>
                <w:rFonts w:asciiTheme="minorHAnsi" w:hAnsiTheme="minorHAnsi" w:cstheme="minorHAnsi"/>
                <w:szCs w:val="24"/>
              </w:rPr>
              <w:t>Description</w:t>
            </w:r>
          </w:p>
        </w:tc>
      </w:tr>
      <w:tr w:rsidR="009D0D6F" w:rsidRPr="003028A6" w14:paraId="65DCE1CB" w14:textId="77777777" w:rsidTr="000D6540">
        <w:trPr>
          <w:trHeight w:val="666"/>
        </w:trPr>
        <w:tc>
          <w:tcPr>
            <w:tcW w:w="0" w:type="auto"/>
            <w:hideMark/>
          </w:tcPr>
          <w:p w14:paraId="565C4E3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tcPr>
          <w:p w14:paraId="7F17EC02" w14:textId="77777777" w:rsidR="00DF4041" w:rsidRPr="00874485" w:rsidRDefault="00DF4041">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Excellent </w:t>
            </w:r>
          </w:p>
          <w:p w14:paraId="2E329723" w14:textId="1CFA80BC" w:rsidR="009D0D6F" w:rsidRPr="00874485" w:rsidRDefault="00DF4041">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up to 12/1000km/annum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w:t>
            </w:r>
            <w:r w:rsidR="00874485" w:rsidRPr="00874485">
              <w:rPr>
                <w:rFonts w:ascii="Calibri" w:eastAsia="Times New Roman" w:hAnsi="Calibri" w:cs="Calibri"/>
                <w:szCs w:val="24"/>
                <w:lang w:eastAsia="en-GB"/>
              </w:rPr>
              <w:t>20</w:t>
            </w:r>
            <w:r w:rsidRPr="00874485">
              <w:rPr>
                <w:rFonts w:ascii="Calibri" w:eastAsia="Times New Roman" w:hAnsi="Calibri" w:cs="Calibri"/>
                <w:szCs w:val="24"/>
                <w:lang w:eastAsia="en-GB"/>
              </w:rPr>
              <w:t xml:space="preserve">km or more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w:t>
            </w:r>
            <w:r w:rsidR="003906AD" w:rsidRPr="00874485">
              <w:rPr>
                <w:rFonts w:ascii="Calibri" w:eastAsia="Times New Roman" w:hAnsi="Calibri" w:cs="Calibri"/>
                <w:szCs w:val="24"/>
                <w:lang w:eastAsia="en-GB"/>
              </w:rPr>
              <w:t xml:space="preserve"> period)</w:t>
            </w:r>
          </w:p>
        </w:tc>
      </w:tr>
      <w:tr w:rsidR="009D0D6F" w:rsidRPr="003028A6" w14:paraId="4A28AD51" w14:textId="77777777" w:rsidTr="000D6540">
        <w:trPr>
          <w:trHeight w:val="898"/>
        </w:trPr>
        <w:tc>
          <w:tcPr>
            <w:tcW w:w="0" w:type="auto"/>
            <w:hideMark/>
          </w:tcPr>
          <w:p w14:paraId="65CF1EE8"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tcPr>
          <w:p w14:paraId="76478C00"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Good </w:t>
            </w:r>
          </w:p>
          <w:p w14:paraId="55E19547" w14:textId="45A5FCD7"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12 up to 25 burst/1000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20</w:t>
            </w:r>
            <w:r w:rsidRPr="00874485">
              <w:rPr>
                <w:rFonts w:ascii="Calibri" w:eastAsia="Times New Roman" w:hAnsi="Calibri" w:cs="Calibri"/>
                <w:szCs w:val="24"/>
                <w:lang w:eastAsia="en-GB"/>
              </w:rPr>
              <w:t xml:space="preserve">km metres down to </w:t>
            </w:r>
            <w:r w:rsidR="00874485" w:rsidRPr="00874485">
              <w:rPr>
                <w:rFonts w:ascii="Calibri" w:eastAsia="Times New Roman" w:hAnsi="Calibri" w:cs="Calibri"/>
                <w:szCs w:val="24"/>
                <w:lang w:eastAsia="en-GB"/>
              </w:rPr>
              <w:t>10</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year period). </w:t>
            </w:r>
          </w:p>
        </w:tc>
      </w:tr>
      <w:tr w:rsidR="009D0D6F" w:rsidRPr="003028A6" w14:paraId="62DA4C81" w14:textId="77777777" w:rsidTr="000D6540">
        <w:trPr>
          <w:trHeight w:val="898"/>
        </w:trPr>
        <w:tc>
          <w:tcPr>
            <w:tcW w:w="0" w:type="auto"/>
            <w:hideMark/>
          </w:tcPr>
          <w:p w14:paraId="158DE52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tcPr>
          <w:p w14:paraId="675D2A04" w14:textId="77777777" w:rsidR="00FA4C09" w:rsidRPr="00874485" w:rsidRDefault="00FA4C09" w:rsidP="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Adequate </w:t>
            </w:r>
          </w:p>
          <w:p w14:paraId="7F9DC6A3" w14:textId="7F4A9E1D"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25 up to 50 collapses/1000km/annum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10</w:t>
            </w:r>
            <w:r w:rsidRPr="00874485">
              <w:rPr>
                <w:rFonts w:ascii="Calibri" w:eastAsia="Times New Roman" w:hAnsi="Calibri" w:cs="Calibri"/>
                <w:szCs w:val="24"/>
                <w:lang w:eastAsia="en-GB"/>
              </w:rPr>
              <w:t xml:space="preserve">km down to </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year period). </w:t>
            </w:r>
          </w:p>
        </w:tc>
      </w:tr>
      <w:tr w:rsidR="009D0D6F" w:rsidRPr="003028A6" w14:paraId="28BB447E" w14:textId="77777777" w:rsidTr="000D6540">
        <w:trPr>
          <w:trHeight w:val="898"/>
        </w:trPr>
        <w:tc>
          <w:tcPr>
            <w:tcW w:w="0" w:type="auto"/>
            <w:hideMark/>
          </w:tcPr>
          <w:p w14:paraId="6BB5E347"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tcPr>
          <w:p w14:paraId="3BB0D9D9"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Poor </w:t>
            </w:r>
          </w:p>
          <w:p w14:paraId="3BDD02A5" w14:textId="3FDC856F"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50 up to 100/1000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km down to 2</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9D0D6F" w:rsidRPr="003028A6" w14:paraId="597B275D" w14:textId="77777777" w:rsidTr="000D6540">
        <w:trPr>
          <w:trHeight w:val="666"/>
        </w:trPr>
        <w:tc>
          <w:tcPr>
            <w:tcW w:w="0" w:type="auto"/>
            <w:hideMark/>
          </w:tcPr>
          <w:p w14:paraId="333F535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5</w:t>
            </w:r>
          </w:p>
        </w:tc>
        <w:tc>
          <w:tcPr>
            <w:tcW w:w="0" w:type="auto"/>
          </w:tcPr>
          <w:p w14:paraId="5989DE8A"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Very Poor </w:t>
            </w:r>
          </w:p>
          <w:p w14:paraId="1F6DFC77" w14:textId="0081219A"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100/1000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2</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bl>
    <w:p w14:paraId="101018F3" w14:textId="77777777" w:rsidR="008148E6" w:rsidRDefault="008148E6">
      <w:pPr>
        <w:spacing w:after="160" w:line="259" w:lineRule="auto"/>
        <w:jc w:val="left"/>
      </w:pPr>
    </w:p>
    <w:p w14:paraId="5E5AB3F3" w14:textId="57DC5290" w:rsidR="008148E6" w:rsidRPr="00670FE1" w:rsidRDefault="008148E6" w:rsidP="00954233">
      <w:pPr>
        <w:sectPr w:rsidR="008148E6" w:rsidRPr="00670FE1" w:rsidSect="008148E6">
          <w:pgSz w:w="16838" w:h="11906" w:orient="landscape" w:code="9"/>
          <w:pgMar w:top="1134" w:right="1134" w:bottom="1134" w:left="1134" w:header="567" w:footer="567" w:gutter="0"/>
          <w:cols w:space="708"/>
          <w:docGrid w:linePitch="360"/>
        </w:sectPr>
      </w:pPr>
    </w:p>
    <w:p w14:paraId="4E4638F6" w14:textId="4641EA13" w:rsidR="00BC1B5F" w:rsidRPr="004F177B" w:rsidRDefault="00BC1B5F" w:rsidP="00954233">
      <w:pPr>
        <w:pStyle w:val="heading10"/>
        <w:outlineLvl w:val="0"/>
      </w:pPr>
      <w:bookmarkStart w:id="24" w:name="_Toc184736044"/>
      <w:r w:rsidRPr="004F177B">
        <w:lastRenderedPageBreak/>
        <w:t xml:space="preserve">SRC27 </w:t>
      </w:r>
      <w:r w:rsidR="00F14757">
        <w:t>p</w:t>
      </w:r>
      <w:r w:rsidR="00F14757" w:rsidRPr="004F177B">
        <w:t xml:space="preserve">rojects </w:t>
      </w:r>
      <w:r w:rsidRPr="004F177B">
        <w:t xml:space="preserve">and </w:t>
      </w:r>
      <w:r w:rsidR="00F14757">
        <w:t>p</w:t>
      </w:r>
      <w:r w:rsidR="00F14757" w:rsidRPr="004F177B">
        <w:t>rogrammes</w:t>
      </w:r>
      <w:bookmarkEnd w:id="24"/>
      <w:r w:rsidR="00F14757" w:rsidRPr="004F177B">
        <w:t xml:space="preserve"> </w:t>
      </w:r>
    </w:p>
    <w:p w14:paraId="02B79F55" w14:textId="2858B970" w:rsidR="00BC1B5F" w:rsidRDefault="00BC1B5F" w:rsidP="00BC1B5F">
      <w:pPr>
        <w:pStyle w:val="heading20"/>
        <w:ind w:left="788" w:hanging="431"/>
        <w:outlineLvl w:val="1"/>
      </w:pPr>
      <w:bookmarkStart w:id="25" w:name="_Toc184736045"/>
      <w:r>
        <w:t>Purpose</w:t>
      </w:r>
      <w:bookmarkEnd w:id="25"/>
    </w:p>
    <w:p w14:paraId="097AF9DA" w14:textId="77777777" w:rsidR="00BC1B5F" w:rsidRDefault="00BC1B5F" w:rsidP="00BC1B5F"/>
    <w:p w14:paraId="4C33179B" w14:textId="234CC494" w:rsidR="007F45F5" w:rsidRDefault="00556DD5" w:rsidP="00BC1B5F">
      <w:r w:rsidRPr="00556DD5">
        <w:t xml:space="preserve">The purpose of this table is to provide cost and benefit data on Scottish Water’s </w:t>
      </w:r>
      <w:r w:rsidR="007F45F5">
        <w:t>p</w:t>
      </w:r>
      <w:r w:rsidR="007F45F5" w:rsidRPr="006C1A07">
        <w:t>roject</w:t>
      </w:r>
      <w:r w:rsidR="007F45F5">
        <w:t>s and p</w:t>
      </w:r>
      <w:r w:rsidR="006C1A07" w:rsidRPr="006C1A07">
        <w:t>rogramme</w:t>
      </w:r>
      <w:r w:rsidR="006C1A07">
        <w:t>s</w:t>
      </w:r>
      <w:r w:rsidR="00E047FD">
        <w:t xml:space="preserve"> of work</w:t>
      </w:r>
      <w:r w:rsidRPr="00556DD5">
        <w:t xml:space="preserve"> over the SR</w:t>
      </w:r>
      <w:r w:rsidR="00035BBE">
        <w:t>C</w:t>
      </w:r>
      <w:r w:rsidRPr="00556DD5">
        <w:t xml:space="preserve">27 period. </w:t>
      </w:r>
      <w:r w:rsidR="009E450C">
        <w:t>This should form an evidence-based, forward-looking plan for investment projects</w:t>
      </w:r>
      <w:r w:rsidR="007F45F5">
        <w:t xml:space="preserve"> and </w:t>
      </w:r>
      <w:r w:rsidR="009E450C">
        <w:t xml:space="preserve">programmes and nature-based solutions. </w:t>
      </w:r>
      <w:r w:rsidRPr="00556DD5">
        <w:t xml:space="preserve">This data will provide a baseline for monitoring the delivery and outturn performance of these </w:t>
      </w:r>
      <w:r w:rsidR="007F45F5">
        <w:t>projects and programmes</w:t>
      </w:r>
      <w:r w:rsidR="00D90580">
        <w:t>,</w:t>
      </w:r>
      <w:r w:rsidRPr="00556DD5">
        <w:t xml:space="preserve"> which will ultimately benefit Scottish Water customers. </w:t>
      </w:r>
      <w:r w:rsidR="009D7BA4" w:rsidRPr="009D7BA4">
        <w:t>It will also inform the baseline that WICS will assess Scottish Water’s performance against over the SRC27 period (and that Scottish Water will report against), recognising that the investment programme will change as investment progresses through the Scottish Government Investment Group (SGIG) process.</w:t>
      </w:r>
    </w:p>
    <w:p w14:paraId="45AE6670" w14:textId="0952E54B" w:rsidR="00BC1B5F" w:rsidRDefault="00556DD5" w:rsidP="00BC1B5F">
      <w:r w:rsidRPr="00556DD5">
        <w:t xml:space="preserve"> </w:t>
      </w:r>
    </w:p>
    <w:p w14:paraId="770408E9" w14:textId="265E177B" w:rsidR="00BC1B5F" w:rsidRDefault="00BC1B5F" w:rsidP="00BC1B5F">
      <w:pPr>
        <w:pStyle w:val="heading20"/>
        <w:ind w:left="788" w:hanging="431"/>
        <w:outlineLvl w:val="1"/>
      </w:pPr>
      <w:bookmarkStart w:id="26" w:name="_Toc184736046"/>
      <w:r>
        <w:t>Guidance</w:t>
      </w:r>
      <w:bookmarkEnd w:id="26"/>
    </w:p>
    <w:p w14:paraId="70D6C0C9" w14:textId="77777777" w:rsidR="00BC1B5F" w:rsidRDefault="00BC1B5F" w:rsidP="00BC1B5F"/>
    <w:p w14:paraId="2925CD7A" w14:textId="522EBEEE" w:rsidR="00E047FD" w:rsidRDefault="00E047FD" w:rsidP="004F177B">
      <w:pPr>
        <w:pStyle w:val="SMALLHEADINGALLCAPS"/>
        <w:rPr>
          <w:highlight w:val="yellow"/>
        </w:rPr>
      </w:pPr>
      <w:r w:rsidRPr="004F177B">
        <w:t>Basis for reporting the proposed investment plan</w:t>
      </w:r>
    </w:p>
    <w:p w14:paraId="6D4A9FD2" w14:textId="3A45BA45" w:rsidR="009B4DCD" w:rsidRDefault="00410757" w:rsidP="00410757">
      <w:r w:rsidRPr="00B420CF">
        <w:rPr>
          <w:b/>
        </w:rPr>
        <w:t xml:space="preserve">In this table Scottish Water should report </w:t>
      </w:r>
      <w:r w:rsidR="00320A1B" w:rsidRPr="00B420CF">
        <w:rPr>
          <w:b/>
        </w:rPr>
        <w:t xml:space="preserve">the total value of the investment plan </w:t>
      </w:r>
      <w:r w:rsidR="00114941">
        <w:rPr>
          <w:b/>
        </w:rPr>
        <w:t>it</w:t>
      </w:r>
      <w:r w:rsidR="00114941" w:rsidRPr="00B420CF">
        <w:rPr>
          <w:b/>
        </w:rPr>
        <w:t xml:space="preserve"> </w:t>
      </w:r>
      <w:r w:rsidR="00320A1B" w:rsidRPr="00B420CF">
        <w:rPr>
          <w:b/>
        </w:rPr>
        <w:t>propose</w:t>
      </w:r>
      <w:r w:rsidR="00114941">
        <w:rPr>
          <w:b/>
        </w:rPr>
        <w:t>s</w:t>
      </w:r>
      <w:r w:rsidR="00006135" w:rsidRPr="00B420CF">
        <w:rPr>
          <w:b/>
        </w:rPr>
        <w:t xml:space="preserve"> to deliver in the SRC27 period</w:t>
      </w:r>
      <w:r w:rsidR="00320A1B">
        <w:t xml:space="preserve">. This should </w:t>
      </w:r>
      <w:r w:rsidR="002A5B33">
        <w:t xml:space="preserve">consist of </w:t>
      </w:r>
      <w:r w:rsidR="009B4DCD">
        <w:t>two types of line items:</w:t>
      </w:r>
    </w:p>
    <w:p w14:paraId="41F81C90" w14:textId="1D746199" w:rsidR="00A36C9E" w:rsidRDefault="0010750C" w:rsidP="009B4DCD">
      <w:pPr>
        <w:pStyle w:val="Bullet1"/>
      </w:pPr>
      <w:r>
        <w:t>i</w:t>
      </w:r>
      <w:r w:rsidR="009B4DCD">
        <w:t xml:space="preserve">dentified projects which </w:t>
      </w:r>
      <w:r w:rsidR="00667657">
        <w:t xml:space="preserve">have a total project value of </w:t>
      </w:r>
      <w:r w:rsidR="00A36C9E">
        <w:t xml:space="preserve">at least </w:t>
      </w:r>
      <w:r w:rsidR="00A95BA7">
        <w:t>£</w:t>
      </w:r>
      <w:r w:rsidR="00EC7F1B">
        <w:t>6m</w:t>
      </w:r>
      <w:r w:rsidR="00A95BA7">
        <w:t xml:space="preserve"> or </w:t>
      </w:r>
      <w:r w:rsidR="00A36C9E">
        <w:t>have a total project value of</w:t>
      </w:r>
      <w:r w:rsidR="009C02B1">
        <w:t xml:space="preserve"> less than £</w:t>
      </w:r>
      <w:r w:rsidR="00EC7F1B">
        <w:t xml:space="preserve">6m </w:t>
      </w:r>
      <w:r w:rsidR="009C02B1">
        <w:t>but are considered novel or contentious</w:t>
      </w:r>
      <w:r w:rsidR="0091477A">
        <w:rPr>
          <w:rStyle w:val="FootnoteReference"/>
        </w:rPr>
        <w:footnoteReference w:id="5"/>
      </w:r>
      <w:r w:rsidR="00A36C9E">
        <w:t>;</w:t>
      </w:r>
      <w:r w:rsidR="00D82D6E">
        <w:t xml:space="preserve"> or</w:t>
      </w:r>
    </w:p>
    <w:p w14:paraId="722FDA42" w14:textId="14D0F2AA" w:rsidR="00763C14" w:rsidRDefault="00E41B31" w:rsidP="009B4DCD">
      <w:pPr>
        <w:pStyle w:val="Bullet1"/>
      </w:pPr>
      <w:r>
        <w:t>Programmes of work</w:t>
      </w:r>
      <w:r w:rsidR="004525A3">
        <w:t xml:space="preserve"> </w:t>
      </w:r>
      <w:r w:rsidR="00C82CB6">
        <w:t>–</w:t>
      </w:r>
      <w:r w:rsidR="004525A3">
        <w:t xml:space="preserve"> </w:t>
      </w:r>
      <w:r w:rsidR="00C82CB6">
        <w:t xml:space="preserve">these </w:t>
      </w:r>
      <w:r w:rsidR="00B4231E">
        <w:t xml:space="preserve">are </w:t>
      </w:r>
      <w:r w:rsidR="006426E7">
        <w:t xml:space="preserve">groups of projects </w:t>
      </w:r>
      <w:r w:rsidR="00E923A8">
        <w:t>each of which has a total project value of less than £</w:t>
      </w:r>
      <w:r w:rsidR="00EC7F1B">
        <w:t xml:space="preserve">6m </w:t>
      </w:r>
      <w:r w:rsidR="00E923A8">
        <w:t>and is not considered novel or contentious.</w:t>
      </w:r>
      <w:r w:rsidR="00B93434" w:rsidRPr="00B93434">
        <w:t xml:space="preserve"> </w:t>
      </w:r>
    </w:p>
    <w:p w14:paraId="7DC65B1F" w14:textId="2F290023" w:rsidR="00763C14" w:rsidRDefault="00B93434" w:rsidP="007D3E8D">
      <w:pPr>
        <w:pStyle w:val="Bullet2"/>
      </w:pPr>
      <w:r w:rsidRPr="0030124D">
        <w:t>In the context of asset maintenance, we define programmes of work as investment activities that relate to the same type of assets</w:t>
      </w:r>
      <w:r w:rsidR="00272727">
        <w:t xml:space="preserve"> (i</w:t>
      </w:r>
      <w:r w:rsidR="00CD186C">
        <w:t>.</w:t>
      </w:r>
      <w:r w:rsidR="00272727">
        <w:t>e</w:t>
      </w:r>
      <w:r w:rsidR="00CD186C">
        <w:t>.</w:t>
      </w:r>
      <w:r w:rsidR="00272727">
        <w:t xml:space="preserve"> </w:t>
      </w:r>
      <w:r w:rsidR="00244C50">
        <w:t>projects are grouped into programme of works by sub asset category</w:t>
      </w:r>
      <w:r w:rsidR="00DB6DB0">
        <w:t>)</w:t>
      </w:r>
      <w:r w:rsidRPr="0030124D">
        <w:t>, involve repeatable work of similar construction requirements and risk profiles</w:t>
      </w:r>
      <w:r>
        <w:t>,</w:t>
      </w:r>
      <w:r w:rsidRPr="0030124D">
        <w:t xml:space="preserve"> and the location of the asset </w:t>
      </w:r>
      <w:r w:rsidR="008C2ED4">
        <w:t>may</w:t>
      </w:r>
      <w:r w:rsidRPr="0030124D">
        <w:t xml:space="preserve"> not </w:t>
      </w:r>
      <w:r w:rsidR="008C2ED4">
        <w:t xml:space="preserve">be </w:t>
      </w:r>
      <w:r w:rsidRPr="0030124D">
        <w:t>known. Some of this work may be demand driven (e.g. fixing a main that bursts), while others may be proactive. Scottish Water may find it helpful to distinguish between demand driven programmes and proactive programmes.</w:t>
      </w:r>
    </w:p>
    <w:p w14:paraId="217C14D5" w14:textId="2D59E3D3" w:rsidR="00410757" w:rsidRPr="002200F7" w:rsidRDefault="00B93434" w:rsidP="007D3E8D">
      <w:pPr>
        <w:pStyle w:val="Bullet2"/>
      </w:pPr>
      <w:r w:rsidRPr="0030124D">
        <w:t>In the context of enhancement</w:t>
      </w:r>
      <w:r w:rsidR="0099640B">
        <w:t xml:space="preserve"> and growth</w:t>
      </w:r>
      <w:r w:rsidRPr="0030124D">
        <w:t>, we define a programme of works as comprising investment that shares the same characteristics, involves the delivery of the same group of investment outputs, involves repeatable work of similar construction requirements and risk profiles</w:t>
      </w:r>
      <w:r w:rsidR="006471BF">
        <w:t>,</w:t>
      </w:r>
      <w:r w:rsidRPr="0030124D">
        <w:t xml:space="preserve"> and </w:t>
      </w:r>
      <w:r w:rsidR="006471BF">
        <w:t xml:space="preserve">where </w:t>
      </w:r>
      <w:r w:rsidRPr="0030124D">
        <w:t xml:space="preserve">the location of the investment </w:t>
      </w:r>
      <w:r w:rsidR="001C2330">
        <w:t>may</w:t>
      </w:r>
      <w:r w:rsidRPr="0030124D">
        <w:t xml:space="preserve"> not </w:t>
      </w:r>
      <w:r w:rsidR="001C2330">
        <w:t xml:space="preserve">be </w:t>
      </w:r>
      <w:r w:rsidRPr="0030124D">
        <w:t>known. Examples would be a programme to remove unsatisfactory intermittent discharges or combined sewer overflows.</w:t>
      </w:r>
    </w:p>
    <w:p w14:paraId="6857D120" w14:textId="77777777" w:rsidR="00410757" w:rsidRPr="002200F7" w:rsidRDefault="00410757" w:rsidP="00E047FD"/>
    <w:p w14:paraId="6399D0F8" w14:textId="2C57CEEE" w:rsidR="003D29D8" w:rsidRPr="00D90F0F" w:rsidRDefault="00843C49" w:rsidP="00E047FD">
      <w:pPr>
        <w:rPr>
          <w:b/>
        </w:rPr>
      </w:pPr>
      <w:r w:rsidRPr="00D90F0F">
        <w:rPr>
          <w:b/>
        </w:rPr>
        <w:t xml:space="preserve">Scottish Water </w:t>
      </w:r>
      <w:r w:rsidR="00615F92" w:rsidRPr="00D90F0F">
        <w:rPr>
          <w:b/>
        </w:rPr>
        <w:t>sh</w:t>
      </w:r>
      <w:r w:rsidR="00615F92">
        <w:rPr>
          <w:b/>
        </w:rPr>
        <w:t>all</w:t>
      </w:r>
      <w:r w:rsidR="00615F92" w:rsidRPr="00D90F0F">
        <w:rPr>
          <w:b/>
        </w:rPr>
        <w:t xml:space="preserve"> </w:t>
      </w:r>
      <w:r w:rsidR="000461DD" w:rsidRPr="00D90F0F">
        <w:rPr>
          <w:b/>
        </w:rPr>
        <w:t>use one line per project or programme</w:t>
      </w:r>
      <w:r w:rsidR="00663278">
        <w:rPr>
          <w:b/>
          <w:bCs/>
        </w:rPr>
        <w:t xml:space="preserve"> of works</w:t>
      </w:r>
      <w:r w:rsidR="000461DD" w:rsidRPr="00D90F0F">
        <w:rPr>
          <w:b/>
        </w:rPr>
        <w:t>.</w:t>
      </w:r>
      <w:r w:rsidR="0083469D" w:rsidRPr="00D90F0F">
        <w:rPr>
          <w:b/>
        </w:rPr>
        <w:t xml:space="preserve"> </w:t>
      </w:r>
    </w:p>
    <w:p w14:paraId="5C6508AC" w14:textId="77777777" w:rsidR="003D29D8" w:rsidRDefault="003D29D8" w:rsidP="00E047FD"/>
    <w:p w14:paraId="526071E2" w14:textId="04EAB96A" w:rsidR="00E047FD" w:rsidRPr="0030124D" w:rsidRDefault="00E047FD" w:rsidP="00E047FD">
      <w:r w:rsidRPr="0030124D">
        <w:lastRenderedPageBreak/>
        <w:t>For these programmes of work by</w:t>
      </w:r>
      <w:r w:rsidR="00140450">
        <w:t xml:space="preserve"> </w:t>
      </w:r>
      <w:r w:rsidR="00140450" w:rsidRPr="00A82983">
        <w:t>sub</w:t>
      </w:r>
      <w:r w:rsidRPr="0030124D">
        <w:t xml:space="preserve"> asset category, we expect Scottish Water to show its assumptions for</w:t>
      </w:r>
      <w:r>
        <w:t xml:space="preserve"> the</w:t>
      </w:r>
      <w:r w:rsidRPr="0030124D">
        <w:t>:</w:t>
      </w:r>
    </w:p>
    <w:p w14:paraId="58FDCDA2" w14:textId="77777777" w:rsidR="00E047FD" w:rsidRPr="0030124D" w:rsidRDefault="00E047FD" w:rsidP="00E047FD">
      <w:pPr>
        <w:pStyle w:val="Bullet1"/>
      </w:pPr>
      <w:r w:rsidRPr="0030124D">
        <w:t>proposed number of maintenance interventions;</w:t>
      </w:r>
    </w:p>
    <w:p w14:paraId="2C31166A" w14:textId="77777777" w:rsidR="00E047FD" w:rsidRPr="0030124D" w:rsidRDefault="00E047FD" w:rsidP="00E047FD">
      <w:pPr>
        <w:pStyle w:val="Bullet1"/>
      </w:pPr>
      <w:r w:rsidRPr="0030124D">
        <w:t>overall level of expenditure; and</w:t>
      </w:r>
    </w:p>
    <w:p w14:paraId="7235B3D3" w14:textId="77777777" w:rsidR="00E047FD" w:rsidRPr="0030124D" w:rsidRDefault="00E047FD" w:rsidP="00E047FD">
      <w:pPr>
        <w:pStyle w:val="Bullet1"/>
      </w:pPr>
      <w:r w:rsidRPr="0030124D">
        <w:t>impact on asset condition.</w:t>
      </w:r>
    </w:p>
    <w:p w14:paraId="1140A542" w14:textId="77777777" w:rsidR="00E047FD" w:rsidRDefault="00E047FD" w:rsidP="00E047FD"/>
    <w:p w14:paraId="401C2282" w14:textId="302F8477" w:rsidR="0075735A" w:rsidRPr="00FF70FC" w:rsidRDefault="007B41F5" w:rsidP="00E047FD">
      <w:pPr>
        <w:rPr>
          <w:b/>
          <w:bCs/>
        </w:rPr>
      </w:pPr>
      <w:r w:rsidRPr="00FF70FC">
        <w:rPr>
          <w:b/>
          <w:bCs/>
        </w:rPr>
        <w:t xml:space="preserve">Scottish Water </w:t>
      </w:r>
      <w:r w:rsidR="00615F92" w:rsidRPr="00FF70FC">
        <w:rPr>
          <w:b/>
          <w:bCs/>
        </w:rPr>
        <w:t>sh</w:t>
      </w:r>
      <w:r w:rsidR="00615F92">
        <w:rPr>
          <w:b/>
          <w:bCs/>
        </w:rPr>
        <w:t>all</w:t>
      </w:r>
      <w:r w:rsidR="00615F92" w:rsidRPr="00FF70FC">
        <w:rPr>
          <w:b/>
          <w:bCs/>
        </w:rPr>
        <w:t xml:space="preserve"> </w:t>
      </w:r>
      <w:r w:rsidRPr="00FF70FC">
        <w:rPr>
          <w:b/>
          <w:bCs/>
        </w:rPr>
        <w:t xml:space="preserve">develop </w:t>
      </w:r>
      <w:r w:rsidR="003E1B95" w:rsidRPr="00FF70FC">
        <w:rPr>
          <w:b/>
          <w:bCs/>
        </w:rPr>
        <w:t xml:space="preserve">programmes of work </w:t>
      </w:r>
      <w:r w:rsidR="00743E3C" w:rsidRPr="00FF70FC">
        <w:rPr>
          <w:b/>
          <w:bCs/>
        </w:rPr>
        <w:t xml:space="preserve">that cover assets of the same type and size. This will ensure that the </w:t>
      </w:r>
      <w:r w:rsidR="00CA68FF">
        <w:rPr>
          <w:b/>
          <w:bCs/>
        </w:rPr>
        <w:t>reported unit costs are representative and</w:t>
      </w:r>
      <w:r w:rsidR="00743E3C" w:rsidRPr="00FF70FC">
        <w:rPr>
          <w:b/>
          <w:bCs/>
        </w:rPr>
        <w:t xml:space="preserve"> not skewed by large and small assets being in the same programme of work. An example would be a programme comprising the replacement of similar-sized</w:t>
      </w:r>
      <w:r w:rsidR="008C3089" w:rsidRPr="00FF70FC">
        <w:rPr>
          <w:b/>
          <w:bCs/>
        </w:rPr>
        <w:t xml:space="preserve"> </w:t>
      </w:r>
      <w:r w:rsidR="00723B70" w:rsidRPr="00FF70FC">
        <w:rPr>
          <w:b/>
          <w:bCs/>
        </w:rPr>
        <w:t xml:space="preserve">pumps </w:t>
      </w:r>
      <w:r w:rsidR="003F6994" w:rsidRPr="00FF70FC">
        <w:rPr>
          <w:b/>
          <w:bCs/>
        </w:rPr>
        <w:t>(as measured by throughput).</w:t>
      </w:r>
      <w:r w:rsidR="00FF70FC">
        <w:rPr>
          <w:b/>
          <w:bCs/>
        </w:rPr>
        <w:t xml:space="preserve"> If unit costs are skewed due to assets of </w:t>
      </w:r>
      <w:r w:rsidR="00736782">
        <w:rPr>
          <w:b/>
          <w:bCs/>
        </w:rPr>
        <w:t xml:space="preserve">two </w:t>
      </w:r>
      <w:r w:rsidR="00FF70FC">
        <w:rPr>
          <w:b/>
          <w:bCs/>
        </w:rPr>
        <w:t xml:space="preserve">different sizes, we expect Scottish Water to </w:t>
      </w:r>
      <w:r w:rsidR="00736782">
        <w:rPr>
          <w:b/>
          <w:bCs/>
        </w:rPr>
        <w:t>disaggregate the programme into two (or more) separate programmes.</w:t>
      </w:r>
      <w:r w:rsidR="009C4658">
        <w:rPr>
          <w:b/>
          <w:bCs/>
        </w:rPr>
        <w:t xml:space="preserve"> Scottish Water </w:t>
      </w:r>
      <w:r w:rsidR="00615F92">
        <w:rPr>
          <w:b/>
          <w:bCs/>
        </w:rPr>
        <w:t xml:space="preserve">shall </w:t>
      </w:r>
      <w:r w:rsidR="009C4658">
        <w:rPr>
          <w:b/>
          <w:bCs/>
        </w:rPr>
        <w:t>also ensure that the programme description provides information on the type and size of asset</w:t>
      </w:r>
      <w:r w:rsidR="00C62D79">
        <w:rPr>
          <w:b/>
          <w:bCs/>
        </w:rPr>
        <w:t>, to enable unit costs to be derived.</w:t>
      </w:r>
    </w:p>
    <w:p w14:paraId="37DC081A" w14:textId="77777777" w:rsidR="0075735A" w:rsidRDefault="0075735A" w:rsidP="00E047FD"/>
    <w:p w14:paraId="5B836198" w14:textId="5D608027" w:rsidR="00E42F6F" w:rsidRPr="00954233" w:rsidRDefault="00E42F6F" w:rsidP="006B2E2C">
      <w:pPr>
        <w:pStyle w:val="TableParagraph"/>
        <w:rPr>
          <w:rFonts w:cstheme="minorHAnsi"/>
          <w:b/>
          <w:sz w:val="24"/>
          <w:szCs w:val="24"/>
        </w:rPr>
      </w:pPr>
      <w:r w:rsidRPr="00954233">
        <w:rPr>
          <w:rFonts w:cstheme="minorHAnsi"/>
          <w:b/>
          <w:sz w:val="24"/>
          <w:szCs w:val="24"/>
        </w:rPr>
        <w:t xml:space="preserve">All individual projects which can be benchmarked </w:t>
      </w:r>
      <w:r w:rsidR="006B2E2C">
        <w:rPr>
          <w:rFonts w:cstheme="minorHAnsi"/>
          <w:b/>
          <w:bCs/>
          <w:sz w:val="24"/>
          <w:szCs w:val="24"/>
        </w:rPr>
        <w:t xml:space="preserve">(i.e. those which </w:t>
      </w:r>
      <w:r w:rsidR="00AC58C3">
        <w:rPr>
          <w:rFonts w:cstheme="minorHAnsi"/>
          <w:b/>
          <w:bCs/>
          <w:sz w:val="24"/>
          <w:szCs w:val="24"/>
        </w:rPr>
        <w:t>are</w:t>
      </w:r>
      <w:r w:rsidR="006B2E2C">
        <w:rPr>
          <w:rFonts w:cstheme="minorHAnsi"/>
          <w:b/>
          <w:bCs/>
          <w:sz w:val="24"/>
          <w:szCs w:val="24"/>
        </w:rPr>
        <w:t xml:space="preserve"> p</w:t>
      </w:r>
      <w:r w:rsidR="006B2E2C" w:rsidRPr="006B2E2C">
        <w:rPr>
          <w:rFonts w:cstheme="minorHAnsi"/>
          <w:b/>
          <w:bCs/>
          <w:sz w:val="24"/>
          <w:szCs w:val="24"/>
        </w:rPr>
        <w:t>hosphorus removal</w:t>
      </w:r>
      <w:r w:rsidR="00AC58C3">
        <w:rPr>
          <w:rFonts w:cstheme="minorHAnsi"/>
          <w:b/>
          <w:bCs/>
          <w:sz w:val="24"/>
          <w:szCs w:val="24"/>
        </w:rPr>
        <w:t xml:space="preserve"> projects</w:t>
      </w:r>
      <w:r w:rsidR="006B2E2C">
        <w:rPr>
          <w:rFonts w:cstheme="minorHAnsi"/>
          <w:b/>
          <w:bCs/>
          <w:sz w:val="24"/>
          <w:szCs w:val="24"/>
        </w:rPr>
        <w:t>, s</w:t>
      </w:r>
      <w:r w:rsidR="006B2E2C" w:rsidRPr="006B2E2C">
        <w:rPr>
          <w:rFonts w:cstheme="minorHAnsi"/>
          <w:b/>
          <w:bCs/>
          <w:sz w:val="24"/>
          <w:szCs w:val="24"/>
        </w:rPr>
        <w:t>anitary tightened permit condition project</w:t>
      </w:r>
      <w:r w:rsidR="00AC58C3">
        <w:rPr>
          <w:rFonts w:cstheme="minorHAnsi"/>
          <w:b/>
          <w:bCs/>
          <w:sz w:val="24"/>
          <w:szCs w:val="24"/>
        </w:rPr>
        <w:t>s, s</w:t>
      </w:r>
      <w:r w:rsidR="006B2E2C" w:rsidRPr="006B2E2C">
        <w:rPr>
          <w:rFonts w:cstheme="minorHAnsi"/>
          <w:b/>
          <w:bCs/>
          <w:sz w:val="24"/>
          <w:szCs w:val="24"/>
        </w:rPr>
        <w:t>torm overflows project</w:t>
      </w:r>
      <w:r w:rsidR="00AC58C3">
        <w:rPr>
          <w:rFonts w:cstheme="minorHAnsi"/>
          <w:b/>
          <w:bCs/>
          <w:sz w:val="24"/>
          <w:szCs w:val="24"/>
        </w:rPr>
        <w:t>s,</w:t>
      </w:r>
      <w:r w:rsidR="006B2E2C" w:rsidRPr="006B2E2C">
        <w:rPr>
          <w:rFonts w:cstheme="minorHAnsi"/>
          <w:b/>
          <w:bCs/>
          <w:sz w:val="24"/>
          <w:szCs w:val="24"/>
        </w:rPr>
        <w:t xml:space="preserve"> or</w:t>
      </w:r>
      <w:r w:rsidR="00AC58C3">
        <w:rPr>
          <w:rFonts w:cstheme="minorHAnsi"/>
          <w:b/>
          <w:bCs/>
          <w:sz w:val="24"/>
          <w:szCs w:val="24"/>
        </w:rPr>
        <w:t xml:space="preserve"> w</w:t>
      </w:r>
      <w:r w:rsidR="006B2E2C" w:rsidRPr="006B2E2C">
        <w:rPr>
          <w:rFonts w:cstheme="minorHAnsi"/>
          <w:b/>
          <w:bCs/>
          <w:sz w:val="24"/>
          <w:szCs w:val="24"/>
        </w:rPr>
        <w:t>ater resources project</w:t>
      </w:r>
      <w:r w:rsidR="00AC58C3">
        <w:rPr>
          <w:rFonts w:cstheme="minorHAnsi"/>
          <w:b/>
          <w:bCs/>
          <w:sz w:val="24"/>
          <w:szCs w:val="24"/>
        </w:rPr>
        <w:t>s)</w:t>
      </w:r>
      <w:r w:rsidR="006B2E2C" w:rsidRPr="006B2E2C">
        <w:rPr>
          <w:rFonts w:cstheme="minorHAnsi"/>
          <w:b/>
          <w:bCs/>
          <w:sz w:val="24"/>
          <w:szCs w:val="24"/>
        </w:rPr>
        <w:t xml:space="preserve"> </w:t>
      </w:r>
      <w:r w:rsidRPr="00954233">
        <w:rPr>
          <w:rFonts w:cstheme="minorHAnsi"/>
          <w:b/>
          <w:sz w:val="24"/>
          <w:szCs w:val="24"/>
        </w:rPr>
        <w:t>should be reported as separate lines regardless of their total value. In other words, the £</w:t>
      </w:r>
      <w:r w:rsidRPr="00954233">
        <w:rPr>
          <w:rFonts w:cstheme="minorHAnsi"/>
          <w:b/>
          <w:sz w:val="24"/>
          <w:szCs w:val="24"/>
          <w:lang w:eastAsia="zh-CN"/>
        </w:rPr>
        <w:t>6</w:t>
      </w:r>
      <w:r w:rsidRPr="00954233">
        <w:rPr>
          <w:rFonts w:cstheme="minorHAnsi"/>
          <w:b/>
          <w:sz w:val="24"/>
          <w:szCs w:val="24"/>
        </w:rPr>
        <w:t xml:space="preserve">m threshold </w:t>
      </w:r>
      <w:r w:rsidR="00385C22">
        <w:rPr>
          <w:rFonts w:cstheme="minorHAnsi"/>
          <w:b/>
          <w:bCs/>
          <w:sz w:val="24"/>
          <w:szCs w:val="24"/>
        </w:rPr>
        <w:t>does</w:t>
      </w:r>
      <w:r w:rsidRPr="00954233">
        <w:rPr>
          <w:rFonts w:cstheme="minorHAnsi"/>
          <w:b/>
          <w:sz w:val="24"/>
          <w:szCs w:val="24"/>
        </w:rPr>
        <w:t xml:space="preserve"> not </w:t>
      </w:r>
      <w:r w:rsidR="00385C22">
        <w:rPr>
          <w:rFonts w:cstheme="minorHAnsi"/>
          <w:b/>
          <w:bCs/>
          <w:sz w:val="24"/>
          <w:szCs w:val="24"/>
        </w:rPr>
        <w:t>apply</w:t>
      </w:r>
      <w:r w:rsidR="0024708F">
        <w:rPr>
          <w:rFonts w:cstheme="minorHAnsi"/>
          <w:b/>
          <w:bCs/>
          <w:sz w:val="24"/>
          <w:szCs w:val="24"/>
        </w:rPr>
        <w:t xml:space="preserve"> to those projects</w:t>
      </w:r>
      <w:r w:rsidRPr="00954233">
        <w:rPr>
          <w:rFonts w:cstheme="minorHAnsi"/>
          <w:b/>
          <w:sz w:val="24"/>
          <w:szCs w:val="24"/>
        </w:rPr>
        <w:t>.</w:t>
      </w:r>
    </w:p>
    <w:p w14:paraId="1DBFFCF9" w14:textId="77777777" w:rsidR="00DA33F5" w:rsidRDefault="00DA33F5" w:rsidP="004F177B"/>
    <w:p w14:paraId="77EFC4B2" w14:textId="78F9AF1E" w:rsidR="00E047FD" w:rsidRDefault="00140450" w:rsidP="004F177B">
      <w:r w:rsidRPr="00140450">
        <w:t>An asset intervention relates to activity carried out by Scottish Water on an asset.</w:t>
      </w:r>
      <w:r>
        <w:t xml:space="preserve"> </w:t>
      </w:r>
      <w:r w:rsidR="00E047FD">
        <w:t xml:space="preserve">The definition of intervention(s) depends on the type of investment. These definitions are: </w:t>
      </w:r>
    </w:p>
    <w:p w14:paraId="4459E7B0" w14:textId="02AA20E0" w:rsidR="00E047FD" w:rsidRDefault="00E047FD" w:rsidP="00E047FD">
      <w:pPr>
        <w:pStyle w:val="Bullet1"/>
      </w:pPr>
      <w:r>
        <w:t xml:space="preserve">asset replacement: the number or length of assets replaced; </w:t>
      </w:r>
    </w:p>
    <w:p w14:paraId="481A21A1" w14:textId="77777777" w:rsidR="00E047FD" w:rsidRDefault="00E047FD" w:rsidP="00E047FD">
      <w:pPr>
        <w:pStyle w:val="Bullet1"/>
      </w:pPr>
      <w:r>
        <w:t xml:space="preserve">asset refurbishment: the number of discrete refurbishments carried out on an asset; and </w:t>
      </w:r>
    </w:p>
    <w:p w14:paraId="2D88FD66" w14:textId="6B8382A4" w:rsidR="00E047FD" w:rsidRDefault="00E047FD" w:rsidP="00E047FD">
      <w:pPr>
        <w:pStyle w:val="Bullet1"/>
      </w:pPr>
      <w:r>
        <w:t xml:space="preserve">asset repair: the number of discrete repairs carried out on an asset. </w:t>
      </w:r>
    </w:p>
    <w:p w14:paraId="7B6DF8B5" w14:textId="77777777" w:rsidR="00E047FD" w:rsidRDefault="00E047FD" w:rsidP="00E047FD">
      <w:pPr>
        <w:spacing w:line="240" w:lineRule="auto"/>
      </w:pPr>
    </w:p>
    <w:p w14:paraId="60A08818" w14:textId="7EFC69F3" w:rsidR="00D90F0F" w:rsidRDefault="00D90F0F" w:rsidP="00D90F0F">
      <w:r>
        <w:t xml:space="preserve">The table allows each project/programme to have a primary and a secondary element of the following items: outputs, interventions, </w:t>
      </w:r>
      <w:r w:rsidDel="00075467">
        <w:t>sub</w:t>
      </w:r>
      <w:r w:rsidR="00075467">
        <w:t>-</w:t>
      </w:r>
      <w:r w:rsidDel="00075467">
        <w:t xml:space="preserve">asset categories, </w:t>
      </w:r>
      <w:r w:rsidR="00075467">
        <w:t xml:space="preserve">and </w:t>
      </w:r>
      <w:r w:rsidDel="00075467">
        <w:t>outcomes. If a project/programme has more than 2 of these items, Scottish Water should explain in the commentary how those additional items and their associated expenditure are captured in tables 1, 2</w:t>
      </w:r>
      <w:r w:rsidR="00075467">
        <w:t>,</w:t>
      </w:r>
      <w:r w:rsidDel="00075467">
        <w:t xml:space="preserve"> and 3</w:t>
      </w:r>
      <w:r w:rsidR="00514DED">
        <w:t>a</w:t>
      </w:r>
      <w:r w:rsidDel="00075467">
        <w:t xml:space="preserve"> so that </w:t>
      </w:r>
      <w:r w:rsidR="00816532" w:rsidDel="00075467">
        <w:t>consistency between these tables and</w:t>
      </w:r>
      <w:r w:rsidDel="00075467">
        <w:t xml:space="preserve"> table</w:t>
      </w:r>
      <w:r>
        <w:t xml:space="preserve"> 5 </w:t>
      </w:r>
      <w:r w:rsidR="00816532">
        <w:t>is preserved</w:t>
      </w:r>
      <w:r>
        <w:t>.</w:t>
      </w:r>
    </w:p>
    <w:p w14:paraId="0991F742" w14:textId="77777777" w:rsidR="00D90F0F" w:rsidRDefault="00D90F0F" w:rsidP="00D90F0F"/>
    <w:p w14:paraId="57C554A6" w14:textId="4A497AB3" w:rsidR="00E047FD" w:rsidRDefault="00E047FD" w:rsidP="004F177B">
      <w:pPr>
        <w:pStyle w:val="SMALLHEADINGALLCAPS"/>
      </w:pPr>
      <w:r>
        <w:t>Guidance for enhancement and growth projects and programmes of work</w:t>
      </w:r>
    </w:p>
    <w:p w14:paraId="1412FA96" w14:textId="3674C123" w:rsidR="00A73EB1" w:rsidRDefault="000130A1" w:rsidP="000130A1">
      <w:pPr>
        <w:pStyle w:val="Bullet1"/>
        <w:numPr>
          <w:ilvl w:val="0"/>
          <w:numId w:val="0"/>
        </w:numPr>
        <w:rPr>
          <w:rFonts w:cstheme="minorBidi"/>
          <w:color w:val="auto"/>
          <w:szCs w:val="22"/>
        </w:rPr>
      </w:pPr>
      <w:r w:rsidRPr="007D1EE0">
        <w:rPr>
          <w:rFonts w:cstheme="minorBidi"/>
          <w:color w:val="auto"/>
          <w:szCs w:val="22"/>
        </w:rPr>
        <w:t xml:space="preserve">Enhancement investment relates to incremental improvements in levels of service, while growth investment relates to increasing the supply of water and capacity available to remove wastewater and surface water drainage in response to new demand for these services. We propose further disaggregating the enhancement and growth programme or any investment </w:t>
      </w:r>
      <w:r w:rsidR="00332C60">
        <w:rPr>
          <w:rFonts w:cstheme="minorBidi"/>
          <w:color w:val="auto"/>
          <w:szCs w:val="22"/>
        </w:rPr>
        <w:t xml:space="preserve">involving an element of enhancement or growth into </w:t>
      </w:r>
      <w:r w:rsidRPr="007D1EE0">
        <w:rPr>
          <w:rFonts w:cstheme="minorBidi"/>
          <w:color w:val="auto"/>
          <w:szCs w:val="22"/>
        </w:rPr>
        <w:t xml:space="preserve">three categories reflecting the different level of maturity of Scottish Water’s investment proposals. </w:t>
      </w:r>
      <w:r w:rsidR="00A73EB1">
        <w:t xml:space="preserve">For the avoidance of doubt, any investment that involves an element of enhancement and growth should be subject to the requirements below. </w:t>
      </w:r>
    </w:p>
    <w:p w14:paraId="31CF4140" w14:textId="77777777" w:rsidR="00A73EB1" w:rsidRDefault="00A73EB1" w:rsidP="000130A1">
      <w:pPr>
        <w:pStyle w:val="Bullet1"/>
        <w:numPr>
          <w:ilvl w:val="0"/>
          <w:numId w:val="0"/>
        </w:numPr>
        <w:rPr>
          <w:rFonts w:cstheme="minorBidi"/>
          <w:color w:val="auto"/>
          <w:szCs w:val="22"/>
        </w:rPr>
      </w:pPr>
    </w:p>
    <w:p w14:paraId="2A6771B3" w14:textId="179E5FD6" w:rsidR="000130A1" w:rsidRPr="007D1EE0" w:rsidRDefault="000130A1" w:rsidP="000130A1">
      <w:pPr>
        <w:pStyle w:val="Bullet1"/>
        <w:numPr>
          <w:ilvl w:val="0"/>
          <w:numId w:val="0"/>
        </w:numPr>
        <w:rPr>
          <w:rFonts w:cstheme="minorBidi"/>
          <w:color w:val="auto"/>
          <w:szCs w:val="22"/>
        </w:rPr>
      </w:pPr>
      <w:r w:rsidRPr="007D1EE0">
        <w:rPr>
          <w:rFonts w:cstheme="minorBidi"/>
          <w:color w:val="auto"/>
          <w:szCs w:val="22"/>
        </w:rPr>
        <w:t>The table below shows the three categories and associated information requirements.</w:t>
      </w:r>
    </w:p>
    <w:p w14:paraId="500741E5" w14:textId="23749E4E" w:rsidR="000130A1" w:rsidRPr="0030124D" w:rsidRDefault="000130A1" w:rsidP="000130A1">
      <w:pPr>
        <w:pStyle w:val="Caption"/>
      </w:pPr>
    </w:p>
    <w:tbl>
      <w:tblPr>
        <w:tblStyle w:val="Blueline"/>
        <w:tblW w:w="9633" w:type="dxa"/>
        <w:tblLook w:val="04A0" w:firstRow="1" w:lastRow="0" w:firstColumn="1" w:lastColumn="0" w:noHBand="0" w:noVBand="1"/>
      </w:tblPr>
      <w:tblGrid>
        <w:gridCol w:w="3301"/>
        <w:gridCol w:w="6332"/>
      </w:tblGrid>
      <w:tr w:rsidR="000130A1" w:rsidRPr="0030124D" w14:paraId="0D45C503" w14:textId="77777777" w:rsidTr="00954233">
        <w:trPr>
          <w:cnfStyle w:val="100000000000" w:firstRow="1" w:lastRow="0" w:firstColumn="0" w:lastColumn="0" w:oddVBand="0" w:evenVBand="0" w:oddHBand="0" w:evenHBand="0" w:firstRowFirstColumn="0" w:firstRowLastColumn="0" w:lastRowFirstColumn="0" w:lastRowLastColumn="0"/>
          <w:trHeight w:val="313"/>
          <w:tblHeader/>
        </w:trPr>
        <w:tc>
          <w:tcPr>
            <w:tcW w:w="0" w:type="dxa"/>
          </w:tcPr>
          <w:p w14:paraId="4177D452" w14:textId="77777777" w:rsidR="000130A1" w:rsidRPr="004140FB" w:rsidRDefault="000130A1">
            <w:pPr>
              <w:pStyle w:val="Bullet1"/>
              <w:numPr>
                <w:ilvl w:val="0"/>
                <w:numId w:val="0"/>
              </w:numPr>
              <w:jc w:val="left"/>
              <w:rPr>
                <w:color w:val="064276" w:themeColor="text2"/>
              </w:rPr>
            </w:pPr>
            <w:r w:rsidRPr="004140FB">
              <w:rPr>
                <w:color w:val="064276" w:themeColor="text2"/>
              </w:rPr>
              <w:t>Investment stage</w:t>
            </w:r>
          </w:p>
        </w:tc>
        <w:tc>
          <w:tcPr>
            <w:tcW w:w="0" w:type="dxa"/>
          </w:tcPr>
          <w:p w14:paraId="2D19175F" w14:textId="77777777" w:rsidR="000130A1" w:rsidRPr="004140FB" w:rsidRDefault="000130A1">
            <w:pPr>
              <w:pStyle w:val="Bullet1"/>
              <w:numPr>
                <w:ilvl w:val="0"/>
                <w:numId w:val="0"/>
              </w:numPr>
              <w:jc w:val="left"/>
              <w:rPr>
                <w:color w:val="064276" w:themeColor="text2"/>
              </w:rPr>
            </w:pPr>
            <w:r w:rsidRPr="004140FB">
              <w:rPr>
                <w:color w:val="064276" w:themeColor="text2"/>
              </w:rPr>
              <w:t>Information requirements</w:t>
            </w:r>
          </w:p>
        </w:tc>
      </w:tr>
      <w:tr w:rsidR="000130A1" w:rsidRPr="0030124D" w14:paraId="0348F321" w14:textId="77777777" w:rsidTr="00912EDF">
        <w:trPr>
          <w:trHeight w:val="313"/>
        </w:trPr>
        <w:tc>
          <w:tcPr>
            <w:tcW w:w="3301" w:type="dxa"/>
          </w:tcPr>
          <w:p w14:paraId="48A3CDBF" w14:textId="77777777" w:rsidR="000130A1" w:rsidRPr="0030124D" w:rsidRDefault="000130A1" w:rsidP="00954233">
            <w:pPr>
              <w:keepNext/>
              <w:keepLines/>
              <w:jc w:val="left"/>
            </w:pPr>
            <w:r w:rsidRPr="0030124D">
              <w:t xml:space="preserve">Investment pre-development </w:t>
            </w:r>
          </w:p>
          <w:p w14:paraId="4F18E111" w14:textId="77777777" w:rsidR="000130A1" w:rsidRPr="0030124D" w:rsidRDefault="000130A1" w:rsidP="00954233">
            <w:pPr>
              <w:keepNext/>
              <w:keepLines/>
              <w:jc w:val="left"/>
            </w:pPr>
          </w:p>
          <w:p w14:paraId="087F2A5D" w14:textId="77777777" w:rsidR="000130A1" w:rsidRPr="0030124D" w:rsidRDefault="000130A1" w:rsidP="00954233">
            <w:pPr>
              <w:keepNext/>
              <w:keepLines/>
              <w:jc w:val="left"/>
            </w:pPr>
            <w:r w:rsidRPr="0030124D">
              <w:t xml:space="preserve">(Pre Scottish Water internal Gate </w:t>
            </w:r>
            <w:r>
              <w:t>50</w:t>
            </w:r>
            <w:r w:rsidRPr="0030124D">
              <w:t xml:space="preserve">) </w:t>
            </w:r>
          </w:p>
        </w:tc>
        <w:tc>
          <w:tcPr>
            <w:tcW w:w="6332" w:type="dxa"/>
          </w:tcPr>
          <w:p w14:paraId="1188D574" w14:textId="77777777" w:rsidR="000130A1" w:rsidRPr="0030124D" w:rsidRDefault="000130A1">
            <w:pPr>
              <w:pStyle w:val="Bullet1"/>
              <w:ind w:left="360"/>
              <w:jc w:val="left"/>
            </w:pPr>
            <w:r w:rsidRPr="0030124D">
              <w:t>Programmes of work</w:t>
            </w:r>
          </w:p>
          <w:p w14:paraId="4971884D" w14:textId="77777777" w:rsidR="000130A1" w:rsidRPr="0030124D" w:rsidRDefault="000130A1">
            <w:pPr>
              <w:pStyle w:val="Bullet1"/>
              <w:ind w:left="360"/>
              <w:jc w:val="left"/>
            </w:pPr>
            <w:r w:rsidRPr="0030124D">
              <w:t>Assumptions for indicative costings and outputs</w:t>
            </w:r>
          </w:p>
        </w:tc>
      </w:tr>
      <w:tr w:rsidR="000130A1" w:rsidRPr="0030124D" w14:paraId="10126A6D" w14:textId="77777777" w:rsidTr="00912EDF">
        <w:trPr>
          <w:trHeight w:val="313"/>
        </w:trPr>
        <w:tc>
          <w:tcPr>
            <w:tcW w:w="3301" w:type="dxa"/>
          </w:tcPr>
          <w:p w14:paraId="20A3EC8B" w14:textId="77777777" w:rsidR="000130A1" w:rsidRPr="0030124D" w:rsidRDefault="000130A1">
            <w:pPr>
              <w:jc w:val="left"/>
            </w:pPr>
            <w:r w:rsidRPr="0030124D">
              <w:t>Investment in-development/ pre-commitment</w:t>
            </w:r>
          </w:p>
          <w:p w14:paraId="4BB642C6" w14:textId="77777777" w:rsidR="000130A1" w:rsidRPr="0030124D" w:rsidRDefault="000130A1">
            <w:pPr>
              <w:jc w:val="left"/>
            </w:pPr>
          </w:p>
          <w:p w14:paraId="2A2C9234" w14:textId="77777777" w:rsidR="000130A1" w:rsidRPr="0030124D" w:rsidRDefault="000130A1">
            <w:pPr>
              <w:jc w:val="left"/>
            </w:pPr>
            <w:r w:rsidRPr="0030124D">
              <w:t xml:space="preserve">(Scottish Water internal Gates </w:t>
            </w:r>
            <w:r>
              <w:t xml:space="preserve">50 </w:t>
            </w:r>
            <w:r w:rsidRPr="0030124D">
              <w:t xml:space="preserve">to </w:t>
            </w:r>
            <w:r>
              <w:t>90</w:t>
            </w:r>
            <w:r w:rsidRPr="0030124D">
              <w:t>, inclusive)</w:t>
            </w:r>
          </w:p>
        </w:tc>
        <w:tc>
          <w:tcPr>
            <w:tcW w:w="6332" w:type="dxa"/>
          </w:tcPr>
          <w:p w14:paraId="0AF19A6D" w14:textId="77777777" w:rsidR="000130A1" w:rsidRPr="0030124D" w:rsidRDefault="000130A1">
            <w:pPr>
              <w:pStyle w:val="Bullet1"/>
              <w:ind w:left="360"/>
              <w:jc w:val="left"/>
            </w:pPr>
            <w:r w:rsidRPr="0030124D">
              <w:t xml:space="preserve">Programmes of work </w:t>
            </w:r>
          </w:p>
          <w:p w14:paraId="71BE10A6" w14:textId="4F98B995" w:rsidR="000130A1" w:rsidRPr="0030124D" w:rsidRDefault="000130A1">
            <w:pPr>
              <w:pStyle w:val="Bullet1"/>
              <w:ind w:left="360"/>
              <w:jc w:val="left"/>
            </w:pPr>
            <w:r w:rsidRPr="0030124D">
              <w:t xml:space="preserve">Discrete projects where investment </w:t>
            </w:r>
            <w:r w:rsidR="00783A9F" w:rsidRPr="00783A9F">
              <w:rPr>
                <w:bCs/>
                <w:color w:val="auto"/>
              </w:rPr>
              <w:t>≥</w:t>
            </w:r>
            <w:r w:rsidRPr="00783A9F">
              <w:rPr>
                <w:bCs/>
                <w:color w:val="auto"/>
              </w:rPr>
              <w:t xml:space="preserve"> £</w:t>
            </w:r>
            <w:r w:rsidR="00EC7F1B">
              <w:rPr>
                <w:bCs/>
                <w:color w:val="auto"/>
              </w:rPr>
              <w:t>6</w:t>
            </w:r>
            <w:r w:rsidR="00EC7F1B" w:rsidRPr="00783A9F">
              <w:rPr>
                <w:bCs/>
                <w:color w:val="auto"/>
              </w:rPr>
              <w:t>m</w:t>
            </w:r>
            <w:r w:rsidR="00577D22">
              <w:rPr>
                <w:bCs/>
                <w:color w:val="auto"/>
              </w:rPr>
              <w:t>, or where investment is &lt;£</w:t>
            </w:r>
            <w:r w:rsidR="00EC7F1B">
              <w:rPr>
                <w:bCs/>
                <w:color w:val="auto"/>
              </w:rPr>
              <w:t xml:space="preserve">6m </w:t>
            </w:r>
            <w:r w:rsidR="00577D22">
              <w:rPr>
                <w:bCs/>
                <w:color w:val="auto"/>
              </w:rPr>
              <w:t>but the project is novel or contentious</w:t>
            </w:r>
          </w:p>
          <w:p w14:paraId="2391B455" w14:textId="77777777" w:rsidR="000130A1" w:rsidRPr="0030124D" w:rsidRDefault="000130A1">
            <w:pPr>
              <w:pStyle w:val="Bullet1"/>
              <w:ind w:left="360"/>
              <w:jc w:val="left"/>
            </w:pPr>
            <w:r w:rsidRPr="0030124D">
              <w:t>Forecast costs</w:t>
            </w:r>
          </w:p>
          <w:p w14:paraId="27BFD674" w14:textId="77777777" w:rsidR="000130A1" w:rsidRPr="0030124D" w:rsidRDefault="000130A1">
            <w:pPr>
              <w:pStyle w:val="Bullet1"/>
              <w:ind w:left="360"/>
              <w:jc w:val="left"/>
            </w:pPr>
            <w:r w:rsidRPr="0030124D">
              <w:t>Outputs</w:t>
            </w:r>
          </w:p>
          <w:p w14:paraId="0592F51D" w14:textId="77777777" w:rsidR="000130A1" w:rsidRPr="0030124D" w:rsidRDefault="000130A1">
            <w:pPr>
              <w:pStyle w:val="Bullet1"/>
              <w:ind w:left="360"/>
              <w:jc w:val="left"/>
            </w:pPr>
            <w:r w:rsidRPr="0030124D">
              <w:t>Interim milestones for when Scottish Water expects a decision for the project to be committed</w:t>
            </w:r>
          </w:p>
        </w:tc>
      </w:tr>
      <w:tr w:rsidR="000130A1" w:rsidRPr="0030124D" w14:paraId="3BF5C4BE" w14:textId="77777777" w:rsidTr="00912EDF">
        <w:trPr>
          <w:trHeight w:val="313"/>
        </w:trPr>
        <w:tc>
          <w:tcPr>
            <w:tcW w:w="3301" w:type="dxa"/>
          </w:tcPr>
          <w:p w14:paraId="2D898156" w14:textId="77777777" w:rsidR="000130A1" w:rsidRPr="0030124D" w:rsidRDefault="000130A1">
            <w:pPr>
              <w:jc w:val="left"/>
            </w:pPr>
            <w:r w:rsidRPr="0030124D">
              <w:t xml:space="preserve">Investment post-commitment </w:t>
            </w:r>
          </w:p>
          <w:p w14:paraId="0F337A64" w14:textId="77777777" w:rsidR="000130A1" w:rsidRPr="0030124D" w:rsidRDefault="000130A1">
            <w:pPr>
              <w:jc w:val="left"/>
            </w:pPr>
          </w:p>
          <w:p w14:paraId="44EB0001" w14:textId="77777777" w:rsidR="000130A1" w:rsidRPr="0030124D" w:rsidRDefault="000130A1">
            <w:pPr>
              <w:jc w:val="left"/>
            </w:pPr>
            <w:r w:rsidRPr="0030124D">
              <w:t xml:space="preserve">(Post Scottish Water internal Gate </w:t>
            </w:r>
            <w:r>
              <w:t>90</w:t>
            </w:r>
            <w:r w:rsidRPr="0030124D">
              <w:t>)</w:t>
            </w:r>
          </w:p>
        </w:tc>
        <w:tc>
          <w:tcPr>
            <w:tcW w:w="6332" w:type="dxa"/>
          </w:tcPr>
          <w:p w14:paraId="066C109E" w14:textId="77777777" w:rsidR="000130A1" w:rsidRPr="0030124D" w:rsidRDefault="000130A1">
            <w:pPr>
              <w:pStyle w:val="Bullet1"/>
              <w:jc w:val="left"/>
            </w:pPr>
            <w:r w:rsidRPr="0030124D">
              <w:t xml:space="preserve">Programmes of work </w:t>
            </w:r>
          </w:p>
          <w:p w14:paraId="7AC6203D" w14:textId="7858FC6A" w:rsidR="000130A1" w:rsidRPr="0030124D" w:rsidRDefault="000130A1">
            <w:pPr>
              <w:pStyle w:val="Bullet1"/>
              <w:jc w:val="left"/>
            </w:pPr>
            <w:r w:rsidRPr="0030124D">
              <w:t xml:space="preserve">Discrete projects where investment </w:t>
            </w:r>
            <w:r w:rsidR="00783A9F" w:rsidRPr="00783A9F">
              <w:rPr>
                <w:bCs/>
                <w:color w:val="auto"/>
              </w:rPr>
              <w:t>≥</w:t>
            </w:r>
            <w:r w:rsidRPr="00B45BCD">
              <w:rPr>
                <w:b/>
                <w:color w:val="FF0000"/>
              </w:rPr>
              <w:t xml:space="preserve"> </w:t>
            </w:r>
            <w:r w:rsidRPr="00783A9F">
              <w:rPr>
                <w:bCs/>
                <w:color w:val="auto"/>
              </w:rPr>
              <w:t>£</w:t>
            </w:r>
            <w:r w:rsidR="00EC7F1B">
              <w:rPr>
                <w:bCs/>
                <w:color w:val="auto"/>
              </w:rPr>
              <w:t>6</w:t>
            </w:r>
            <w:r w:rsidR="00EC7F1B" w:rsidRPr="00783A9F">
              <w:rPr>
                <w:bCs/>
                <w:color w:val="auto"/>
              </w:rPr>
              <w:t>m</w:t>
            </w:r>
            <w:r w:rsidR="00577D22">
              <w:rPr>
                <w:bCs/>
                <w:color w:val="auto"/>
              </w:rPr>
              <w:t>, or where investment is &lt;£</w:t>
            </w:r>
            <w:r w:rsidR="00EC7F1B">
              <w:rPr>
                <w:bCs/>
                <w:color w:val="auto"/>
              </w:rPr>
              <w:t xml:space="preserve">6m </w:t>
            </w:r>
            <w:r w:rsidR="00577D22">
              <w:rPr>
                <w:bCs/>
                <w:color w:val="auto"/>
              </w:rPr>
              <w:t>but the project is novel or contentious</w:t>
            </w:r>
          </w:p>
          <w:p w14:paraId="1DCFAFC2" w14:textId="77777777" w:rsidR="000130A1" w:rsidRPr="0030124D" w:rsidRDefault="000130A1">
            <w:pPr>
              <w:pStyle w:val="Bullet1"/>
              <w:jc w:val="left"/>
            </w:pPr>
            <w:r w:rsidRPr="0030124D">
              <w:t>Costs (in real prices and outturn prices)</w:t>
            </w:r>
          </w:p>
          <w:p w14:paraId="43967906" w14:textId="77777777" w:rsidR="000130A1" w:rsidRPr="0030124D" w:rsidRDefault="000130A1">
            <w:pPr>
              <w:pStyle w:val="Bullet1"/>
              <w:jc w:val="left"/>
            </w:pPr>
            <w:r w:rsidRPr="0030124D">
              <w:t>Outputs</w:t>
            </w:r>
          </w:p>
          <w:p w14:paraId="7EADA2F5" w14:textId="77777777" w:rsidR="000130A1" w:rsidRPr="0030124D" w:rsidRDefault="000130A1">
            <w:pPr>
              <w:pStyle w:val="Bullet1"/>
              <w:jc w:val="left"/>
            </w:pPr>
            <w:r w:rsidRPr="0030124D">
              <w:t>Project milestones</w:t>
            </w:r>
          </w:p>
        </w:tc>
      </w:tr>
    </w:tbl>
    <w:p w14:paraId="7CB4CDBF" w14:textId="77777777" w:rsidR="008A2050" w:rsidRDefault="008A2050" w:rsidP="00AE70DD">
      <w:pPr>
        <w:spacing w:line="240" w:lineRule="auto"/>
        <w:rPr>
          <w:lang w:eastAsia="zh-TW"/>
        </w:rPr>
      </w:pPr>
    </w:p>
    <w:p w14:paraId="4BCE2879" w14:textId="5E83BEB6" w:rsidR="00140450" w:rsidRDefault="00140450" w:rsidP="00140450">
      <w:r>
        <w:t xml:space="preserve">An output represents a tangible deliverable which will be provided by an investment that is driven by legislative or other requirements and will contribute towards meeting the investment driver. The output could also be a measurable contribution towards an outcome that Scottish Water play a part in achieving. </w:t>
      </w:r>
    </w:p>
    <w:p w14:paraId="3239B355" w14:textId="77777777" w:rsidR="00140450" w:rsidRDefault="00140450" w:rsidP="00140450"/>
    <w:p w14:paraId="2558B562" w14:textId="3914097B" w:rsidR="00140450" w:rsidRDefault="00140450" w:rsidP="00140450">
      <w:r w:rsidRPr="00140450">
        <w:t>If an enhancement or growth investment involves an element of replacement, Scottish Water should include the</w:t>
      </w:r>
      <w:r>
        <w:t xml:space="preserve"> percentage</w:t>
      </w:r>
      <w:r w:rsidRPr="00140450">
        <w:t xml:space="preserve"> allocation to replacement in</w:t>
      </w:r>
      <w:r>
        <w:t xml:space="preserve"> the relevant column.</w:t>
      </w:r>
    </w:p>
    <w:p w14:paraId="1D1AA607" w14:textId="77777777" w:rsidR="00140450" w:rsidRDefault="00140450" w:rsidP="00140450"/>
    <w:p w14:paraId="6599040B" w14:textId="06236AB3" w:rsidR="00665BEB" w:rsidRDefault="001967C7" w:rsidP="00665BEB">
      <w:pPr>
        <w:pStyle w:val="SMALLHEADINGALLCAPS"/>
      </w:pPr>
      <w:r>
        <w:t xml:space="preserve">Guidance for </w:t>
      </w:r>
      <w:r w:rsidR="00665BEB">
        <w:t>maintenance</w:t>
      </w:r>
      <w:r>
        <w:t xml:space="preserve"> projects and programmes of work</w:t>
      </w:r>
    </w:p>
    <w:p w14:paraId="5165B344" w14:textId="77777777" w:rsidR="00665BEB" w:rsidRPr="00CA322A" w:rsidRDefault="00665BEB" w:rsidP="00665BEB">
      <w:r w:rsidRPr="00CA322A">
        <w:t xml:space="preserve">Maintenance expenditure is investment in assets in order to maintain existing service levels to customers. This can comprise fixing an existing asset to ensure it meets its expected life (asset repair), extending the life of an existing asset (asset refurbishment) or replacing the asset outright (asset replacement). This may also be referred to as capital maintenance. </w:t>
      </w:r>
    </w:p>
    <w:p w14:paraId="459B0853" w14:textId="77777777" w:rsidR="00665BEB" w:rsidRPr="00CA322A" w:rsidRDefault="00665BEB" w:rsidP="00665BEB"/>
    <w:p w14:paraId="679B4313" w14:textId="62AD8FE5" w:rsidR="00665BEB" w:rsidRPr="00CA322A" w:rsidRDefault="00665BEB" w:rsidP="00665BEB">
      <w:r w:rsidRPr="00CA322A">
        <w:t xml:space="preserve">For those investment projects or programmes involving the replacement of an asset with another that provides a higher level of service or additional capacity, the allocation to asset replacement should be the optimised replacement cost of the asset. </w:t>
      </w:r>
      <w:r w:rsidR="00BD1C15" w:rsidRPr="00CD2C81">
        <w:rPr>
          <w:rFonts w:cstheme="minorHAnsi"/>
        </w:rPr>
        <w:t xml:space="preserve">Optimised replacement is defined as replacing an asset with one </w:t>
      </w:r>
      <w:r w:rsidR="00332C60">
        <w:rPr>
          <w:rFonts w:cstheme="minorHAnsi"/>
        </w:rPr>
        <w:t>with</w:t>
      </w:r>
      <w:r w:rsidR="00BD1C15" w:rsidRPr="00CD2C81">
        <w:rPr>
          <w:rFonts w:cstheme="minorHAnsi"/>
        </w:rPr>
        <w:t xml:space="preserve"> the equivalent productive capacity, taking account of modern </w:t>
      </w:r>
      <w:r w:rsidR="00BD1C15" w:rsidRPr="00CD2C81">
        <w:rPr>
          <w:rFonts w:cstheme="minorHAnsi"/>
        </w:rPr>
        <w:lastRenderedPageBreak/>
        <w:t>materials, techniques and design.</w:t>
      </w:r>
      <w:r>
        <w:rPr>
          <w:rFonts w:cstheme="minorHAnsi"/>
        </w:rPr>
        <w:t xml:space="preserve"> </w:t>
      </w:r>
      <w:r w:rsidRPr="00CA322A">
        <w:t>Any incremental expenditure over and above the optimised replacement cost of the asset should either be allocated to:</w:t>
      </w:r>
    </w:p>
    <w:p w14:paraId="4A691175" w14:textId="77777777" w:rsidR="00665BEB" w:rsidRPr="00CA322A" w:rsidRDefault="00665BEB" w:rsidP="00665BEB">
      <w:pPr>
        <w:pStyle w:val="Bullet1"/>
        <w:rPr>
          <w:color w:val="auto"/>
        </w:rPr>
      </w:pPr>
      <w:r w:rsidRPr="00CA322A">
        <w:rPr>
          <w:color w:val="auto"/>
        </w:rPr>
        <w:t>enhancement – if the project involves replacement of an asset with another that provides a higher level of service in response to a legislative or other requirement; or</w:t>
      </w:r>
    </w:p>
    <w:p w14:paraId="3BCFA260" w14:textId="0EA7AD54" w:rsidR="00665BEB" w:rsidRDefault="00665BEB" w:rsidP="00665BEB">
      <w:pPr>
        <w:pStyle w:val="Bullet1"/>
        <w:rPr>
          <w:color w:val="auto"/>
        </w:rPr>
      </w:pPr>
      <w:r w:rsidRPr="00CA322A">
        <w:rPr>
          <w:color w:val="auto"/>
        </w:rPr>
        <w:t>growth – if the project involves the replacement of an asset with another that provides additional capacity</w:t>
      </w:r>
      <w:r w:rsidRPr="00A47CF6">
        <w:rPr>
          <w:color w:val="auto"/>
        </w:rPr>
        <w:t>.</w:t>
      </w:r>
    </w:p>
    <w:p w14:paraId="2E1E82EB" w14:textId="77777777" w:rsidR="00F178D9" w:rsidRDefault="00F178D9" w:rsidP="00F178D9">
      <w:pPr>
        <w:pStyle w:val="Bullet1"/>
        <w:numPr>
          <w:ilvl w:val="0"/>
          <w:numId w:val="0"/>
        </w:numPr>
        <w:ind w:left="357" w:hanging="357"/>
        <w:rPr>
          <w:color w:val="auto"/>
        </w:rPr>
      </w:pPr>
    </w:p>
    <w:p w14:paraId="627833B0" w14:textId="71BA5242" w:rsidR="00665BEB" w:rsidRDefault="00880227" w:rsidP="00140450">
      <w:r>
        <w:t xml:space="preserve">Table 5 does not </w:t>
      </w:r>
      <w:r w:rsidR="00545CB3">
        <w:t xml:space="preserve">require Scottish Water to separate </w:t>
      </w:r>
      <w:r>
        <w:t>repair and refurbishment</w:t>
      </w:r>
      <w:r w:rsidR="00F26CD6">
        <w:t xml:space="preserve"> expenditure</w:t>
      </w:r>
      <w:r w:rsidR="00545CB3">
        <w:t>. However,</w:t>
      </w:r>
      <w:r w:rsidR="006F7C2E">
        <w:t xml:space="preserve"> </w:t>
      </w:r>
      <w:r w:rsidR="000C2351">
        <w:t xml:space="preserve">Scottish Water </w:t>
      </w:r>
      <w:r w:rsidR="00F23ADF">
        <w:t xml:space="preserve">should </w:t>
      </w:r>
      <w:r w:rsidR="00432DC8">
        <w:t>provide an indicative split between</w:t>
      </w:r>
      <w:r w:rsidR="00247592">
        <w:t xml:space="preserve"> repair </w:t>
      </w:r>
      <w:r w:rsidR="00432DC8">
        <w:t>and</w:t>
      </w:r>
      <w:r w:rsidR="00247592">
        <w:t xml:space="preserve"> refurbishment expenditure</w:t>
      </w:r>
      <w:r w:rsidR="00545CB3" w:rsidRPr="00545CB3">
        <w:t xml:space="preserve"> </w:t>
      </w:r>
      <w:r w:rsidR="000C2351">
        <w:t xml:space="preserve">in </w:t>
      </w:r>
      <w:r w:rsidR="006028C7">
        <w:t xml:space="preserve">its </w:t>
      </w:r>
      <w:r w:rsidR="000C2351">
        <w:t>commentary</w:t>
      </w:r>
      <w:r w:rsidR="00F23ADF">
        <w:t xml:space="preserve"> to </w:t>
      </w:r>
      <w:r w:rsidR="00BD305A">
        <w:t xml:space="preserve">help to </w:t>
      </w:r>
      <w:r w:rsidR="00BD305A" w:rsidRPr="00BD305A">
        <w:t>understand when it is most economic to replace versus refurbish an asset and extend its life</w:t>
      </w:r>
      <w:r w:rsidR="00BD305A">
        <w:t xml:space="preserve">. </w:t>
      </w:r>
      <w:r w:rsidR="009B7BC1">
        <w:t>Given that this</w:t>
      </w:r>
      <w:r w:rsidR="00081789" w:rsidRPr="00081789">
        <w:t xml:space="preserve"> is the direction of travel</w:t>
      </w:r>
      <w:r w:rsidR="009B7BC1">
        <w:t xml:space="preserve">, </w:t>
      </w:r>
      <w:r w:rsidR="00081789" w:rsidRPr="00081789">
        <w:t xml:space="preserve">we would expect </w:t>
      </w:r>
      <w:r w:rsidR="00A909A9">
        <w:t>Scottish Water</w:t>
      </w:r>
      <w:r w:rsidR="00081789" w:rsidRPr="00081789">
        <w:t xml:space="preserve"> to be able to disaggregate </w:t>
      </w:r>
      <w:r w:rsidR="00F23ADF">
        <w:t xml:space="preserve">repair and refurbishment </w:t>
      </w:r>
      <w:r w:rsidR="00081789" w:rsidRPr="00081789">
        <w:t xml:space="preserve">over the course of </w:t>
      </w:r>
      <w:r w:rsidR="00DD1CFD">
        <w:t xml:space="preserve">the </w:t>
      </w:r>
      <w:r w:rsidR="00081789" w:rsidRPr="00081789">
        <w:t>SRC27</w:t>
      </w:r>
      <w:r w:rsidR="00DD1CFD">
        <w:t xml:space="preserve"> regulatory control period</w:t>
      </w:r>
      <w:r w:rsidR="00081789" w:rsidRPr="00081789">
        <w:t>.</w:t>
      </w:r>
    </w:p>
    <w:p w14:paraId="6E72A820" w14:textId="77777777" w:rsidR="00843F76" w:rsidRDefault="00843F76" w:rsidP="00140450"/>
    <w:p w14:paraId="1C71C071" w14:textId="64DF5916" w:rsidR="00843F76" w:rsidRPr="00206F52" w:rsidRDefault="00843F76" w:rsidP="00843F76">
      <w:pPr>
        <w:pStyle w:val="SMALLHEADINGALLCAPS"/>
      </w:pPr>
      <w:r w:rsidRPr="00206F52">
        <w:t>Investment related to climate change mitigation and adaptation</w:t>
      </w:r>
    </w:p>
    <w:p w14:paraId="34A811C9" w14:textId="4223E453" w:rsidR="001F0730" w:rsidRDefault="0074526B" w:rsidP="001F0730">
      <w:r>
        <w:t xml:space="preserve">As explained in chapter </w:t>
      </w:r>
      <w:r w:rsidR="00F963C2">
        <w:fldChar w:fldCharType="begin"/>
      </w:r>
      <w:r w:rsidR="00F963C2">
        <w:instrText xml:space="preserve"> REF _Ref183443679 \r \h </w:instrText>
      </w:r>
      <w:r w:rsidR="00F963C2">
        <w:fldChar w:fldCharType="separate"/>
      </w:r>
      <w:r w:rsidR="00F963C2">
        <w:t>2.2</w:t>
      </w:r>
      <w:r w:rsidR="00F963C2">
        <w:fldChar w:fldCharType="end"/>
      </w:r>
      <w:r>
        <w:t>, r</w:t>
      </w:r>
      <w:r w:rsidRPr="0074526B">
        <w:t xml:space="preserve">esponding to the effects of climate change should be fully embedded in how Scottish Water develops its investment programme. As such, Scottish Water should invest in a way that mitigates the carbon emitted from investment (responding to the mitigation challenge) and future-proofs its services to the effects of a changing climate (responding to the adaptation challenge). </w:t>
      </w:r>
      <w:r w:rsidR="005974D7">
        <w:t>T</w:t>
      </w:r>
      <w:r w:rsidRPr="0074526B">
        <w:t>here may be some areas of the investment programme where the sole driver or purpose for the investment is related to climate change – e.g. responding to flash flooding and improving resilience to power interruptions. In these cases, Scottish Water could include climate change as a distinct category of the enhancement investment programme. However, this needs to relate to an incremental improvement in resilience in the system – restoring resilience to its original level through replacing an ageing asset should be considered asset replacement.</w:t>
      </w:r>
    </w:p>
    <w:p w14:paraId="0DD525EF" w14:textId="77777777" w:rsidR="002347E0" w:rsidRDefault="002347E0" w:rsidP="001F0730"/>
    <w:p w14:paraId="6B097CC9" w14:textId="6AE652E9" w:rsidR="007E6675" w:rsidRDefault="00222EA2" w:rsidP="001F0730">
      <w:r>
        <w:t xml:space="preserve">For any project or programme of work line in </w:t>
      </w:r>
      <w:r w:rsidR="00E616C9">
        <w:t>t</w:t>
      </w:r>
      <w:r w:rsidR="00360459">
        <w:t xml:space="preserve">able 5, Scottish Water should indicate in </w:t>
      </w:r>
      <w:r w:rsidR="00EC10D7">
        <w:t xml:space="preserve">column </w:t>
      </w:r>
      <w:r w:rsidR="0020529A">
        <w:t>12</w:t>
      </w:r>
      <w:r w:rsidR="00BC6F59">
        <w:t xml:space="preserve"> how much of the total investment expenditure for that line relates to c</w:t>
      </w:r>
      <w:r w:rsidR="001D1FAB">
        <w:t>limate change adaptation and mitigation.</w:t>
      </w:r>
      <w:r w:rsidR="006818D9">
        <w:t xml:space="preserve"> </w:t>
      </w:r>
      <w:r w:rsidR="00AE1DE6">
        <w:t xml:space="preserve">For avoidance of doubt, this </w:t>
      </w:r>
      <w:r w:rsidR="00035BFE">
        <w:t xml:space="preserve">column </w:t>
      </w:r>
      <w:r w:rsidR="003B3F6B">
        <w:t>provides</w:t>
      </w:r>
      <w:r w:rsidR="00035BFE">
        <w:t xml:space="preserve"> a secondary categorisation of the investment expenditure</w:t>
      </w:r>
      <w:r w:rsidR="0050537D">
        <w:t xml:space="preserve"> which is separate to the allocations</w:t>
      </w:r>
      <w:r w:rsidR="007A3ADE">
        <w:t xml:space="preserve"> to replacement, repair </w:t>
      </w:r>
      <w:r w:rsidR="003B3F6B">
        <w:t>and</w:t>
      </w:r>
      <w:r w:rsidR="007A3ADE">
        <w:t xml:space="preserve"> refurb</w:t>
      </w:r>
      <w:r w:rsidR="003B3F6B">
        <w:t>ishment</w:t>
      </w:r>
      <w:r w:rsidR="007A3ADE">
        <w:t>, enhancement, and growth.</w:t>
      </w:r>
    </w:p>
    <w:p w14:paraId="540B4963" w14:textId="77777777" w:rsidR="00D76AE7" w:rsidRDefault="00D76AE7" w:rsidP="001F0730"/>
    <w:p w14:paraId="583DB37C" w14:textId="1235CD66" w:rsidR="00D76AE7" w:rsidRDefault="00D76AE7" w:rsidP="00954233">
      <w:pPr>
        <w:pStyle w:val="SMALLHEADINGALLCAPS"/>
      </w:pPr>
      <w:r>
        <w:t>Investment case</w:t>
      </w:r>
      <w:r w:rsidR="00F55246">
        <w:t xml:space="preserve"> information</w:t>
      </w:r>
    </w:p>
    <w:p w14:paraId="7627437E" w14:textId="7D1AA8F9" w:rsidR="00592C4D" w:rsidRPr="0030124D" w:rsidRDefault="00592C4D" w:rsidP="00592C4D">
      <w:r w:rsidRPr="0030124D">
        <w:t xml:space="preserve">We </w:t>
      </w:r>
      <w:r>
        <w:t xml:space="preserve">require </w:t>
      </w:r>
      <w:r w:rsidRPr="0030124D">
        <w:t xml:space="preserve">Scottish Water </w:t>
      </w:r>
      <w:r>
        <w:t>to</w:t>
      </w:r>
      <w:r w:rsidRPr="0030124D">
        <w:t xml:space="preserve"> provide </w:t>
      </w:r>
      <w:r w:rsidR="00561A86">
        <w:t>standard</w:t>
      </w:r>
      <w:r w:rsidRPr="0030124D">
        <w:t xml:space="preserve"> information for aggregated programmes of work </w:t>
      </w:r>
      <w:r>
        <w:t>and</w:t>
      </w:r>
      <w:r w:rsidRPr="735A4E9E">
        <w:t xml:space="preserve"> projects</w:t>
      </w:r>
      <w:r>
        <w:t xml:space="preserve"> </w:t>
      </w:r>
      <w:r w:rsidRPr="0030124D">
        <w:t>which are in</w:t>
      </w:r>
      <w:r>
        <w:t xml:space="preserve"> </w:t>
      </w:r>
      <w:r w:rsidRPr="0030124D">
        <w:t xml:space="preserve">development and post commitment, i.e. </w:t>
      </w:r>
      <w:r w:rsidRPr="735A4E9E">
        <w:t xml:space="preserve">Scottish Water’s internal Gate </w:t>
      </w:r>
      <w:r>
        <w:t>5</w:t>
      </w:r>
      <w:r w:rsidRPr="735A4E9E">
        <w:t>0 onwards when Scottish Water conducts a strategic options review.</w:t>
      </w:r>
      <w:r>
        <w:t xml:space="preserve"> We expect t</w:t>
      </w:r>
      <w:r w:rsidRPr="0030124D">
        <w:t>h</w:t>
      </w:r>
      <w:r>
        <w:t>e</w:t>
      </w:r>
      <w:r w:rsidRPr="0030124D">
        <w:t xml:space="preserve"> standard information </w:t>
      </w:r>
      <w:r>
        <w:t>for both projects and for programmes of work to</w:t>
      </w:r>
      <w:r w:rsidRPr="0030124D">
        <w:t xml:space="preserve"> cover:</w:t>
      </w:r>
    </w:p>
    <w:p w14:paraId="5B552F02" w14:textId="77777777" w:rsidR="00592C4D" w:rsidRPr="0030124D" w:rsidRDefault="00592C4D" w:rsidP="00592C4D">
      <w:pPr>
        <w:pStyle w:val="Bullet1"/>
        <w:ind w:left="360" w:hanging="360"/>
      </w:pPr>
      <w:r w:rsidRPr="0030124D">
        <w:t>the range of options considered (both traditional and non-traditional) to meet the need for an investment including the risk of not doing anything, recognising that a ‘do nothing’ option still has a cost associated with it</w:t>
      </w:r>
      <w:r>
        <w:t xml:space="preserve">. We also acknowledge that </w:t>
      </w:r>
      <w:r w:rsidRPr="006A0980">
        <w:t xml:space="preserve">in some cases Scottish Water may have </w:t>
      </w:r>
      <w:r w:rsidRPr="006A0980">
        <w:lastRenderedPageBreak/>
        <w:t>less flexibility in deciding how and when to deliver investment outcomes, particularly if the situation is urgent and/or poses high risk to public health</w:t>
      </w:r>
      <w:r>
        <w:t xml:space="preserve">; </w:t>
      </w:r>
    </w:p>
    <w:p w14:paraId="6DF951D7" w14:textId="77777777" w:rsidR="00592C4D" w:rsidRDefault="00592C4D" w:rsidP="00592C4D">
      <w:pPr>
        <w:pStyle w:val="Bullet1"/>
        <w:ind w:left="360" w:hanging="360"/>
      </w:pPr>
      <w:r>
        <w:t>whether the investment has the support of the quality regulators, DWQR and SEPA;</w:t>
      </w:r>
    </w:p>
    <w:p w14:paraId="10C59773" w14:textId="77777777" w:rsidR="00592C4D" w:rsidRPr="0030124D" w:rsidRDefault="00592C4D" w:rsidP="00592C4D">
      <w:pPr>
        <w:pStyle w:val="Bullet1"/>
      </w:pPr>
      <w:r w:rsidRPr="0030124D">
        <w:t>how the investment will support climate change adaptation and align with the Scottish Government’s policy development work</w:t>
      </w:r>
      <w:r>
        <w:t>;</w:t>
      </w:r>
    </w:p>
    <w:p w14:paraId="074FD173" w14:textId="77777777" w:rsidR="00592C4D" w:rsidRPr="0030124D" w:rsidRDefault="00592C4D" w:rsidP="00592C4D">
      <w:pPr>
        <w:pStyle w:val="Bullet1"/>
      </w:pPr>
      <w:r w:rsidRPr="0030124D">
        <w:t xml:space="preserve">the cost-benefit analysis undertaken to select the proposed solution, taking account of factors such as the level of risk associated with the different options and benefits in terms of what the investment is expected to achieve. Scottish Water should also consider non-financial costs and benefits such as the carbon impact (both operational </w:t>
      </w:r>
      <w:r w:rsidRPr="0030124D" w:rsidDel="00EC0B97">
        <w:t xml:space="preserve">and </w:t>
      </w:r>
      <w:r>
        <w:t>embodied</w:t>
      </w:r>
      <w:r w:rsidRPr="0030124D" w:rsidDel="00EC0B97">
        <w:t xml:space="preserve"> carbon), natural and social capital</w:t>
      </w:r>
      <w:r w:rsidRPr="0030124D">
        <w:t>;</w:t>
      </w:r>
      <w:r w:rsidRPr="0030124D">
        <w:rPr>
          <w:rStyle w:val="FootnoteReference"/>
        </w:rPr>
        <w:footnoteReference w:id="6"/>
      </w:r>
      <w:r w:rsidRPr="0030124D">
        <w:t xml:space="preserve"> </w:t>
      </w:r>
    </w:p>
    <w:p w14:paraId="1C22E4DF" w14:textId="77777777" w:rsidR="00592C4D" w:rsidRPr="0030124D" w:rsidRDefault="00592C4D" w:rsidP="00592C4D">
      <w:pPr>
        <w:pStyle w:val="Bullet1"/>
        <w:ind w:left="360" w:hanging="360"/>
      </w:pPr>
      <w:r w:rsidRPr="0030124D">
        <w:t>evidence that the proposed costs for the proposed solution are efficient, which could be evidenced through different methods such as comparisons to past projects or the use of industry cost benchmarks (efficiency is covered in more detail below) or external assurance on the robustness of the cost estimates;</w:t>
      </w:r>
    </w:p>
    <w:p w14:paraId="01B30C6B" w14:textId="77777777" w:rsidR="00592C4D" w:rsidRPr="0030124D" w:rsidRDefault="00592C4D" w:rsidP="00592C4D">
      <w:pPr>
        <w:pStyle w:val="Bullet1"/>
        <w:ind w:left="360" w:hanging="360"/>
      </w:pPr>
      <w:r w:rsidRPr="0030124D">
        <w:t>whether the investment involves partners, recognising the expectation in the Commissioning letter for Scottish Water to continue working closely with partners to identify more sustainable solutions (such as the adoption of blue-green infrastructure</w:t>
      </w:r>
      <w:r>
        <w:t xml:space="preserve"> and utilising existing legislation such as section 29e</w:t>
      </w:r>
      <w:r>
        <w:rPr>
          <w:rStyle w:val="FootnoteReference"/>
        </w:rPr>
        <w:footnoteReference w:id="7"/>
      </w:r>
      <w:r>
        <w:t xml:space="preserve"> to explore innovative solutions</w:t>
      </w:r>
      <w:r w:rsidRPr="0030124D">
        <w:t xml:space="preserve">) and, if so, how costs will be shared with the partners </w:t>
      </w:r>
      <w:r>
        <w:t>including</w:t>
      </w:r>
      <w:r w:rsidRPr="0030124D">
        <w:t xml:space="preserve"> the funding arrangements; </w:t>
      </w:r>
    </w:p>
    <w:p w14:paraId="228BA058" w14:textId="77777777" w:rsidR="00167B2F" w:rsidRPr="00954233" w:rsidRDefault="00592C4D">
      <w:pPr>
        <w:pStyle w:val="Bullet1"/>
        <w:ind w:left="360" w:hanging="360"/>
        <w:rPr>
          <w:color w:val="FF0000"/>
        </w:rPr>
      </w:pPr>
      <w:r>
        <w:t xml:space="preserve">if Scottish Water has already engaged with communities in terms of project design, </w:t>
      </w:r>
      <w:r w:rsidRPr="0030124D">
        <w:t xml:space="preserve">how </w:t>
      </w:r>
      <w:r>
        <w:t xml:space="preserve">those community </w:t>
      </w:r>
      <w:r w:rsidRPr="0030124D">
        <w:t>views have informed the choice of the proposed solution; and</w:t>
      </w:r>
    </w:p>
    <w:p w14:paraId="72CD5A9F" w14:textId="1516B0DC" w:rsidR="00D76AE7" w:rsidRPr="00E10F41" w:rsidRDefault="00592C4D" w:rsidP="00954233">
      <w:pPr>
        <w:pStyle w:val="Bullet1"/>
        <w:ind w:left="360" w:hanging="360"/>
        <w:rPr>
          <w:color w:val="FF0000"/>
        </w:rPr>
      </w:pPr>
      <w:r w:rsidRPr="0030124D">
        <w:t>the output(s) and benefits that will be delivered from the proposed solution and the outcomes that the investment will contribute to in the context of the Objectives of the Scottish Ministers and Scottish Water’s contribution to the sector vision.</w:t>
      </w:r>
    </w:p>
    <w:p w14:paraId="7C335A93" w14:textId="77777777" w:rsidR="00167B2F" w:rsidRDefault="00167B2F" w:rsidP="00167B2F">
      <w:pPr>
        <w:pStyle w:val="Bullet1"/>
        <w:numPr>
          <w:ilvl w:val="0"/>
          <w:numId w:val="0"/>
        </w:numPr>
        <w:ind w:left="357" w:hanging="357"/>
      </w:pPr>
    </w:p>
    <w:p w14:paraId="70D034B5" w14:textId="77777777" w:rsidR="00EB6F5F" w:rsidRPr="0030124D" w:rsidRDefault="00EB6F5F" w:rsidP="00EB6F5F">
      <w:r w:rsidRPr="0030124D">
        <w:t xml:space="preserve">We </w:t>
      </w:r>
      <w:r>
        <w:t>are also placing</w:t>
      </w:r>
      <w:r w:rsidRPr="0030124D">
        <w:t xml:space="preserve"> additional requirements on </w:t>
      </w:r>
      <w:r>
        <w:t xml:space="preserve">two </w:t>
      </w:r>
      <w:r w:rsidRPr="0030124D">
        <w:t>specific categories of projects:</w:t>
      </w:r>
    </w:p>
    <w:p w14:paraId="7E82EDB3" w14:textId="77777777" w:rsidR="00EB6F5F" w:rsidRPr="0030124D" w:rsidRDefault="00EB6F5F" w:rsidP="00EB6F5F">
      <w:pPr>
        <w:pStyle w:val="Bullet1"/>
      </w:pPr>
      <w:r w:rsidRPr="0030124D">
        <w:t xml:space="preserve">large projects, </w:t>
      </w:r>
      <w:r>
        <w:t>defined as projects with a total project value above</w:t>
      </w:r>
      <w:r w:rsidRPr="0030124D">
        <w:t xml:space="preserve"> £100m;</w:t>
      </w:r>
      <w:r w:rsidRPr="0030124D">
        <w:rPr>
          <w:rStyle w:val="FootnoteReference"/>
        </w:rPr>
        <w:footnoteReference w:id="8"/>
      </w:r>
      <w:r w:rsidRPr="0030124D">
        <w:t xml:space="preserve"> and</w:t>
      </w:r>
    </w:p>
    <w:p w14:paraId="7FE5E63B" w14:textId="77777777" w:rsidR="00EB6F5F" w:rsidRPr="0030124D" w:rsidRDefault="00EB6F5F" w:rsidP="00EB6F5F">
      <w:pPr>
        <w:pStyle w:val="Bullet1"/>
      </w:pPr>
      <w:r w:rsidRPr="0030124D">
        <w:t xml:space="preserve">Private Finance Initiative funded projects, recognising that Ministers have requested WICS undertake a full examination of Scottish Water’s approach to establishing the options and costs of the 4 PFI contracts maturing in the 2027-33 regulatory period. </w:t>
      </w:r>
    </w:p>
    <w:p w14:paraId="31BE6F87" w14:textId="77777777" w:rsidR="00EB6F5F" w:rsidRPr="0030124D" w:rsidRDefault="00EB6F5F" w:rsidP="00EB6F5F"/>
    <w:p w14:paraId="71C95EE3" w14:textId="77777777" w:rsidR="00EB6F5F" w:rsidRDefault="00EB6F5F" w:rsidP="00EB6F5F">
      <w:r w:rsidRPr="0030124D">
        <w:t>For these projects, we require Scottish Water to provide external assurance on the proposed approach and the robustness of the cost estimates.</w:t>
      </w:r>
    </w:p>
    <w:p w14:paraId="608A3C68" w14:textId="66FC555F" w:rsidR="005D69EE" w:rsidRPr="00167B2F" w:rsidRDefault="007E6CC0" w:rsidP="00875499">
      <w:r w:rsidRPr="007E6CC0">
        <w:lastRenderedPageBreak/>
        <w:t>We would expect Scottish Water to have this standard information regardless of the criteria for defining projects and programme of works.</w:t>
      </w:r>
      <w:r w:rsidR="001B5FBD">
        <w:t xml:space="preserve"> For the business plan submission, we require Scottish Water to </w:t>
      </w:r>
      <w:r w:rsidR="00875C59">
        <w:t xml:space="preserve">provide separate </w:t>
      </w:r>
      <w:r w:rsidR="00F26C29" w:rsidRPr="00F26C29">
        <w:t>investment cases for</w:t>
      </w:r>
      <w:r w:rsidR="00875499">
        <w:t xml:space="preserve"> p</w:t>
      </w:r>
      <w:r w:rsidR="00F26C29" w:rsidRPr="00F26C29">
        <w:t>rojects exceeding £</w:t>
      </w:r>
      <w:r w:rsidR="00F26C29">
        <w:t>6</w:t>
      </w:r>
      <w:r w:rsidR="00F26C29" w:rsidRPr="00F26C29">
        <w:t>m in value or are considered novel or contentious</w:t>
      </w:r>
      <w:r w:rsidR="005D69EE">
        <w:t>, and</w:t>
      </w:r>
      <w:r w:rsidR="00875499">
        <w:t xml:space="preserve"> for </w:t>
      </w:r>
      <w:r w:rsidR="007B1000">
        <w:t>all programmes of work</w:t>
      </w:r>
      <w:r w:rsidR="008B70C2">
        <w:t xml:space="preserve"> to ensure there is visibility of the full investment programme.</w:t>
      </w:r>
    </w:p>
    <w:p w14:paraId="6739C06A" w14:textId="77777777" w:rsidR="00880227" w:rsidRDefault="00880227" w:rsidP="00140450"/>
    <w:p w14:paraId="1E367CDD" w14:textId="023EDFAD" w:rsidR="00140450" w:rsidRDefault="00140450" w:rsidP="00B45BCD">
      <w:pPr>
        <w:pStyle w:val="SMALLHEADINGALLCAPS"/>
      </w:pPr>
      <w:r>
        <w:t>Charge path scenarios</w:t>
      </w:r>
    </w:p>
    <w:p w14:paraId="24BDBC71" w14:textId="31526877" w:rsidR="00AE70DD" w:rsidRPr="007D1EE0" w:rsidRDefault="004B32BA" w:rsidP="00140450">
      <w:r w:rsidRPr="007D1EE0">
        <w:t xml:space="preserve">The Commissioning letter requests a range of charge paths for household and non-household customers covering drinking water, wastewater and drainage services. The methodology </w:t>
      </w:r>
      <w:r w:rsidR="00BB04F5" w:rsidRPr="007D1EE0">
        <w:t xml:space="preserve">outlined how </w:t>
      </w:r>
      <w:r w:rsidR="00C10F6B" w:rsidRPr="007D1EE0">
        <w:t xml:space="preserve">the charge path scenarios should have one reference scenario, with Scottish Water identifying the projects </w:t>
      </w:r>
      <w:r w:rsidR="00E047FD">
        <w:t>and</w:t>
      </w:r>
      <w:r w:rsidR="00E047FD" w:rsidRPr="007D1EE0">
        <w:t xml:space="preserve"> </w:t>
      </w:r>
      <w:r w:rsidR="00C10F6B" w:rsidRPr="007D1EE0">
        <w:t xml:space="preserve">programmes of work that would be subtracted and/or added to the reference scenario in each of the other charge path scenarios to allow us to set a baseline on any of the charge paths. The charge path scenarios should </w:t>
      </w:r>
      <w:r w:rsidR="00FC613B" w:rsidRPr="007D1EE0">
        <w:t xml:space="preserve">be </w:t>
      </w:r>
      <w:r w:rsidR="00745B91" w:rsidRPr="007D1EE0">
        <w:t xml:space="preserve">shown through the projects and programmes in table </w:t>
      </w:r>
      <w:r w:rsidR="00E047FD">
        <w:t>5</w:t>
      </w:r>
      <w:r w:rsidR="00745B91" w:rsidRPr="007D1EE0">
        <w:t>.</w:t>
      </w:r>
    </w:p>
    <w:p w14:paraId="03CE3C6F" w14:textId="77777777" w:rsidR="00745B91" w:rsidRPr="007D1EE0" w:rsidRDefault="00745B91" w:rsidP="00140450"/>
    <w:p w14:paraId="62DFDF81" w14:textId="1FE464EC" w:rsidR="00745B91" w:rsidRPr="007D1EE0" w:rsidRDefault="00745B91" w:rsidP="00140450">
      <w:r w:rsidRPr="007D1EE0">
        <w:t>We believe that there are two options for this to be achieved</w:t>
      </w:r>
      <w:r w:rsidR="00232F9D" w:rsidRPr="007D1EE0">
        <w:t xml:space="preserve"> and are happy for Scottish Water to choose the option</w:t>
      </w:r>
      <w:r w:rsidR="00C24EA6" w:rsidRPr="007D1EE0">
        <w:t xml:space="preserve"> </w:t>
      </w:r>
      <w:r w:rsidR="0092110B" w:rsidRPr="007D1EE0">
        <w:t>that best suits them</w:t>
      </w:r>
      <w:r w:rsidR="0027795C" w:rsidRPr="007D1EE0">
        <w:t>:</w:t>
      </w:r>
    </w:p>
    <w:p w14:paraId="52DE407C" w14:textId="45C1A097" w:rsidR="00DD3E54" w:rsidRDefault="00CD7D40" w:rsidP="000A01AB">
      <w:pPr>
        <w:pStyle w:val="Bullet1"/>
        <w:numPr>
          <w:ilvl w:val="0"/>
          <w:numId w:val="10"/>
        </w:numPr>
        <w:rPr>
          <w:rFonts w:cstheme="minorBidi"/>
          <w:color w:val="auto"/>
          <w:szCs w:val="22"/>
        </w:rPr>
      </w:pPr>
      <w:r w:rsidRPr="007D1EE0">
        <w:rPr>
          <w:rFonts w:cstheme="minorBidi"/>
          <w:color w:val="auto"/>
          <w:szCs w:val="22"/>
        </w:rPr>
        <w:t xml:space="preserve">Projects should indicate to which charge path scenario they belong to. </w:t>
      </w:r>
      <w:r w:rsidR="0092110B" w:rsidRPr="007D1EE0">
        <w:rPr>
          <w:rFonts w:cstheme="minorBidi"/>
          <w:color w:val="auto"/>
          <w:szCs w:val="22"/>
        </w:rPr>
        <w:t xml:space="preserve">For each programme </w:t>
      </w:r>
      <w:r w:rsidR="00E4785C" w:rsidRPr="007D1EE0">
        <w:rPr>
          <w:rFonts w:cstheme="minorBidi"/>
          <w:color w:val="auto"/>
          <w:szCs w:val="22"/>
        </w:rPr>
        <w:t>of work</w:t>
      </w:r>
      <w:r w:rsidR="009113D4">
        <w:rPr>
          <w:rFonts w:cstheme="minorBidi"/>
          <w:color w:val="auto"/>
          <w:szCs w:val="22"/>
        </w:rPr>
        <w:t>,</w:t>
      </w:r>
      <w:r w:rsidR="00E4785C" w:rsidRPr="007D1EE0">
        <w:rPr>
          <w:rFonts w:cstheme="minorBidi"/>
          <w:color w:val="auto"/>
          <w:szCs w:val="22"/>
        </w:rPr>
        <w:t xml:space="preserve"> there should be</w:t>
      </w:r>
      <w:r w:rsidR="00DD3E54">
        <w:rPr>
          <w:rFonts w:cstheme="minorBidi"/>
          <w:color w:val="auto"/>
          <w:szCs w:val="22"/>
        </w:rPr>
        <w:t>:</w:t>
      </w:r>
    </w:p>
    <w:p w14:paraId="71ABB99A" w14:textId="587B95E3" w:rsidR="00DD3E54" w:rsidRDefault="00E4785C" w:rsidP="000A01AB">
      <w:pPr>
        <w:pStyle w:val="Bullet1"/>
        <w:numPr>
          <w:ilvl w:val="1"/>
          <w:numId w:val="10"/>
        </w:numPr>
        <w:rPr>
          <w:rFonts w:cstheme="minorBidi"/>
          <w:color w:val="auto"/>
          <w:szCs w:val="22"/>
        </w:rPr>
      </w:pPr>
      <w:r w:rsidRPr="007D1EE0">
        <w:rPr>
          <w:rFonts w:cstheme="minorBidi"/>
          <w:color w:val="auto"/>
          <w:szCs w:val="22"/>
        </w:rPr>
        <w:t>one row for the reference scenario</w:t>
      </w:r>
      <w:r w:rsidR="00D82CA8">
        <w:rPr>
          <w:rFonts w:cstheme="minorBidi"/>
          <w:color w:val="auto"/>
          <w:szCs w:val="22"/>
        </w:rPr>
        <w:t>;</w:t>
      </w:r>
      <w:r w:rsidRPr="007D1EE0">
        <w:rPr>
          <w:rFonts w:cstheme="minorBidi"/>
          <w:color w:val="auto"/>
          <w:szCs w:val="22"/>
        </w:rPr>
        <w:t xml:space="preserve"> </w:t>
      </w:r>
      <w:r w:rsidR="00C64FB7">
        <w:rPr>
          <w:rFonts w:cstheme="minorBidi"/>
          <w:color w:val="auto"/>
          <w:szCs w:val="22"/>
        </w:rPr>
        <w:t>and</w:t>
      </w:r>
    </w:p>
    <w:p w14:paraId="3B28A15B" w14:textId="3EFCAD95" w:rsidR="00DD3E54" w:rsidRDefault="007565C4" w:rsidP="000A01AB">
      <w:pPr>
        <w:pStyle w:val="Bullet1"/>
        <w:numPr>
          <w:ilvl w:val="1"/>
          <w:numId w:val="10"/>
        </w:numPr>
        <w:rPr>
          <w:rFonts w:cstheme="minorBidi"/>
          <w:color w:val="auto"/>
          <w:szCs w:val="22"/>
        </w:rPr>
      </w:pPr>
      <w:r w:rsidRPr="007D1EE0">
        <w:rPr>
          <w:rFonts w:cstheme="minorBidi"/>
          <w:color w:val="auto"/>
          <w:szCs w:val="22"/>
        </w:rPr>
        <w:t xml:space="preserve">a </w:t>
      </w:r>
      <w:r w:rsidR="001B2AE7">
        <w:rPr>
          <w:rFonts w:cstheme="minorBidi"/>
          <w:color w:val="auto"/>
          <w:szCs w:val="22"/>
        </w:rPr>
        <w:t>further</w:t>
      </w:r>
      <w:r w:rsidR="001B2AE7" w:rsidRPr="007D1EE0">
        <w:rPr>
          <w:rFonts w:cstheme="minorBidi"/>
          <w:color w:val="auto"/>
          <w:szCs w:val="22"/>
        </w:rPr>
        <w:t xml:space="preserve"> </w:t>
      </w:r>
      <w:r w:rsidR="00E4785C" w:rsidRPr="007D1EE0">
        <w:rPr>
          <w:rFonts w:cstheme="minorBidi"/>
          <w:color w:val="auto"/>
          <w:szCs w:val="22"/>
        </w:rPr>
        <w:t xml:space="preserve">row for </w:t>
      </w:r>
      <w:r w:rsidR="00BA28B2">
        <w:rPr>
          <w:rFonts w:cstheme="minorBidi"/>
          <w:color w:val="auto"/>
          <w:szCs w:val="22"/>
        </w:rPr>
        <w:t>each other</w:t>
      </w:r>
      <w:r w:rsidRPr="007D1EE0">
        <w:rPr>
          <w:rFonts w:cstheme="minorBidi"/>
          <w:color w:val="auto"/>
          <w:szCs w:val="22"/>
        </w:rPr>
        <w:t xml:space="preserve"> scenario that shows what interventions would be </w:t>
      </w:r>
      <w:r w:rsidR="009C1B42" w:rsidRPr="007D1EE0">
        <w:t xml:space="preserve">subtracted and/or </w:t>
      </w:r>
      <w:r w:rsidRPr="007D1EE0">
        <w:rPr>
          <w:rFonts w:cstheme="minorBidi"/>
          <w:color w:val="auto"/>
          <w:szCs w:val="22"/>
        </w:rPr>
        <w:t>added to the reference scenario</w:t>
      </w:r>
      <w:r w:rsidR="00C64FB7">
        <w:rPr>
          <w:rFonts w:cstheme="minorBidi"/>
          <w:color w:val="auto"/>
          <w:szCs w:val="22"/>
        </w:rPr>
        <w:t>.</w:t>
      </w:r>
      <w:r w:rsidRPr="007D1EE0" w:rsidDel="00C64FB7">
        <w:rPr>
          <w:rFonts w:cstheme="minorBidi"/>
          <w:color w:val="auto"/>
          <w:szCs w:val="22"/>
        </w:rPr>
        <w:t xml:space="preserve"> </w:t>
      </w:r>
    </w:p>
    <w:p w14:paraId="233C2C63" w14:textId="71755819" w:rsidR="007565C4" w:rsidRPr="007D1EE0" w:rsidRDefault="0027795C" w:rsidP="000A01AB">
      <w:pPr>
        <w:pStyle w:val="Bullet1"/>
        <w:numPr>
          <w:ilvl w:val="0"/>
          <w:numId w:val="10"/>
        </w:numPr>
        <w:rPr>
          <w:rFonts w:cstheme="minorBidi"/>
          <w:color w:val="auto"/>
          <w:szCs w:val="22"/>
        </w:rPr>
      </w:pPr>
      <w:r w:rsidRPr="007D1EE0">
        <w:rPr>
          <w:rFonts w:cstheme="minorBidi"/>
          <w:color w:val="auto"/>
          <w:szCs w:val="22"/>
        </w:rPr>
        <w:t xml:space="preserve">Three separate table </w:t>
      </w:r>
      <w:r w:rsidR="00E047FD">
        <w:rPr>
          <w:rFonts w:cstheme="minorBidi"/>
          <w:color w:val="auto"/>
          <w:szCs w:val="22"/>
        </w:rPr>
        <w:t>5</w:t>
      </w:r>
      <w:r w:rsidR="00E047FD" w:rsidRPr="007D1EE0">
        <w:rPr>
          <w:rFonts w:cstheme="minorBidi"/>
          <w:color w:val="auto"/>
          <w:szCs w:val="22"/>
        </w:rPr>
        <w:t xml:space="preserve">s </w:t>
      </w:r>
      <w:r w:rsidRPr="007D1EE0">
        <w:rPr>
          <w:rFonts w:cstheme="minorBidi"/>
          <w:color w:val="auto"/>
          <w:szCs w:val="22"/>
        </w:rPr>
        <w:t>are populated</w:t>
      </w:r>
      <w:r w:rsidR="002C0BD0">
        <w:rPr>
          <w:rFonts w:cstheme="minorBidi"/>
          <w:color w:val="auto"/>
          <w:szCs w:val="22"/>
        </w:rPr>
        <w:t>, one for</w:t>
      </w:r>
      <w:r w:rsidR="006D433D">
        <w:rPr>
          <w:rFonts w:cstheme="minorBidi"/>
          <w:color w:val="auto"/>
          <w:szCs w:val="22"/>
        </w:rPr>
        <w:t xml:space="preserve"> each of</w:t>
      </w:r>
      <w:r w:rsidRPr="007D1EE0">
        <w:rPr>
          <w:rFonts w:cstheme="minorBidi"/>
          <w:color w:val="auto"/>
          <w:szCs w:val="22"/>
        </w:rPr>
        <w:t xml:space="preserve"> the </w:t>
      </w:r>
      <w:r w:rsidR="006D433D">
        <w:rPr>
          <w:rFonts w:cstheme="minorBidi"/>
          <w:color w:val="auto"/>
          <w:szCs w:val="22"/>
        </w:rPr>
        <w:t>scenarios</w:t>
      </w:r>
      <w:r w:rsidRPr="007D1EE0">
        <w:rPr>
          <w:rFonts w:cstheme="minorBidi"/>
          <w:color w:val="auto"/>
          <w:szCs w:val="22"/>
        </w:rPr>
        <w:t>.</w:t>
      </w:r>
    </w:p>
    <w:p w14:paraId="0BE14731" w14:textId="77777777" w:rsidR="007565C4" w:rsidRPr="007D1EE0" w:rsidRDefault="007565C4" w:rsidP="007D1EE0">
      <w:pPr>
        <w:pStyle w:val="Bullet1"/>
        <w:numPr>
          <w:ilvl w:val="0"/>
          <w:numId w:val="0"/>
        </w:numPr>
        <w:rPr>
          <w:rFonts w:cstheme="minorBidi"/>
          <w:color w:val="auto"/>
          <w:szCs w:val="22"/>
        </w:rPr>
      </w:pPr>
    </w:p>
    <w:p w14:paraId="28BF083F" w14:textId="61268482" w:rsidR="0027795C" w:rsidRPr="007D1EE0" w:rsidRDefault="007565C4" w:rsidP="007D1EE0">
      <w:pPr>
        <w:pStyle w:val="Bullet1"/>
        <w:numPr>
          <w:ilvl w:val="0"/>
          <w:numId w:val="0"/>
        </w:numPr>
        <w:rPr>
          <w:rFonts w:cstheme="minorBidi"/>
          <w:color w:val="auto"/>
          <w:szCs w:val="22"/>
        </w:rPr>
      </w:pPr>
      <w:r w:rsidRPr="007D1EE0">
        <w:rPr>
          <w:rFonts w:cstheme="minorBidi"/>
          <w:color w:val="auto"/>
          <w:szCs w:val="22"/>
        </w:rPr>
        <w:t>For</w:t>
      </w:r>
      <w:r w:rsidR="00DD4D58" w:rsidRPr="007D1EE0">
        <w:rPr>
          <w:rFonts w:cstheme="minorBidi"/>
          <w:color w:val="auto"/>
          <w:szCs w:val="22"/>
        </w:rPr>
        <w:t xml:space="preserve"> the chosen method</w:t>
      </w:r>
      <w:r w:rsidR="009113D4">
        <w:rPr>
          <w:rFonts w:cstheme="minorBidi"/>
          <w:color w:val="auto"/>
          <w:szCs w:val="22"/>
        </w:rPr>
        <w:t>,</w:t>
      </w:r>
      <w:r w:rsidR="00F9100E" w:rsidRPr="007D1EE0" w:rsidDel="009113D4">
        <w:rPr>
          <w:rFonts w:cstheme="minorBidi"/>
          <w:color w:val="auto"/>
          <w:szCs w:val="22"/>
        </w:rPr>
        <w:t xml:space="preserve"> </w:t>
      </w:r>
      <w:r w:rsidR="00107E6A" w:rsidRPr="007D1EE0" w:rsidDel="009113D4">
        <w:rPr>
          <w:rFonts w:cstheme="minorBidi"/>
          <w:color w:val="auto"/>
          <w:szCs w:val="22"/>
        </w:rPr>
        <w:t>the calculations in table</w:t>
      </w:r>
      <w:r w:rsidR="00107E6A" w:rsidRPr="007D1EE0">
        <w:rPr>
          <w:rFonts w:cstheme="minorBidi"/>
          <w:color w:val="auto"/>
          <w:szCs w:val="22"/>
        </w:rPr>
        <w:t xml:space="preserve"> </w:t>
      </w:r>
      <w:r w:rsidR="00E047FD">
        <w:rPr>
          <w:rFonts w:cstheme="minorBidi"/>
          <w:color w:val="auto"/>
          <w:szCs w:val="22"/>
        </w:rPr>
        <w:t>8</w:t>
      </w:r>
      <w:r w:rsidR="00E047FD" w:rsidRPr="007D1EE0">
        <w:rPr>
          <w:rFonts w:cstheme="minorBidi"/>
          <w:color w:val="auto"/>
          <w:szCs w:val="22"/>
        </w:rPr>
        <w:t xml:space="preserve"> </w:t>
      </w:r>
      <w:r w:rsidR="00107E6A" w:rsidRPr="007D1EE0">
        <w:rPr>
          <w:rFonts w:cstheme="minorBidi"/>
          <w:color w:val="auto"/>
          <w:szCs w:val="22"/>
        </w:rPr>
        <w:t xml:space="preserve">should be adjusted accordingly to ensure that </w:t>
      </w:r>
      <w:r w:rsidR="00DD4D58" w:rsidRPr="007D1EE0">
        <w:rPr>
          <w:rFonts w:cstheme="minorBidi"/>
          <w:color w:val="auto"/>
          <w:szCs w:val="22"/>
        </w:rPr>
        <w:t>the totals provided are correct</w:t>
      </w:r>
      <w:r w:rsidR="00107E6A" w:rsidRPr="007D1EE0">
        <w:rPr>
          <w:rFonts w:cstheme="minorBidi"/>
          <w:color w:val="auto"/>
          <w:szCs w:val="22"/>
        </w:rPr>
        <w:t>.</w:t>
      </w:r>
    </w:p>
    <w:p w14:paraId="09BA0647" w14:textId="77777777" w:rsidR="00945910" w:rsidRDefault="00945910" w:rsidP="007D1EE0">
      <w:pPr>
        <w:pStyle w:val="Bullet1"/>
        <w:numPr>
          <w:ilvl w:val="0"/>
          <w:numId w:val="0"/>
        </w:numPr>
        <w:rPr>
          <w:rFonts w:cstheme="minorBidi"/>
          <w:color w:val="auto"/>
          <w:szCs w:val="22"/>
        </w:rPr>
      </w:pPr>
    </w:p>
    <w:p w14:paraId="29C9F77C" w14:textId="6874C94E" w:rsidR="009B25B0" w:rsidRDefault="009B25B0" w:rsidP="00B45BCD">
      <w:pPr>
        <w:pStyle w:val="SMALLHEADINGALLCAPS"/>
      </w:pPr>
      <w:r w:rsidRPr="009B25B0">
        <w:t>Projects spanning more than one regulatory period</w:t>
      </w:r>
    </w:p>
    <w:p w14:paraId="687117B7" w14:textId="719AB829" w:rsidR="00E047FD" w:rsidRDefault="009113D4" w:rsidP="00E047FD">
      <w:r>
        <w:t>Due to</w:t>
      </w:r>
      <w:r w:rsidR="00E047FD">
        <w:t xml:space="preserve"> the rolling investment programme, some of the investment will span the 2021-27 and 2027-33 regulatory control periods. Of these:</w:t>
      </w:r>
    </w:p>
    <w:p w14:paraId="55A7B879" w14:textId="77777777" w:rsidR="00E047FD" w:rsidRDefault="00E047FD" w:rsidP="00E047FD">
      <w:pPr>
        <w:pStyle w:val="Bullet1"/>
      </w:pPr>
      <w:r>
        <w:t>some will relate to investment that Scottish Water always planned to span the two regulatory periods; and</w:t>
      </w:r>
    </w:p>
    <w:p w14:paraId="1E5CD080" w14:textId="77777777" w:rsidR="00E047FD" w:rsidRDefault="00E047FD" w:rsidP="00E047FD">
      <w:pPr>
        <w:pStyle w:val="Bullet1"/>
      </w:pPr>
      <w:r>
        <w:t>some will relate to investment that Scottish Water expected to complete by the end of the regulatory period (31 March 2027) but has been delayed (e.g. due to projects taking longer than forecast during the construction phase).</w:t>
      </w:r>
    </w:p>
    <w:p w14:paraId="69B79078" w14:textId="77777777" w:rsidR="00E047FD" w:rsidRDefault="00E047FD" w:rsidP="00E047FD"/>
    <w:p w14:paraId="422E40DB" w14:textId="77777777" w:rsidR="00E047FD" w:rsidRDefault="00E047FD" w:rsidP="00E047FD">
      <w:r>
        <w:t>W</w:t>
      </w:r>
      <w:r w:rsidRPr="00736EAE">
        <w:t>e do not expect to see many investment projects in this latter category. However, we note that Scottish Water plans to carry forward some projects originally planned for 2015-21 into the 2027-33 regulatory period.</w:t>
      </w:r>
    </w:p>
    <w:p w14:paraId="037AF5AB" w14:textId="77777777" w:rsidR="00E047FD" w:rsidRDefault="00E047FD" w:rsidP="00E047FD"/>
    <w:p w14:paraId="1F2F4803" w14:textId="288F0CAB" w:rsidR="00E047FD" w:rsidRDefault="00E047FD" w:rsidP="00E047FD">
      <w:r w:rsidRPr="000C12C4">
        <w:lastRenderedPageBreak/>
        <w:t xml:space="preserve">For investment that spans two regulatory periods, we </w:t>
      </w:r>
      <w:r w:rsidR="0075680D">
        <w:t>require</w:t>
      </w:r>
      <w:r w:rsidRPr="000C12C4">
        <w:t xml:space="preserve"> </w:t>
      </w:r>
      <w:r w:rsidRPr="000C12C4" w:rsidDel="00247C74">
        <w:t xml:space="preserve">clarity over the </w:t>
      </w:r>
      <w:r w:rsidR="00247C74">
        <w:t>funding source</w:t>
      </w:r>
      <w:r w:rsidRPr="000C12C4">
        <w:t xml:space="preserve"> for these projects</w:t>
      </w:r>
      <w:r w:rsidRPr="00B2106A">
        <w:t xml:space="preserve">. As such, we will require Scottish Water to identify the source of funding for each of these projects, detailing how much will be funded by the 2021-27 investment allowances and how much is expected to be funded by customers during the 2027-33 period. </w:t>
      </w:r>
    </w:p>
    <w:p w14:paraId="661C795D" w14:textId="77777777" w:rsidR="007276DD" w:rsidRDefault="007276DD" w:rsidP="00050DF9">
      <w:pPr>
        <w:pStyle w:val="SMALLHEADINGALLCAPS"/>
      </w:pPr>
    </w:p>
    <w:p w14:paraId="1BF6A4DE" w14:textId="605CB339" w:rsidR="00050DF9" w:rsidRDefault="0075680D" w:rsidP="00050DF9">
      <w:pPr>
        <w:pStyle w:val="SMALLHEADINGALLCAPS"/>
      </w:pPr>
      <w:r>
        <w:t xml:space="preserve">Overheads and </w:t>
      </w:r>
      <w:r w:rsidR="00050DF9">
        <w:t>Risk allowances</w:t>
      </w:r>
    </w:p>
    <w:p w14:paraId="132388DB" w14:textId="231E7522" w:rsidR="00945910" w:rsidRDefault="000D78DF" w:rsidP="007D1EE0">
      <w:pPr>
        <w:pStyle w:val="Bullet1"/>
        <w:numPr>
          <w:ilvl w:val="0"/>
          <w:numId w:val="0"/>
        </w:numPr>
      </w:pPr>
      <w:r>
        <w:t>One</w:t>
      </w:r>
      <w:r w:rsidRPr="0030124D">
        <w:t xml:space="preserve"> area where we see </w:t>
      </w:r>
      <w:r w:rsidR="0075680D">
        <w:t>the benefit of exploring further is the balance between expenditure on direct activities (e.g. the cost to replace an overhead) versus other items of allowances that Scottish Water adds to proposed project costs,</w:t>
      </w:r>
      <w:r w:rsidRPr="0030124D">
        <w:t xml:space="preserve"> such as overheads and risk allowances.</w:t>
      </w:r>
      <w:r w:rsidR="00016B17">
        <w:t xml:space="preserve"> </w:t>
      </w:r>
      <w:r w:rsidR="00945910">
        <w:t xml:space="preserve">On risk, </w:t>
      </w:r>
      <w:r w:rsidR="00D22C18">
        <w:t xml:space="preserve">for example, </w:t>
      </w:r>
      <w:r w:rsidR="00945910">
        <w:t>we would like to understand better how Scottish Water sets the allowance for risk and how this compares to good practice, recognising that the rolling approach associated with the investment programme reduces uncertainty over project scope and some of the uncertainty over project costings at the time of commitment.</w:t>
      </w:r>
    </w:p>
    <w:p w14:paraId="7FB039D6" w14:textId="77777777" w:rsidR="006A0DDC" w:rsidRDefault="006A0DDC" w:rsidP="007D1EE0">
      <w:pPr>
        <w:pStyle w:val="Bullet1"/>
        <w:numPr>
          <w:ilvl w:val="0"/>
          <w:numId w:val="0"/>
        </w:numPr>
      </w:pPr>
    </w:p>
    <w:p w14:paraId="72DB4D48" w14:textId="03462395" w:rsidR="006A0DDC" w:rsidRDefault="006A0DDC" w:rsidP="00A5342D">
      <w:pPr>
        <w:pStyle w:val="SMALLHEADINGALLCAPS"/>
      </w:pPr>
      <w:bookmarkStart w:id="27" w:name="Catchment_vs_local_investment_solutions"/>
      <w:r>
        <w:t xml:space="preserve">Catchment </w:t>
      </w:r>
      <w:r w:rsidR="00BC349B">
        <w:t>versus local</w:t>
      </w:r>
      <w:r w:rsidR="003253A6">
        <w:t>ised</w:t>
      </w:r>
      <w:r w:rsidR="00BC349B">
        <w:t xml:space="preserve"> investment solutions</w:t>
      </w:r>
      <w:bookmarkEnd w:id="27"/>
    </w:p>
    <w:p w14:paraId="1F197AB1" w14:textId="3F1A4D41" w:rsidR="00A5342D" w:rsidRDefault="00A5342D" w:rsidP="007D1EE0">
      <w:pPr>
        <w:pStyle w:val="Bullet1"/>
        <w:numPr>
          <w:ilvl w:val="0"/>
          <w:numId w:val="0"/>
        </w:numPr>
      </w:pPr>
      <w:r>
        <w:t xml:space="preserve">Column 7 of this table asks Scottish Water to identify whether </w:t>
      </w:r>
      <w:r w:rsidR="004B1305">
        <w:t>each project or programme provides a catchment or a local</w:t>
      </w:r>
      <w:r w:rsidR="00E847AA">
        <w:t>ised</w:t>
      </w:r>
      <w:r w:rsidR="004B1305">
        <w:t xml:space="preserve"> solution.</w:t>
      </w:r>
      <w:r w:rsidR="00E6774B">
        <w:t xml:space="preserve"> This should be determined based on the definitions </w:t>
      </w:r>
      <w:r w:rsidR="001822F4">
        <w:t>below.</w:t>
      </w:r>
    </w:p>
    <w:p w14:paraId="3932C7AE" w14:textId="77777777" w:rsidR="001822F4" w:rsidRDefault="001822F4" w:rsidP="007D1EE0">
      <w:pPr>
        <w:pStyle w:val="Bullet1"/>
        <w:numPr>
          <w:ilvl w:val="0"/>
          <w:numId w:val="0"/>
        </w:numPr>
      </w:pPr>
    </w:p>
    <w:p w14:paraId="4B44E2FB" w14:textId="77777777" w:rsidR="001822F4" w:rsidRDefault="001822F4" w:rsidP="00384B9C">
      <w:pPr>
        <w:pStyle w:val="Summaryparagraphtext"/>
      </w:pPr>
      <w:r>
        <w:t>Catchment Management</w:t>
      </w:r>
    </w:p>
    <w:p w14:paraId="0CA8DD18" w14:textId="10E92AC9" w:rsidR="001822F4" w:rsidRDefault="00713AAA" w:rsidP="001822F4">
      <w:r>
        <w:t>Catchment management is t</w:t>
      </w:r>
      <w:r w:rsidR="001822F4">
        <w:t>he holistic approach of managing the entire area of land that drains into a specific water body, such as a river, lake, or reservoir. This area, known as a catchment, encompasses all the land where rainfall collects and flows into these water bodies. The key aspects of catchment management include:</w:t>
      </w:r>
    </w:p>
    <w:p w14:paraId="5D258CE2" w14:textId="47355263" w:rsidR="001822F4" w:rsidRDefault="001822F4" w:rsidP="00384B9C">
      <w:pPr>
        <w:pStyle w:val="Bullet1"/>
      </w:pPr>
      <w:r w:rsidRPr="00183738">
        <w:rPr>
          <w:b/>
        </w:rPr>
        <w:t>Preventing Pollution</w:t>
      </w:r>
      <w:r>
        <w:t>: Catchment management aims to prevent pollutants from entering water supplies by addressing issues at their source, often through collaboration with local stakeholders such as farmers and landowners. This can involve implementing sustainable agricultural practices, restoring natural habitats, and managing land use effectively.</w:t>
      </w:r>
    </w:p>
    <w:p w14:paraId="39E24DF2" w14:textId="1BBBA1CB" w:rsidR="001822F4" w:rsidRDefault="001822F4" w:rsidP="00384B9C">
      <w:pPr>
        <w:pStyle w:val="Bullet1"/>
      </w:pPr>
      <w:r w:rsidRPr="00183738">
        <w:rPr>
          <w:b/>
        </w:rPr>
        <w:t>Integrated Approach</w:t>
      </w:r>
      <w:r>
        <w:t xml:space="preserve">: It involves multiple stakeholders, including water companies, local authorities, and communities, working together to improve water quality and ecosystem health. This collaborative effort is often </w:t>
      </w:r>
      <w:r w:rsidR="008A7642">
        <w:t xml:space="preserve">formalised </w:t>
      </w:r>
      <w:r>
        <w:t xml:space="preserve">through catchment partnerships </w:t>
      </w:r>
      <w:r w:rsidR="00E517A8">
        <w:t>focusing</w:t>
      </w:r>
      <w:r>
        <w:t xml:space="preserve"> on specific geographical areas.</w:t>
      </w:r>
    </w:p>
    <w:p w14:paraId="3F7D7449" w14:textId="539E602E" w:rsidR="001822F4" w:rsidRDefault="001822F4" w:rsidP="00384B9C">
      <w:pPr>
        <w:pStyle w:val="Bullet1"/>
      </w:pPr>
      <w:r w:rsidRPr="00183738">
        <w:rPr>
          <w:b/>
        </w:rPr>
        <w:t>Sustainability and Cost-Effectiveness</w:t>
      </w:r>
      <w:r>
        <w:t>: By preventing pollution at the source, catchment management can be more sustainable and cost-effective than traditional methods, such as building large water treatment facilities. It also offers broader environmental benefits, such as enhancing biodiversity and reducing flood risks.</w:t>
      </w:r>
    </w:p>
    <w:p w14:paraId="4AE2E511" w14:textId="77777777" w:rsidR="001822F4" w:rsidRDefault="001822F4" w:rsidP="001822F4"/>
    <w:p w14:paraId="7D7AA120" w14:textId="7A23DA85" w:rsidR="001822F4" w:rsidRDefault="001822F4" w:rsidP="00384B9C">
      <w:pPr>
        <w:pStyle w:val="Summaryparagraphtext"/>
      </w:pPr>
      <w:r>
        <w:t>Local</w:t>
      </w:r>
      <w:r w:rsidR="00861459">
        <w:t>ised</w:t>
      </w:r>
      <w:r>
        <w:t xml:space="preserve"> Solutions</w:t>
      </w:r>
    </w:p>
    <w:p w14:paraId="43B0EA54" w14:textId="616136D5" w:rsidR="001822F4" w:rsidRDefault="00E74FA6" w:rsidP="001822F4">
      <w:r>
        <w:t>Local</w:t>
      </w:r>
      <w:r w:rsidR="00F116AC">
        <w:t>ised</w:t>
      </w:r>
      <w:r>
        <w:t xml:space="preserve"> solutions cover</w:t>
      </w:r>
      <w:r w:rsidR="001822F4">
        <w:t xml:space="preserve"> more focused interventions that address specific water quality or quantity issues within a smaller geographic area. These solutions can include:</w:t>
      </w:r>
    </w:p>
    <w:p w14:paraId="13C431AC" w14:textId="6A5C914B" w:rsidR="001822F4" w:rsidRDefault="001822F4" w:rsidP="00384B9C">
      <w:pPr>
        <w:pStyle w:val="Bullet1"/>
      </w:pPr>
      <w:r w:rsidRPr="00EF0DE4">
        <w:rPr>
          <w:b/>
        </w:rPr>
        <w:lastRenderedPageBreak/>
        <w:t>Community-Based Initiatives</w:t>
      </w:r>
      <w:r>
        <w:t>: Local</w:t>
      </w:r>
      <w:r w:rsidR="00F116AC">
        <w:t xml:space="preserve">ised </w:t>
      </w:r>
      <w:r>
        <w:t>solutions often involve community engagement and locali</w:t>
      </w:r>
      <w:r w:rsidR="00F116AC">
        <w:t>s</w:t>
      </w:r>
      <w:r>
        <w:t>ed strategies to improve water quality, such as rainwater harvesting, greywater recycling, and locali</w:t>
      </w:r>
      <w:r w:rsidR="004711E0">
        <w:t>s</w:t>
      </w:r>
      <w:r>
        <w:t>ed treatment systems.</w:t>
      </w:r>
    </w:p>
    <w:p w14:paraId="1B2813BB" w14:textId="491279E0" w:rsidR="001822F4" w:rsidRDefault="001822F4" w:rsidP="00384B9C">
      <w:pPr>
        <w:pStyle w:val="Bullet1"/>
      </w:pPr>
      <w:r w:rsidRPr="00EF0DE4">
        <w:rPr>
          <w:b/>
        </w:rPr>
        <w:t>Targeted Actions</w:t>
      </w:r>
      <w:r>
        <w:t>: These solutions may focus on particular problems, such as reducing runoff from urban areas, managing stormwater, or treating wastewater locally. They are designed to be flexible and adaptable to the specific needs and conditions of the local environment.</w:t>
      </w:r>
    </w:p>
    <w:p w14:paraId="1B515D02" w14:textId="598D7F54" w:rsidR="001822F4" w:rsidRDefault="001822F4" w:rsidP="00384B9C">
      <w:pPr>
        <w:pStyle w:val="Bullet1"/>
      </w:pPr>
      <w:r w:rsidRPr="00EF0DE4">
        <w:rPr>
          <w:b/>
        </w:rPr>
        <w:t>Short-Term Focus</w:t>
      </w:r>
      <w:r>
        <w:t>: While local</w:t>
      </w:r>
      <w:r w:rsidR="005F165F">
        <w:t>i</w:t>
      </w:r>
      <w:r w:rsidR="00D915C9">
        <w:t>sed</w:t>
      </w:r>
      <w:r>
        <w:t xml:space="preserve"> solutions can have immediate benefits, they may not always address the broader systemic issues present in the catchment area. They often require integration with catchment management strategies to ensure long-term sustainability and effectiveness.</w:t>
      </w:r>
    </w:p>
    <w:p w14:paraId="1B69CA1B" w14:textId="77777777" w:rsidR="001822F4" w:rsidRDefault="001822F4" w:rsidP="001822F4"/>
    <w:p w14:paraId="4F379844" w14:textId="75C1E518" w:rsidR="001822F4" w:rsidRDefault="001822F4" w:rsidP="001822F4">
      <w:r>
        <w:t>In summary, while catchment management takes a comprehensive, ecosystem-based approach to managing water resources across a larger area, local</w:t>
      </w:r>
      <w:r w:rsidR="0055460D">
        <w:t>ised</w:t>
      </w:r>
      <w:r>
        <w:t xml:space="preserve"> solutions focus on specific, </w:t>
      </w:r>
      <w:r w:rsidR="00BD5AE9">
        <w:t xml:space="preserve">localised </w:t>
      </w:r>
      <w:r>
        <w:t>interventions that can be implemented quickly to address immediate water quality or supply issues. Both approaches are essential for effective water resource management, but they operate at different scales and with different methodologies.</w:t>
      </w:r>
    </w:p>
    <w:p w14:paraId="1A36060F" w14:textId="77777777" w:rsidR="004B1305" w:rsidRDefault="004B1305" w:rsidP="007D1EE0">
      <w:pPr>
        <w:pStyle w:val="Bullet1"/>
        <w:numPr>
          <w:ilvl w:val="0"/>
          <w:numId w:val="0"/>
        </w:numPr>
      </w:pPr>
    </w:p>
    <w:p w14:paraId="2C55D713" w14:textId="1D05D1CB" w:rsidR="00140450" w:rsidRDefault="00140450" w:rsidP="00140450">
      <w:pPr>
        <w:pStyle w:val="SMALLHEADINGALLCAPS"/>
      </w:pPr>
      <w:r>
        <w:t>Alignment with other tables</w:t>
      </w:r>
    </w:p>
    <w:p w14:paraId="1527E92B" w14:textId="2007AF34" w:rsidR="00140450" w:rsidRDefault="00445F1C" w:rsidP="00140450">
      <w:r>
        <w:t xml:space="preserve">The </w:t>
      </w:r>
      <w:r w:rsidRPr="00445F1C">
        <w:t>forecast expenditure</w:t>
      </w:r>
      <w:r w:rsidR="00E867A7">
        <w:t>,</w:t>
      </w:r>
      <w:r w:rsidRPr="00445F1C">
        <w:t xml:space="preserve"> associated outputs for enhancement and growth investment</w:t>
      </w:r>
      <w:r w:rsidR="00E867A7">
        <w:t xml:space="preserve">, and </w:t>
      </w:r>
      <w:r w:rsidR="001F6F77">
        <w:t>contributions to outcomes</w:t>
      </w:r>
      <w:r w:rsidRPr="00445F1C">
        <w:t xml:space="preserve"> reported in this table should be consistent with</w:t>
      </w:r>
      <w:r>
        <w:t xml:space="preserve"> table 1 and table 2.</w:t>
      </w:r>
    </w:p>
    <w:p w14:paraId="13D29262" w14:textId="77777777" w:rsidR="00445F1C" w:rsidRDefault="00445F1C" w:rsidP="00140450"/>
    <w:p w14:paraId="21323C2E" w14:textId="69167A4E" w:rsidR="00445F1C" w:rsidRDefault="00445F1C" w:rsidP="00140450">
      <w:r>
        <w:t xml:space="preserve">The </w:t>
      </w:r>
      <w:r w:rsidRPr="00445F1C">
        <w:t>forecast expenditure and the associated asset interventions for asset replacement, repair and refurbishment reported in this table should be consistent with</w:t>
      </w:r>
      <w:r>
        <w:t xml:space="preserve"> table 3</w:t>
      </w:r>
      <w:r w:rsidR="007136CC">
        <w:t>a</w:t>
      </w:r>
      <w:r>
        <w:t>.</w:t>
      </w:r>
    </w:p>
    <w:p w14:paraId="195AAE73" w14:textId="77777777" w:rsidR="006244A8" w:rsidRDefault="006244A8" w:rsidP="00140450"/>
    <w:p w14:paraId="23D10BEC" w14:textId="3E640941" w:rsidR="006E4F21" w:rsidRDefault="006E4F21" w:rsidP="00140450">
      <w:r w:rsidRPr="006E4F21">
        <w:t xml:space="preserve">Scottish Water </w:t>
      </w:r>
      <w:r w:rsidR="005C5A9B">
        <w:t>shall</w:t>
      </w:r>
      <w:r w:rsidR="005C5A9B" w:rsidRPr="006E4F21">
        <w:t xml:space="preserve"> </w:t>
      </w:r>
      <w:r w:rsidRPr="006E4F21">
        <w:t>share any supplementary material to the business plan to show how tables 1, 2, 3</w:t>
      </w:r>
      <w:r w:rsidR="0039645A">
        <w:t>a</w:t>
      </w:r>
      <w:r w:rsidRPr="006E4F21">
        <w:t xml:space="preserve"> reconcile to table 5 and how table 5 reconciles with the annual return table G6a. This would also help to provide transparency over how Scottish Water has developed the aggregated programmes of work. This may be in the form of an additional </w:t>
      </w:r>
      <w:r w:rsidR="009A37E1">
        <w:t>sheet</w:t>
      </w:r>
      <w:r w:rsidRPr="006E4F21">
        <w:t xml:space="preserve"> in the business plan tables</w:t>
      </w:r>
      <w:r w:rsidR="00D71270">
        <w:t xml:space="preserve"> as </w:t>
      </w:r>
      <w:r w:rsidR="00CC7755">
        <w:t>was</w:t>
      </w:r>
      <w:r w:rsidR="00D71270">
        <w:t xml:space="preserve"> discussed with</w:t>
      </w:r>
      <w:r w:rsidR="00CC7755">
        <w:t xml:space="preserve"> Scottish Water during the consultation on the draft tables</w:t>
      </w:r>
      <w:r w:rsidRPr="006E4F21">
        <w:t>.</w:t>
      </w:r>
    </w:p>
    <w:p w14:paraId="2905EF0F" w14:textId="77777777" w:rsidR="00445F1C" w:rsidRDefault="00445F1C" w:rsidP="00140450"/>
    <w:p w14:paraId="47C0F3DD" w14:textId="0949F4A7" w:rsidR="005F04A1" w:rsidRDefault="00445F1C" w:rsidP="00A1057B">
      <w:pPr>
        <w:rPr>
          <w:color w:val="5F7577" w:themeColor="accent2"/>
          <w:sz w:val="32"/>
          <w:szCs w:val="28"/>
        </w:rPr>
      </w:pPr>
      <w:r>
        <w:t>Scottish Water should ensure table 8 correctly represents the data in table 5 by investment activity and by charge path scenario.</w:t>
      </w:r>
      <w:r w:rsidR="005F04A1">
        <w:br w:type="page"/>
      </w:r>
    </w:p>
    <w:p w14:paraId="75973531" w14:textId="77777777" w:rsidR="005F04A1" w:rsidRDefault="005F04A1" w:rsidP="00BC1B5F">
      <w:pPr>
        <w:pStyle w:val="heading20"/>
        <w:ind w:left="788" w:hanging="431"/>
        <w:outlineLvl w:val="1"/>
        <w:sectPr w:rsidR="005F04A1" w:rsidSect="006312CE">
          <w:pgSz w:w="11906" w:h="16838" w:code="9"/>
          <w:pgMar w:top="1134" w:right="1134" w:bottom="1134" w:left="1134" w:header="567" w:footer="567" w:gutter="0"/>
          <w:cols w:space="708"/>
          <w:docGrid w:linePitch="360"/>
        </w:sectPr>
      </w:pPr>
    </w:p>
    <w:p w14:paraId="15AC14B4" w14:textId="20646D47" w:rsidR="00BC1B5F" w:rsidRDefault="00BC1B5F" w:rsidP="00BC1B5F">
      <w:pPr>
        <w:pStyle w:val="heading20"/>
        <w:ind w:left="788" w:hanging="431"/>
        <w:outlineLvl w:val="1"/>
      </w:pPr>
      <w:bookmarkStart w:id="28" w:name="_Toc184736047"/>
      <w:r>
        <w:lastRenderedPageBreak/>
        <w:t>Definitions</w:t>
      </w:r>
      <w:bookmarkEnd w:id="28"/>
    </w:p>
    <w:p w14:paraId="48C82665" w14:textId="77777777" w:rsidR="008278A4" w:rsidRPr="00954233" w:rsidRDefault="008278A4" w:rsidP="00954233">
      <w:pPr>
        <w:pStyle w:val="TableParagraph"/>
        <w:jc w:val="both"/>
        <w:rPr>
          <w:rFonts w:ascii="Calibri" w:hAnsi="Calibri" w:cs="Calibri"/>
          <w:b/>
          <w:color w:val="064276" w:themeColor="text2"/>
          <w:sz w:val="28"/>
          <w:szCs w:val="28"/>
        </w:rPr>
      </w:pPr>
      <w:r w:rsidRPr="00954233">
        <w:rPr>
          <w:rFonts w:ascii="Calibri" w:hAnsi="Calibri" w:cs="Calibri"/>
          <w:b/>
          <w:color w:val="064276" w:themeColor="text2"/>
          <w:sz w:val="28"/>
          <w:szCs w:val="28"/>
        </w:rPr>
        <w:t>Block A: Project and Programme Data</w:t>
      </w:r>
    </w:p>
    <w:p w14:paraId="4175CC2E" w14:textId="685E90E8" w:rsidR="008278A4" w:rsidRPr="00954233" w:rsidRDefault="008278A4" w:rsidP="00954233">
      <w:pPr>
        <w:pStyle w:val="TableParagraph"/>
        <w:jc w:val="both"/>
        <w:rPr>
          <w:rFonts w:ascii="Calibri" w:eastAsia="Arial" w:hAnsi="Calibri" w:cs="Calibri"/>
          <w:szCs w:val="24"/>
        </w:rPr>
      </w:pPr>
      <w:r w:rsidRPr="00954233">
        <w:rPr>
          <w:rFonts w:ascii="Calibri" w:eastAsia="Arial" w:hAnsi="Calibri" w:cs="Calibri"/>
          <w:sz w:val="24"/>
          <w:szCs w:val="24"/>
        </w:rPr>
        <w:t>The threshold for individual projects to be included in this table is £</w:t>
      </w:r>
      <w:r w:rsidR="00004860">
        <w:rPr>
          <w:rFonts w:ascii="Calibri" w:eastAsia="Arial" w:hAnsi="Calibri" w:cs="Calibri"/>
          <w:sz w:val="24"/>
          <w:szCs w:val="24"/>
        </w:rPr>
        <w:t>6</w:t>
      </w:r>
      <w:r w:rsidRPr="00954233">
        <w:rPr>
          <w:rFonts w:ascii="Calibri" w:eastAsia="Arial" w:hAnsi="Calibri" w:cs="Calibri"/>
          <w:sz w:val="24"/>
          <w:szCs w:val="24"/>
        </w:rPr>
        <w:t>m unless they are novel or contentious.</w:t>
      </w:r>
    </w:p>
    <w:p w14:paraId="5F26D23B" w14:textId="77777777" w:rsidR="008278A4" w:rsidRPr="00954233" w:rsidRDefault="008278A4" w:rsidP="00954233">
      <w:pPr>
        <w:pStyle w:val="TableParagraph"/>
        <w:jc w:val="both"/>
        <w:rPr>
          <w:rFonts w:ascii="Calibri" w:hAnsi="Calibri" w:cs="Calibri"/>
          <w:b/>
          <w:color w:val="064276" w:themeColor="text2"/>
          <w:sz w:val="28"/>
          <w:szCs w:val="28"/>
        </w:rPr>
      </w:pPr>
    </w:p>
    <w:p w14:paraId="6F5C133F" w14:textId="77777777" w:rsidR="008278A4" w:rsidRPr="00954233" w:rsidRDefault="008278A4" w:rsidP="00954233">
      <w:pPr>
        <w:pStyle w:val="TableParagraph"/>
        <w:rPr>
          <w:rFonts w:ascii="Calibri" w:eastAsia="Arial" w:hAnsi="Calibri" w:cs="Calibri"/>
          <w:b/>
          <w:szCs w:val="24"/>
        </w:rPr>
      </w:pPr>
      <w:r w:rsidRPr="00954233">
        <w:rPr>
          <w:rFonts w:ascii="Calibri" w:eastAsia="Arial" w:hAnsi="Calibri" w:cs="Calibri"/>
          <w:b/>
          <w:sz w:val="24"/>
          <w:szCs w:val="24"/>
        </w:rPr>
        <w:t xml:space="preserve">Investment categories </w:t>
      </w:r>
    </w:p>
    <w:p w14:paraId="3A5B54B8" w14:textId="77777777" w:rsidR="008278A4" w:rsidRPr="00954233" w:rsidRDefault="008278A4" w:rsidP="00954233">
      <w:pPr>
        <w:pStyle w:val="TableParagraph"/>
        <w:rPr>
          <w:rFonts w:ascii="Calibri" w:eastAsia="Arial" w:hAnsi="Calibri" w:cs="Calibri"/>
          <w:szCs w:val="24"/>
        </w:rPr>
      </w:pPr>
      <w:r w:rsidRPr="00954233">
        <w:rPr>
          <w:rFonts w:ascii="Calibri" w:eastAsia="Arial" w:hAnsi="Calibri" w:cs="Calibri"/>
          <w:b/>
          <w:sz w:val="24"/>
          <w:szCs w:val="24"/>
        </w:rPr>
        <w:t>•</w:t>
      </w:r>
      <w:r w:rsidRPr="00954233">
        <w:rPr>
          <w:rFonts w:ascii="Calibri" w:eastAsia="Arial" w:hAnsi="Calibri" w:cs="Calibri"/>
          <w:b/>
          <w:sz w:val="24"/>
          <w:szCs w:val="24"/>
        </w:rPr>
        <w:tab/>
        <w:t>Enhancement</w:t>
      </w:r>
      <w:r w:rsidRPr="00954233">
        <w:rPr>
          <w:rFonts w:ascii="Calibri" w:eastAsia="Arial" w:hAnsi="Calibri" w:cs="Calibri"/>
          <w:sz w:val="24"/>
          <w:szCs w:val="24"/>
        </w:rPr>
        <w:t xml:space="preserve"> (which relates to incremental improvements in levels of service), </w:t>
      </w:r>
    </w:p>
    <w:p w14:paraId="5CCDE1FF" w14:textId="77777777" w:rsidR="008278A4" w:rsidRPr="00954233" w:rsidRDefault="008278A4" w:rsidP="00954233">
      <w:pPr>
        <w:pStyle w:val="TableParagraph"/>
        <w:rPr>
          <w:rFonts w:ascii="Calibri" w:eastAsia="Arial" w:hAnsi="Calibri" w:cs="Calibri"/>
          <w:szCs w:val="24"/>
        </w:rPr>
      </w:pPr>
      <w:r w:rsidRPr="00954233">
        <w:rPr>
          <w:rFonts w:ascii="Calibri" w:eastAsia="Arial" w:hAnsi="Calibri" w:cs="Calibri"/>
          <w:b/>
          <w:sz w:val="24"/>
          <w:szCs w:val="24"/>
        </w:rPr>
        <w:t>•</w:t>
      </w:r>
      <w:r w:rsidRPr="00954233">
        <w:rPr>
          <w:rFonts w:ascii="Calibri" w:eastAsia="Arial" w:hAnsi="Calibri" w:cs="Calibri"/>
          <w:b/>
          <w:sz w:val="24"/>
          <w:szCs w:val="24"/>
        </w:rPr>
        <w:tab/>
        <w:t>Growth</w:t>
      </w:r>
      <w:r w:rsidRPr="00954233">
        <w:rPr>
          <w:rFonts w:ascii="Calibri" w:eastAsia="Arial" w:hAnsi="Calibri" w:cs="Calibri"/>
          <w:sz w:val="24"/>
          <w:szCs w:val="24"/>
        </w:rPr>
        <w:t xml:space="preserve"> (which relates to improving the balance of supply and demand), and</w:t>
      </w:r>
    </w:p>
    <w:p w14:paraId="30D8CFCE" w14:textId="6163D498" w:rsidR="0005263C" w:rsidRPr="00954233" w:rsidRDefault="008278A4" w:rsidP="00954233">
      <w:pPr>
        <w:pStyle w:val="TableParagraph"/>
        <w:rPr>
          <w:rFonts w:ascii="Calibri" w:eastAsia="Arial" w:hAnsi="Calibri" w:cs="Calibri"/>
          <w:b/>
          <w:szCs w:val="24"/>
        </w:rPr>
      </w:pPr>
      <w:r w:rsidRPr="00954233">
        <w:rPr>
          <w:rFonts w:ascii="Calibri" w:eastAsia="Arial" w:hAnsi="Calibri" w:cs="Calibri"/>
          <w:b/>
          <w:sz w:val="24"/>
          <w:szCs w:val="24"/>
        </w:rPr>
        <w:t>•</w:t>
      </w:r>
      <w:r w:rsidRPr="00954233">
        <w:rPr>
          <w:rFonts w:ascii="Calibri" w:eastAsia="Arial" w:hAnsi="Calibri" w:cs="Calibri"/>
          <w:b/>
          <w:sz w:val="24"/>
          <w:szCs w:val="24"/>
        </w:rPr>
        <w:tab/>
        <w:t>Asset maintenance</w:t>
      </w:r>
      <w:r w:rsidRPr="00954233">
        <w:rPr>
          <w:rFonts w:ascii="Calibri" w:eastAsia="Arial" w:hAnsi="Calibri" w:cs="Calibri"/>
          <w:sz w:val="24"/>
          <w:szCs w:val="24"/>
        </w:rPr>
        <w:t xml:space="preserve"> (which relates to asset replacement, repair or refurbishment</w:t>
      </w:r>
      <w:r w:rsidRPr="00954233">
        <w:rPr>
          <w:rFonts w:ascii="Calibri" w:eastAsia="Arial" w:hAnsi="Calibri" w:cs="Calibri"/>
          <w:b/>
          <w:sz w:val="24"/>
          <w:szCs w:val="24"/>
        </w:rPr>
        <w:t>).</w:t>
      </w:r>
    </w:p>
    <w:tbl>
      <w:tblPr>
        <w:tblStyle w:val="Blueline"/>
        <w:tblW w:w="0" w:type="auto"/>
        <w:tblLook w:val="04A0" w:firstRow="1" w:lastRow="0" w:firstColumn="1" w:lastColumn="0" w:noHBand="0" w:noVBand="1"/>
      </w:tblPr>
      <w:tblGrid>
        <w:gridCol w:w="1230"/>
        <w:gridCol w:w="2598"/>
        <w:gridCol w:w="7174"/>
        <w:gridCol w:w="1472"/>
        <w:gridCol w:w="2096"/>
      </w:tblGrid>
      <w:tr w:rsidR="00C2398E" w:rsidRPr="008278A4" w14:paraId="03F31746" w14:textId="766B1CB0"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60E756A0" w14:textId="62CF4F45" w:rsidR="00C10EF5" w:rsidRPr="00954233" w:rsidRDefault="00C2398E" w:rsidP="00954233">
            <w:pPr>
              <w:pStyle w:val="BodyText"/>
              <w:spacing w:before="0"/>
              <w:rPr>
                <w:rFonts w:asciiTheme="minorHAnsi" w:hAnsiTheme="minorHAnsi" w:cstheme="minorHAnsi"/>
              </w:rPr>
            </w:pPr>
            <w:r w:rsidRPr="00954233">
              <w:rPr>
                <w:rFonts w:asciiTheme="minorHAnsi" w:hAnsiTheme="minorHAnsi" w:cstheme="minorHAnsi"/>
              </w:rPr>
              <w:t xml:space="preserve">Column </w:t>
            </w:r>
            <w:r w:rsidR="00F812CA" w:rsidRPr="00954233">
              <w:rPr>
                <w:rFonts w:asciiTheme="minorHAnsi" w:hAnsiTheme="minorHAnsi" w:cstheme="minorHAnsi"/>
              </w:rPr>
              <w:t>Reference</w:t>
            </w:r>
          </w:p>
        </w:tc>
        <w:tc>
          <w:tcPr>
            <w:tcW w:w="2598" w:type="dxa"/>
          </w:tcPr>
          <w:p w14:paraId="25F32167" w14:textId="1C76D161" w:rsidR="00C10EF5" w:rsidRPr="00954233" w:rsidRDefault="00F812CA" w:rsidP="00954233">
            <w:pPr>
              <w:pStyle w:val="BodyText"/>
              <w:spacing w:before="0"/>
              <w:rPr>
                <w:rFonts w:asciiTheme="minorHAnsi" w:hAnsiTheme="minorHAnsi" w:cstheme="minorHAnsi"/>
              </w:rPr>
            </w:pPr>
            <w:r w:rsidRPr="00954233">
              <w:rPr>
                <w:rFonts w:asciiTheme="minorHAnsi" w:hAnsiTheme="minorHAnsi" w:cstheme="minorHAnsi"/>
              </w:rPr>
              <w:t xml:space="preserve">Column </w:t>
            </w:r>
            <w:r w:rsidR="00C10EF5" w:rsidRPr="00954233">
              <w:rPr>
                <w:rFonts w:asciiTheme="minorHAnsi" w:hAnsiTheme="minorHAnsi" w:cstheme="minorHAnsi"/>
              </w:rPr>
              <w:t>Title</w:t>
            </w:r>
          </w:p>
        </w:tc>
        <w:tc>
          <w:tcPr>
            <w:tcW w:w="7174" w:type="dxa"/>
          </w:tcPr>
          <w:p w14:paraId="7B5527C2" w14:textId="01E7C7FF" w:rsidR="00C10EF5" w:rsidRPr="00954233" w:rsidRDefault="00F812CA" w:rsidP="00954233">
            <w:pPr>
              <w:pStyle w:val="BodyText"/>
              <w:spacing w:before="0"/>
              <w:rPr>
                <w:rFonts w:asciiTheme="minorHAnsi" w:hAnsiTheme="minorHAnsi" w:cstheme="minorHAnsi"/>
              </w:rPr>
            </w:pPr>
            <w:r w:rsidRPr="00954233">
              <w:rPr>
                <w:rFonts w:asciiTheme="minorHAnsi" w:hAnsiTheme="minorHAnsi" w:cstheme="minorHAnsi"/>
              </w:rPr>
              <w:t>Description</w:t>
            </w:r>
          </w:p>
        </w:tc>
        <w:tc>
          <w:tcPr>
            <w:tcW w:w="1472" w:type="dxa"/>
          </w:tcPr>
          <w:p w14:paraId="0CE3384A" w14:textId="23AACEC2" w:rsidR="00C10EF5" w:rsidRPr="00954233" w:rsidRDefault="00F812CA" w:rsidP="00954233">
            <w:pPr>
              <w:pStyle w:val="BodyText"/>
              <w:spacing w:before="0"/>
              <w:rPr>
                <w:rFonts w:asciiTheme="minorHAnsi" w:hAnsiTheme="minorHAnsi" w:cstheme="minorHAnsi"/>
              </w:rPr>
            </w:pPr>
            <w:r w:rsidRPr="00954233">
              <w:rPr>
                <w:rFonts w:asciiTheme="minorHAnsi" w:hAnsiTheme="minorHAnsi" w:cstheme="minorHAnsi"/>
              </w:rPr>
              <w:t>Units</w:t>
            </w:r>
          </w:p>
        </w:tc>
        <w:tc>
          <w:tcPr>
            <w:tcW w:w="2096" w:type="dxa"/>
          </w:tcPr>
          <w:p w14:paraId="6413F61A" w14:textId="3B7CEE5E" w:rsidR="009C3B56" w:rsidRPr="00954233" w:rsidRDefault="009C3B56" w:rsidP="00954233">
            <w:pPr>
              <w:pStyle w:val="BodyText"/>
              <w:spacing w:before="0"/>
              <w:rPr>
                <w:rFonts w:asciiTheme="minorHAnsi" w:hAnsiTheme="minorHAnsi" w:cstheme="minorHAnsi"/>
              </w:rPr>
            </w:pPr>
            <w:r w:rsidRPr="00954233">
              <w:rPr>
                <w:rFonts w:asciiTheme="minorHAnsi" w:hAnsiTheme="minorHAnsi" w:cstheme="minorHAnsi"/>
              </w:rPr>
              <w:t xml:space="preserve">Annual Return 2023-24 Table </w:t>
            </w:r>
            <w:r w:rsidR="008A44BA">
              <w:rPr>
                <w:rFonts w:asciiTheme="minorHAnsi" w:hAnsiTheme="minorHAnsi" w:cstheme="minorHAnsi"/>
              </w:rPr>
              <w:t>G</w:t>
            </w:r>
            <w:r w:rsidRPr="00954233">
              <w:rPr>
                <w:rFonts w:asciiTheme="minorHAnsi" w:hAnsiTheme="minorHAnsi" w:cstheme="minorHAnsi"/>
              </w:rPr>
              <w:t>6a column reference</w:t>
            </w:r>
            <w:r w:rsidR="00384A9C" w:rsidRPr="00954233">
              <w:rPr>
                <w:rFonts w:asciiTheme="minorHAnsi" w:hAnsiTheme="minorHAnsi" w:cstheme="minorHAnsi"/>
              </w:rPr>
              <w:t xml:space="preserve"> (if relevant)</w:t>
            </w:r>
          </w:p>
        </w:tc>
      </w:tr>
      <w:tr w:rsidR="008C1B8A" w:rsidRPr="00DE19DC" w14:paraId="638526D8" w14:textId="77777777" w:rsidTr="00954233">
        <w:tc>
          <w:tcPr>
            <w:tcW w:w="0" w:type="auto"/>
          </w:tcPr>
          <w:p w14:paraId="28CA72BD" w14:textId="683B9BBA" w:rsidR="008C1B8A" w:rsidRPr="00B45474" w:rsidDel="00C2398E" w:rsidRDefault="00B45474" w:rsidP="008C1B8A">
            <w:pPr>
              <w:pStyle w:val="TableParagraph"/>
              <w:rPr>
                <w:rFonts w:ascii="Calibri" w:hAnsi="Calibri" w:cs="Calibri"/>
                <w:color w:val="064276" w:themeColor="text2"/>
                <w:sz w:val="24"/>
                <w:szCs w:val="24"/>
              </w:rPr>
            </w:pPr>
            <w:r w:rsidRPr="00B45474">
              <w:rPr>
                <w:rFonts w:ascii="Calibri" w:hAnsi="Calibri" w:cs="Calibri"/>
                <w:bCs/>
                <w:sz w:val="24"/>
                <w:szCs w:val="24"/>
              </w:rPr>
              <w:t>1</w:t>
            </w:r>
          </w:p>
        </w:tc>
        <w:tc>
          <w:tcPr>
            <w:tcW w:w="2598" w:type="dxa"/>
          </w:tcPr>
          <w:p w14:paraId="79A0918D" w14:textId="7D5D22D5"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Unique ID</w:t>
            </w:r>
          </w:p>
        </w:tc>
        <w:tc>
          <w:tcPr>
            <w:tcW w:w="7174" w:type="dxa"/>
          </w:tcPr>
          <w:p w14:paraId="1FFCC6B6" w14:textId="3A46FFAA" w:rsidR="008C1B8A" w:rsidRPr="00EB3611" w:rsidRDefault="008C1B8A" w:rsidP="00E24D2B">
            <w:pPr>
              <w:pStyle w:val="TableParagraph"/>
              <w:spacing w:afterLines="60" w:after="144"/>
              <w:rPr>
                <w:rFonts w:ascii="Calibri" w:hAnsi="Calibri" w:cs="Calibri"/>
                <w:sz w:val="24"/>
                <w:szCs w:val="24"/>
              </w:rPr>
            </w:pPr>
            <w:r w:rsidRPr="008C1B8A">
              <w:rPr>
                <w:rFonts w:ascii="Calibri" w:hAnsi="Calibri" w:cs="Calibri"/>
                <w:sz w:val="24"/>
                <w:szCs w:val="24"/>
              </w:rPr>
              <w:t>Unique ID code assigned to each line within this table. All codes should be mutually exclusive.</w:t>
            </w:r>
          </w:p>
        </w:tc>
        <w:tc>
          <w:tcPr>
            <w:tcW w:w="1472" w:type="dxa"/>
          </w:tcPr>
          <w:p w14:paraId="3F5FEA97" w14:textId="24C7E36B" w:rsidR="008C1B8A" w:rsidRPr="00EB3611" w:rsidRDefault="008C1B8A" w:rsidP="008C1B8A">
            <w:pPr>
              <w:pStyle w:val="TableParagraph"/>
              <w:rPr>
                <w:rFonts w:ascii="Calibri" w:hAnsi="Calibri" w:cs="Calibri"/>
                <w:sz w:val="24"/>
                <w:szCs w:val="24"/>
              </w:rPr>
            </w:pPr>
            <w:r w:rsidRPr="00F5245D">
              <w:rPr>
                <w:rFonts w:ascii="Calibri" w:hAnsi="Calibri" w:cs="Calibri"/>
                <w:sz w:val="24"/>
                <w:szCs w:val="24"/>
              </w:rPr>
              <w:t>N/A</w:t>
            </w:r>
          </w:p>
        </w:tc>
        <w:tc>
          <w:tcPr>
            <w:tcW w:w="2096" w:type="dxa"/>
          </w:tcPr>
          <w:p w14:paraId="5DB77EB7" w14:textId="4E74AE23" w:rsidR="008C1B8A" w:rsidRPr="00EB3611" w:rsidRDefault="008C1B8A" w:rsidP="008C1B8A">
            <w:pPr>
              <w:pStyle w:val="TableParagraph"/>
              <w:rPr>
                <w:rFonts w:ascii="Calibri" w:hAnsi="Calibri" w:cs="Calibri"/>
                <w:sz w:val="24"/>
                <w:szCs w:val="24"/>
              </w:rPr>
            </w:pPr>
            <w:r>
              <w:rPr>
                <w:rFonts w:ascii="Calibri" w:hAnsi="Calibri" w:cs="Calibri"/>
                <w:sz w:val="24"/>
                <w:szCs w:val="24"/>
              </w:rPr>
              <w:t>1</w:t>
            </w:r>
          </w:p>
        </w:tc>
      </w:tr>
      <w:tr w:rsidR="005C362D" w:rsidRPr="00DE19DC" w14:paraId="3AE93B24" w14:textId="7015DEA8" w:rsidTr="00954233">
        <w:tc>
          <w:tcPr>
            <w:tcW w:w="0" w:type="auto"/>
          </w:tcPr>
          <w:p w14:paraId="5263572E" w14:textId="56781C49" w:rsidR="008C1B8A" w:rsidRPr="00D461C8" w:rsidRDefault="00B45474" w:rsidP="008C1B8A">
            <w:pPr>
              <w:pStyle w:val="TableParagraph"/>
              <w:rPr>
                <w:rFonts w:ascii="Calibri" w:hAnsi="Calibri" w:cs="Calibri"/>
                <w:sz w:val="24"/>
                <w:szCs w:val="24"/>
              </w:rPr>
            </w:pPr>
            <w:r>
              <w:rPr>
                <w:rFonts w:ascii="Calibri" w:hAnsi="Calibri" w:cs="Calibri"/>
                <w:sz w:val="24"/>
                <w:szCs w:val="24"/>
              </w:rPr>
              <w:t>2</w:t>
            </w:r>
          </w:p>
        </w:tc>
        <w:tc>
          <w:tcPr>
            <w:tcW w:w="2598" w:type="dxa"/>
          </w:tcPr>
          <w:p w14:paraId="4E2FB0BE" w14:textId="5373B39A"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Description</w:t>
            </w:r>
          </w:p>
        </w:tc>
        <w:tc>
          <w:tcPr>
            <w:tcW w:w="7174" w:type="dxa"/>
          </w:tcPr>
          <w:p w14:paraId="169C58F8" w14:textId="3BF5C814" w:rsidR="008C1B8A" w:rsidRPr="00EB3611" w:rsidRDefault="008C1B8A" w:rsidP="00E24D2B">
            <w:pPr>
              <w:pStyle w:val="TableParagraph"/>
              <w:spacing w:afterLines="60" w:after="144"/>
              <w:rPr>
                <w:rFonts w:ascii="Calibri" w:hAnsi="Calibri" w:cs="Calibri"/>
                <w:sz w:val="24"/>
                <w:szCs w:val="24"/>
              </w:rPr>
            </w:pPr>
            <w:r w:rsidRPr="00EB3611">
              <w:rPr>
                <w:rFonts w:ascii="Calibri" w:hAnsi="Calibri" w:cs="Calibri"/>
                <w:sz w:val="24"/>
                <w:szCs w:val="24"/>
              </w:rPr>
              <w:t xml:space="preserve">Description </w:t>
            </w:r>
            <w:r>
              <w:rPr>
                <w:rFonts w:ascii="Calibri" w:hAnsi="Calibri" w:cs="Calibri"/>
                <w:sz w:val="24"/>
                <w:szCs w:val="24"/>
              </w:rPr>
              <w:t>o</w:t>
            </w:r>
            <w:r w:rsidRPr="00EB3611">
              <w:rPr>
                <w:rFonts w:ascii="Calibri" w:hAnsi="Calibri" w:cs="Calibri"/>
                <w:sz w:val="24"/>
                <w:szCs w:val="24"/>
              </w:rPr>
              <w:t xml:space="preserve">f </w:t>
            </w:r>
            <w:r>
              <w:rPr>
                <w:rFonts w:ascii="Calibri" w:hAnsi="Calibri" w:cs="Calibri"/>
                <w:sz w:val="24"/>
                <w:szCs w:val="24"/>
              </w:rPr>
              <w:t>the project or programme</w:t>
            </w:r>
            <w:r w:rsidR="00370E76">
              <w:rPr>
                <w:rFonts w:ascii="Calibri" w:hAnsi="Calibri" w:cs="Calibri"/>
                <w:sz w:val="24"/>
                <w:szCs w:val="24"/>
              </w:rPr>
              <w:t>.</w:t>
            </w:r>
          </w:p>
        </w:tc>
        <w:tc>
          <w:tcPr>
            <w:tcW w:w="1472" w:type="dxa"/>
          </w:tcPr>
          <w:p w14:paraId="070DE3CF" w14:textId="236C4136" w:rsidR="008C1B8A" w:rsidRPr="00EB3611" w:rsidRDefault="008C1B8A" w:rsidP="008C1B8A">
            <w:pPr>
              <w:pStyle w:val="TableParagraph"/>
              <w:rPr>
                <w:rFonts w:ascii="Calibri" w:hAnsi="Calibri" w:cs="Calibri"/>
                <w:sz w:val="24"/>
                <w:szCs w:val="24"/>
              </w:rPr>
            </w:pPr>
            <w:r w:rsidRPr="00F5245D">
              <w:rPr>
                <w:rFonts w:ascii="Calibri" w:hAnsi="Calibri" w:cs="Calibri"/>
                <w:sz w:val="24"/>
                <w:szCs w:val="24"/>
              </w:rPr>
              <w:t>N/A</w:t>
            </w:r>
          </w:p>
        </w:tc>
        <w:tc>
          <w:tcPr>
            <w:tcW w:w="2096" w:type="dxa"/>
          </w:tcPr>
          <w:p w14:paraId="1F686F6E" w14:textId="548C00CF"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3</w:t>
            </w:r>
          </w:p>
        </w:tc>
      </w:tr>
      <w:tr w:rsidR="005C362D" w:rsidRPr="00DE19DC" w14:paraId="6E17A605" w14:textId="48F82D52" w:rsidTr="00954233">
        <w:trPr>
          <w:trHeight w:val="868"/>
        </w:trPr>
        <w:tc>
          <w:tcPr>
            <w:tcW w:w="0" w:type="auto"/>
          </w:tcPr>
          <w:p w14:paraId="1FD0883C" w14:textId="58C4CEB6" w:rsidR="00C10EF5" w:rsidRPr="00D461C8" w:rsidRDefault="00ED2D91">
            <w:pPr>
              <w:pStyle w:val="TableParagraph"/>
              <w:rPr>
                <w:rFonts w:ascii="Calibri" w:hAnsi="Calibri" w:cs="Calibri"/>
                <w:sz w:val="24"/>
                <w:szCs w:val="24"/>
              </w:rPr>
            </w:pPr>
            <w:r>
              <w:rPr>
                <w:rFonts w:ascii="Calibri" w:hAnsi="Calibri" w:cs="Calibri"/>
                <w:sz w:val="24"/>
                <w:szCs w:val="24"/>
              </w:rPr>
              <w:t>3</w:t>
            </w:r>
          </w:p>
        </w:tc>
        <w:tc>
          <w:tcPr>
            <w:tcW w:w="2598" w:type="dxa"/>
          </w:tcPr>
          <w:p w14:paraId="1E073B4B" w14:textId="73AF38C6" w:rsidR="00C10EF5" w:rsidRPr="00D461C8" w:rsidRDefault="003D1A56">
            <w:pPr>
              <w:pStyle w:val="TableParagraph"/>
              <w:rPr>
                <w:rFonts w:ascii="Calibri" w:hAnsi="Calibri" w:cs="Calibri"/>
                <w:sz w:val="24"/>
                <w:szCs w:val="24"/>
              </w:rPr>
            </w:pPr>
            <w:r w:rsidRPr="00EB3611">
              <w:rPr>
                <w:rFonts w:ascii="Calibri" w:hAnsi="Calibri" w:cs="Calibri"/>
                <w:sz w:val="24"/>
                <w:szCs w:val="24"/>
              </w:rPr>
              <w:t>Service</w:t>
            </w:r>
          </w:p>
        </w:tc>
        <w:tc>
          <w:tcPr>
            <w:tcW w:w="7174" w:type="dxa"/>
          </w:tcPr>
          <w:p w14:paraId="167A6964" w14:textId="5AD88DB2" w:rsidR="00C10EF5" w:rsidRPr="00EB3611" w:rsidRDefault="00356C60" w:rsidP="00E24D2B">
            <w:pPr>
              <w:pStyle w:val="TableParagraph"/>
              <w:spacing w:afterLines="60" w:after="144"/>
              <w:rPr>
                <w:rFonts w:ascii="Calibri" w:hAnsi="Calibri" w:cs="Calibri"/>
                <w:sz w:val="24"/>
                <w:szCs w:val="24"/>
              </w:rPr>
            </w:pPr>
            <w:r>
              <w:rPr>
                <w:rFonts w:ascii="Calibri" w:hAnsi="Calibri" w:cs="Calibri"/>
                <w:sz w:val="24"/>
                <w:szCs w:val="24"/>
              </w:rPr>
              <w:t>Drop</w:t>
            </w:r>
            <w:r w:rsidR="00CE697B">
              <w:rPr>
                <w:rFonts w:ascii="Calibri" w:hAnsi="Calibri" w:cs="Calibri"/>
                <w:sz w:val="24"/>
                <w:szCs w:val="24"/>
              </w:rPr>
              <w:t>-</w:t>
            </w:r>
            <w:r>
              <w:rPr>
                <w:rFonts w:ascii="Calibri" w:hAnsi="Calibri" w:cs="Calibri"/>
                <w:sz w:val="24"/>
                <w:szCs w:val="24"/>
              </w:rPr>
              <w:t>down menu</w:t>
            </w:r>
            <w:r w:rsidR="007F599A">
              <w:rPr>
                <w:rFonts w:ascii="Calibri" w:hAnsi="Calibri" w:cs="Calibri"/>
                <w:sz w:val="24"/>
                <w:szCs w:val="24"/>
              </w:rPr>
              <w:t xml:space="preserve">. Options: </w:t>
            </w:r>
            <w:r w:rsidR="00235B36" w:rsidRPr="00EB3611">
              <w:rPr>
                <w:rFonts w:ascii="Calibri" w:hAnsi="Calibri" w:cs="Calibri"/>
                <w:sz w:val="24"/>
                <w:szCs w:val="24"/>
              </w:rPr>
              <w:t xml:space="preserve">Water, Foul sewage </w:t>
            </w:r>
            <w:r w:rsidR="006C04A7">
              <w:rPr>
                <w:rFonts w:ascii="Calibri" w:hAnsi="Calibri" w:cs="Calibri"/>
                <w:sz w:val="24"/>
                <w:szCs w:val="24"/>
              </w:rPr>
              <w:t>and</w:t>
            </w:r>
            <w:r w:rsidR="006C04A7" w:rsidRPr="00EB3611">
              <w:rPr>
                <w:rFonts w:ascii="Calibri" w:hAnsi="Calibri" w:cs="Calibri"/>
                <w:sz w:val="24"/>
                <w:szCs w:val="24"/>
              </w:rPr>
              <w:t xml:space="preserve"> </w:t>
            </w:r>
            <w:r w:rsidR="00235B36" w:rsidRPr="00EB3611">
              <w:rPr>
                <w:rFonts w:ascii="Calibri" w:hAnsi="Calibri" w:cs="Calibri"/>
                <w:sz w:val="24"/>
                <w:szCs w:val="24"/>
              </w:rPr>
              <w:t>surface water shared assets, Foul sewage only, Surface water only</w:t>
            </w:r>
            <w:r w:rsidR="00ED2D91">
              <w:rPr>
                <w:rFonts w:ascii="Calibri" w:hAnsi="Calibri" w:cs="Calibri"/>
                <w:sz w:val="24"/>
                <w:szCs w:val="24"/>
              </w:rPr>
              <w:t>, Water &amp; wastewater shared assets</w:t>
            </w:r>
            <w:r w:rsidR="0005018E" w:rsidRPr="00EB3611">
              <w:rPr>
                <w:rFonts w:ascii="Calibri" w:hAnsi="Calibri" w:cs="Calibri"/>
                <w:sz w:val="24"/>
                <w:szCs w:val="24"/>
              </w:rPr>
              <w:t>.</w:t>
            </w:r>
          </w:p>
        </w:tc>
        <w:tc>
          <w:tcPr>
            <w:tcW w:w="1472" w:type="dxa"/>
          </w:tcPr>
          <w:p w14:paraId="7129DD31" w14:textId="57007793" w:rsidR="00C10EF5" w:rsidRPr="00D461C8" w:rsidRDefault="00235B36">
            <w:pPr>
              <w:pStyle w:val="TableParagraph"/>
              <w:rPr>
                <w:rFonts w:ascii="Calibri" w:hAnsi="Calibri" w:cs="Calibri"/>
                <w:sz w:val="24"/>
                <w:szCs w:val="24"/>
              </w:rPr>
            </w:pPr>
            <w:r w:rsidRPr="00EB3611">
              <w:rPr>
                <w:rFonts w:ascii="Calibri" w:hAnsi="Calibri" w:cs="Calibri"/>
                <w:sz w:val="24"/>
                <w:szCs w:val="24"/>
              </w:rPr>
              <w:t>N/A</w:t>
            </w:r>
          </w:p>
        </w:tc>
        <w:tc>
          <w:tcPr>
            <w:tcW w:w="2096" w:type="dxa"/>
          </w:tcPr>
          <w:p w14:paraId="713C1DAF" w14:textId="1742EAEE" w:rsidR="00AD5168" w:rsidRPr="00EB3611" w:rsidRDefault="00AD5168">
            <w:pPr>
              <w:pStyle w:val="TableParagraph"/>
              <w:rPr>
                <w:rFonts w:ascii="Calibri" w:hAnsi="Calibri" w:cs="Calibri"/>
                <w:sz w:val="24"/>
                <w:szCs w:val="24"/>
              </w:rPr>
            </w:pPr>
          </w:p>
        </w:tc>
      </w:tr>
      <w:tr w:rsidR="00C102D5" w:rsidRPr="00DE19DC" w14:paraId="003C9CCF" w14:textId="77777777" w:rsidTr="00954233">
        <w:trPr>
          <w:trHeight w:val="520"/>
        </w:trPr>
        <w:tc>
          <w:tcPr>
            <w:tcW w:w="0" w:type="auto"/>
          </w:tcPr>
          <w:p w14:paraId="653A6783" w14:textId="1616102A" w:rsidR="00C102D5" w:rsidRDefault="00C102D5">
            <w:pPr>
              <w:pStyle w:val="TableParagraph"/>
              <w:rPr>
                <w:rFonts w:ascii="Calibri" w:hAnsi="Calibri" w:cs="Calibri"/>
                <w:sz w:val="24"/>
                <w:szCs w:val="24"/>
              </w:rPr>
            </w:pPr>
            <w:r>
              <w:rPr>
                <w:rFonts w:ascii="Calibri" w:hAnsi="Calibri" w:cs="Calibri"/>
                <w:sz w:val="24"/>
                <w:szCs w:val="24"/>
              </w:rPr>
              <w:t>4</w:t>
            </w:r>
          </w:p>
        </w:tc>
        <w:tc>
          <w:tcPr>
            <w:tcW w:w="2598" w:type="dxa"/>
          </w:tcPr>
          <w:p w14:paraId="0CA1F245" w14:textId="5457264E" w:rsidR="00C102D5" w:rsidRPr="00EB3611" w:rsidRDefault="00C102D5">
            <w:pPr>
              <w:pStyle w:val="TableParagraph"/>
              <w:rPr>
                <w:rFonts w:ascii="Calibri" w:hAnsi="Calibri" w:cs="Calibri"/>
                <w:sz w:val="24"/>
                <w:szCs w:val="24"/>
              </w:rPr>
            </w:pPr>
            <w:r>
              <w:rPr>
                <w:rFonts w:ascii="Calibri" w:hAnsi="Calibri" w:cs="Calibri"/>
                <w:sz w:val="24"/>
                <w:szCs w:val="24"/>
              </w:rPr>
              <w:t>Charge path scenario</w:t>
            </w:r>
          </w:p>
        </w:tc>
        <w:tc>
          <w:tcPr>
            <w:tcW w:w="7174" w:type="dxa"/>
          </w:tcPr>
          <w:p w14:paraId="3BD80733" w14:textId="6B5F65B5" w:rsidR="00C102D5" w:rsidRDefault="00D63BEE" w:rsidP="00E24D2B">
            <w:pPr>
              <w:pStyle w:val="TableParagraph"/>
              <w:spacing w:afterLines="60" w:after="144"/>
              <w:rPr>
                <w:rFonts w:ascii="Calibri" w:hAnsi="Calibri" w:cs="Calibri"/>
                <w:sz w:val="24"/>
                <w:szCs w:val="24"/>
              </w:rPr>
            </w:pPr>
            <w:r w:rsidRPr="007F599A">
              <w:rPr>
                <w:rFonts w:ascii="Calibri" w:hAnsi="Calibri" w:cs="Calibri"/>
                <w:sz w:val="24"/>
                <w:szCs w:val="24"/>
              </w:rPr>
              <w:t>Drop</w:t>
            </w:r>
            <w:r>
              <w:rPr>
                <w:rFonts w:ascii="Calibri" w:hAnsi="Calibri" w:cs="Calibri"/>
                <w:sz w:val="24"/>
                <w:szCs w:val="24"/>
              </w:rPr>
              <w:t>-</w:t>
            </w:r>
            <w:r w:rsidRPr="007F599A">
              <w:rPr>
                <w:rFonts w:ascii="Calibri" w:hAnsi="Calibri" w:cs="Calibri"/>
                <w:sz w:val="24"/>
                <w:szCs w:val="24"/>
              </w:rPr>
              <w:t>down menu.</w:t>
            </w:r>
            <w:r>
              <w:rPr>
                <w:rFonts w:ascii="Calibri" w:hAnsi="Calibri" w:cs="Calibri"/>
                <w:sz w:val="24"/>
                <w:szCs w:val="24"/>
              </w:rPr>
              <w:t xml:space="preserve"> Options: (Reference) Scenario A, Scenario B, Scenario C.</w:t>
            </w:r>
          </w:p>
        </w:tc>
        <w:tc>
          <w:tcPr>
            <w:tcW w:w="1472" w:type="dxa"/>
          </w:tcPr>
          <w:p w14:paraId="699909F7" w14:textId="7F91DBD0" w:rsidR="00C102D5" w:rsidRPr="00EB3611" w:rsidRDefault="00A056C4">
            <w:pPr>
              <w:pStyle w:val="TableParagraph"/>
              <w:rPr>
                <w:rFonts w:ascii="Calibri" w:hAnsi="Calibri" w:cs="Calibri"/>
                <w:sz w:val="24"/>
                <w:szCs w:val="24"/>
              </w:rPr>
            </w:pPr>
            <w:r>
              <w:rPr>
                <w:rFonts w:ascii="Calibri" w:hAnsi="Calibri" w:cs="Calibri"/>
                <w:sz w:val="24"/>
                <w:szCs w:val="24"/>
              </w:rPr>
              <w:t>N/A</w:t>
            </w:r>
          </w:p>
        </w:tc>
        <w:tc>
          <w:tcPr>
            <w:tcW w:w="2096" w:type="dxa"/>
          </w:tcPr>
          <w:p w14:paraId="2F202BC9" w14:textId="77777777" w:rsidR="00C102D5" w:rsidRPr="00EB3611" w:rsidRDefault="00C102D5">
            <w:pPr>
              <w:pStyle w:val="TableParagraph"/>
              <w:rPr>
                <w:rFonts w:ascii="Calibri" w:hAnsi="Calibri" w:cs="Calibri"/>
                <w:sz w:val="24"/>
                <w:szCs w:val="24"/>
              </w:rPr>
            </w:pPr>
          </w:p>
        </w:tc>
      </w:tr>
      <w:tr w:rsidR="00F90DF1" w:rsidRPr="00DE19DC" w14:paraId="334C2BAF" w14:textId="2E570A9B" w:rsidTr="00954233">
        <w:tc>
          <w:tcPr>
            <w:tcW w:w="0" w:type="auto"/>
          </w:tcPr>
          <w:p w14:paraId="5E5618D1" w14:textId="75027355" w:rsidR="00F90DF1" w:rsidRPr="00D461C8" w:rsidRDefault="0097202E" w:rsidP="00F90DF1">
            <w:pPr>
              <w:pStyle w:val="TableParagraph"/>
              <w:rPr>
                <w:rFonts w:ascii="Calibri" w:hAnsi="Calibri" w:cs="Calibri"/>
                <w:sz w:val="24"/>
                <w:szCs w:val="24"/>
              </w:rPr>
            </w:pPr>
            <w:r>
              <w:rPr>
                <w:rFonts w:ascii="Calibri" w:hAnsi="Calibri" w:cs="Calibri"/>
                <w:sz w:val="24"/>
                <w:szCs w:val="24"/>
              </w:rPr>
              <w:t>5</w:t>
            </w:r>
          </w:p>
        </w:tc>
        <w:tc>
          <w:tcPr>
            <w:tcW w:w="2598" w:type="dxa"/>
          </w:tcPr>
          <w:p w14:paraId="28030050" w14:textId="08A2C225" w:rsidR="00F90DF1" w:rsidRPr="00330283" w:rsidRDefault="00637F19" w:rsidP="00F90DF1">
            <w:pPr>
              <w:pStyle w:val="TableParagraph"/>
              <w:rPr>
                <w:rFonts w:ascii="Calibri" w:hAnsi="Calibri" w:cs="Calibri"/>
                <w:sz w:val="24"/>
                <w:szCs w:val="24"/>
              </w:rPr>
            </w:pPr>
            <w:r>
              <w:rPr>
                <w:sz w:val="24"/>
                <w:szCs w:val="24"/>
              </w:rPr>
              <w:t>Capital-based</w:t>
            </w:r>
            <w:r w:rsidR="00F90DF1" w:rsidRPr="00330283">
              <w:rPr>
                <w:sz w:val="24"/>
                <w:szCs w:val="24"/>
              </w:rPr>
              <w:t xml:space="preserve"> or operating-based solution</w:t>
            </w:r>
          </w:p>
        </w:tc>
        <w:tc>
          <w:tcPr>
            <w:tcW w:w="7174" w:type="dxa"/>
          </w:tcPr>
          <w:p w14:paraId="2EA243AA" w14:textId="7A74062A" w:rsidR="00F90DF1" w:rsidRDefault="00CE697B"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w:t>
            </w:r>
            <w:r w:rsidR="00637F19">
              <w:rPr>
                <w:rFonts w:ascii="Calibri" w:hAnsi="Calibri" w:cs="Calibri"/>
                <w:sz w:val="24"/>
                <w:szCs w:val="24"/>
              </w:rPr>
              <w:t xml:space="preserve">Capital-based solution, </w:t>
            </w:r>
            <w:r w:rsidR="00583EC6">
              <w:rPr>
                <w:rFonts w:ascii="Calibri" w:hAnsi="Calibri" w:cs="Calibri"/>
                <w:sz w:val="24"/>
                <w:szCs w:val="24"/>
              </w:rPr>
              <w:t>operating</w:t>
            </w:r>
            <w:r w:rsidR="00637F19">
              <w:rPr>
                <w:rFonts w:ascii="Calibri" w:hAnsi="Calibri" w:cs="Calibri"/>
                <w:sz w:val="24"/>
                <w:szCs w:val="24"/>
              </w:rPr>
              <w:t>-based solution.</w:t>
            </w:r>
          </w:p>
          <w:p w14:paraId="2C36F141" w14:textId="18D2048A" w:rsidR="00503E8A" w:rsidRDefault="0052002F" w:rsidP="00E24D2B">
            <w:pPr>
              <w:pStyle w:val="TableParagraph"/>
              <w:spacing w:afterLines="60" w:after="144"/>
              <w:rPr>
                <w:rFonts w:ascii="Calibri" w:hAnsi="Calibri" w:cs="Calibri"/>
                <w:sz w:val="24"/>
                <w:szCs w:val="24"/>
              </w:rPr>
            </w:pPr>
            <w:r>
              <w:rPr>
                <w:rFonts w:ascii="Calibri" w:hAnsi="Calibri" w:cs="Calibri"/>
                <w:sz w:val="24"/>
                <w:szCs w:val="24"/>
              </w:rPr>
              <w:t xml:space="preserve">Scottish Water should </w:t>
            </w:r>
            <w:r w:rsidR="008D2E54">
              <w:rPr>
                <w:rFonts w:ascii="Calibri" w:hAnsi="Calibri" w:cs="Calibri"/>
                <w:sz w:val="24"/>
                <w:szCs w:val="24"/>
              </w:rPr>
              <w:t xml:space="preserve">explain in the Business Plan commentary what </w:t>
            </w:r>
            <w:r w:rsidR="008D2E54">
              <w:rPr>
                <w:rFonts w:ascii="Calibri" w:hAnsi="Calibri" w:cs="Calibri"/>
                <w:sz w:val="24"/>
                <w:szCs w:val="24"/>
              </w:rPr>
              <w:lastRenderedPageBreak/>
              <w:t xml:space="preserve">criteria it has used </w:t>
            </w:r>
            <w:r w:rsidR="0008652D">
              <w:rPr>
                <w:rFonts w:ascii="Calibri" w:hAnsi="Calibri" w:cs="Calibri"/>
                <w:sz w:val="24"/>
                <w:szCs w:val="24"/>
              </w:rPr>
              <w:t xml:space="preserve">for a </w:t>
            </w:r>
            <w:r w:rsidR="008A14F1">
              <w:rPr>
                <w:rFonts w:ascii="Calibri" w:hAnsi="Calibri" w:cs="Calibri"/>
                <w:sz w:val="24"/>
                <w:szCs w:val="24"/>
              </w:rPr>
              <w:t>project/programme</w:t>
            </w:r>
            <w:r w:rsidR="0096143E">
              <w:rPr>
                <w:rFonts w:ascii="Calibri" w:hAnsi="Calibri" w:cs="Calibri"/>
                <w:sz w:val="24"/>
                <w:szCs w:val="24"/>
              </w:rPr>
              <w:t xml:space="preserve"> of works</w:t>
            </w:r>
            <w:r w:rsidR="008A14F1">
              <w:rPr>
                <w:rFonts w:ascii="Calibri" w:hAnsi="Calibri" w:cs="Calibri"/>
                <w:sz w:val="24"/>
                <w:szCs w:val="24"/>
              </w:rPr>
              <w:t xml:space="preserve"> </w:t>
            </w:r>
            <w:r w:rsidR="008D2E54">
              <w:rPr>
                <w:rFonts w:ascii="Calibri" w:hAnsi="Calibri" w:cs="Calibri"/>
                <w:sz w:val="24"/>
                <w:szCs w:val="24"/>
              </w:rPr>
              <w:t xml:space="preserve">to </w:t>
            </w:r>
            <w:r w:rsidR="006311AC">
              <w:rPr>
                <w:rFonts w:ascii="Calibri" w:hAnsi="Calibri" w:cs="Calibri"/>
                <w:sz w:val="24"/>
                <w:szCs w:val="24"/>
              </w:rPr>
              <w:t>determine</w:t>
            </w:r>
            <w:r w:rsidR="00503E8A">
              <w:rPr>
                <w:rFonts w:ascii="Calibri" w:hAnsi="Calibri" w:cs="Calibri"/>
                <w:sz w:val="24"/>
                <w:szCs w:val="24"/>
              </w:rPr>
              <w:t xml:space="preserve"> between the two options.</w:t>
            </w:r>
          </w:p>
          <w:p w14:paraId="162FD69B" w14:textId="5A5C9116" w:rsidR="00F90DF1" w:rsidRPr="00330283" w:rsidRDefault="00C672CE" w:rsidP="00E24D2B">
            <w:pPr>
              <w:pStyle w:val="TableParagraph"/>
              <w:spacing w:afterLines="60" w:after="144"/>
              <w:rPr>
                <w:rFonts w:ascii="Calibri" w:hAnsi="Calibri" w:cs="Calibri"/>
                <w:sz w:val="24"/>
                <w:szCs w:val="24"/>
              </w:rPr>
            </w:pPr>
            <w:r>
              <w:rPr>
                <w:rFonts w:ascii="Calibri" w:hAnsi="Calibri" w:cs="Calibri"/>
                <w:sz w:val="24"/>
                <w:szCs w:val="24"/>
              </w:rPr>
              <w:t xml:space="preserve">If the project or programme </w:t>
            </w:r>
            <w:r w:rsidR="006C04A7">
              <w:rPr>
                <w:rFonts w:ascii="Calibri" w:hAnsi="Calibri" w:cs="Calibri"/>
                <w:sz w:val="24"/>
                <w:szCs w:val="24"/>
              </w:rPr>
              <w:t>contains</w:t>
            </w:r>
            <w:r w:rsidR="000E4F85" w:rsidDel="006C04A7">
              <w:rPr>
                <w:rFonts w:ascii="Calibri" w:hAnsi="Calibri" w:cs="Calibri"/>
                <w:sz w:val="24"/>
                <w:szCs w:val="24"/>
              </w:rPr>
              <w:t xml:space="preserve"> capital-</w:t>
            </w:r>
            <w:r w:rsidR="000E4F85">
              <w:rPr>
                <w:rFonts w:ascii="Calibri" w:hAnsi="Calibri" w:cs="Calibri"/>
                <w:sz w:val="24"/>
                <w:szCs w:val="24"/>
              </w:rPr>
              <w:t xml:space="preserve"> and operating-based elements, Scottish Water should select the option </w:t>
            </w:r>
            <w:r w:rsidR="006C04A7">
              <w:rPr>
                <w:rFonts w:ascii="Calibri" w:hAnsi="Calibri" w:cs="Calibri"/>
                <w:sz w:val="24"/>
                <w:szCs w:val="24"/>
              </w:rPr>
              <w:t>that represents</w:t>
            </w:r>
            <w:r w:rsidR="000E4F85">
              <w:rPr>
                <w:rFonts w:ascii="Calibri" w:hAnsi="Calibri" w:cs="Calibri"/>
                <w:sz w:val="24"/>
                <w:szCs w:val="24"/>
              </w:rPr>
              <w:t xml:space="preserve"> the </w:t>
            </w:r>
            <w:r w:rsidR="00B22FAD">
              <w:rPr>
                <w:rFonts w:ascii="Calibri" w:hAnsi="Calibri" w:cs="Calibri"/>
                <w:sz w:val="24"/>
                <w:szCs w:val="24"/>
              </w:rPr>
              <w:t>larger proportion of the total solution costs.</w:t>
            </w:r>
          </w:p>
        </w:tc>
        <w:tc>
          <w:tcPr>
            <w:tcW w:w="1472" w:type="dxa"/>
          </w:tcPr>
          <w:p w14:paraId="4448AE1B" w14:textId="427F1F15" w:rsidR="00F90DF1" w:rsidRPr="00D461C8" w:rsidRDefault="00A269B9" w:rsidP="00F90DF1">
            <w:pPr>
              <w:pStyle w:val="TableParagraph"/>
              <w:rPr>
                <w:rFonts w:ascii="Calibri" w:hAnsi="Calibri" w:cs="Calibri"/>
                <w:sz w:val="24"/>
                <w:szCs w:val="24"/>
              </w:rPr>
            </w:pPr>
            <w:r w:rsidRPr="00E307BA">
              <w:rPr>
                <w:rFonts w:ascii="Calibri" w:hAnsi="Calibri" w:cs="Calibri"/>
                <w:sz w:val="24"/>
                <w:szCs w:val="24"/>
              </w:rPr>
              <w:lastRenderedPageBreak/>
              <w:t>N/A</w:t>
            </w:r>
          </w:p>
        </w:tc>
        <w:tc>
          <w:tcPr>
            <w:tcW w:w="2096" w:type="dxa"/>
          </w:tcPr>
          <w:p w14:paraId="7539E4F1" w14:textId="77777777" w:rsidR="00F90DF1" w:rsidRPr="00330283" w:rsidRDefault="00F90DF1" w:rsidP="00F90DF1">
            <w:pPr>
              <w:pStyle w:val="TableParagraph"/>
              <w:rPr>
                <w:rFonts w:ascii="Calibri" w:hAnsi="Calibri" w:cs="Calibri"/>
                <w:sz w:val="24"/>
                <w:szCs w:val="24"/>
              </w:rPr>
            </w:pPr>
          </w:p>
        </w:tc>
      </w:tr>
      <w:tr w:rsidR="00B22FAD" w:rsidRPr="00DE19DC" w14:paraId="73847BC3" w14:textId="77777777" w:rsidTr="00954233">
        <w:tc>
          <w:tcPr>
            <w:tcW w:w="0" w:type="auto"/>
          </w:tcPr>
          <w:p w14:paraId="494BEF05" w14:textId="1BEA5E9A" w:rsidR="00B22FAD" w:rsidRDefault="00B248FF" w:rsidP="00F90DF1">
            <w:pPr>
              <w:pStyle w:val="TableParagraph"/>
              <w:rPr>
                <w:rFonts w:ascii="Calibri" w:hAnsi="Calibri" w:cs="Calibri"/>
                <w:sz w:val="24"/>
                <w:szCs w:val="24"/>
              </w:rPr>
            </w:pPr>
            <w:r>
              <w:rPr>
                <w:rFonts w:ascii="Calibri" w:hAnsi="Calibri" w:cs="Calibri"/>
                <w:sz w:val="24"/>
                <w:szCs w:val="24"/>
              </w:rPr>
              <w:t>6</w:t>
            </w:r>
          </w:p>
        </w:tc>
        <w:tc>
          <w:tcPr>
            <w:tcW w:w="2598" w:type="dxa"/>
          </w:tcPr>
          <w:p w14:paraId="011D60D2" w14:textId="5B97448F" w:rsidR="00B22FAD" w:rsidRPr="00330283" w:rsidRDefault="00B248FF" w:rsidP="00F90DF1">
            <w:pPr>
              <w:pStyle w:val="TableParagraph"/>
              <w:rPr>
                <w:sz w:val="24"/>
                <w:szCs w:val="24"/>
              </w:rPr>
            </w:pPr>
            <w:r w:rsidRPr="00824069">
              <w:rPr>
                <w:rFonts w:ascii="Calibri" w:hAnsi="Calibri" w:cs="Calibri"/>
                <w:sz w:val="24"/>
                <w:szCs w:val="24"/>
              </w:rPr>
              <w:t>Benefit type</w:t>
            </w:r>
            <w:r>
              <w:rPr>
                <w:rFonts w:ascii="Calibri" w:hAnsi="Calibri" w:cs="Calibri"/>
                <w:sz w:val="24"/>
                <w:szCs w:val="24"/>
              </w:rPr>
              <w:t xml:space="preserve">: </w:t>
            </w:r>
            <w:r w:rsidRPr="00824069">
              <w:rPr>
                <w:rFonts w:ascii="Calibri" w:hAnsi="Calibri" w:cs="Calibri"/>
                <w:sz w:val="24"/>
                <w:szCs w:val="24"/>
              </w:rPr>
              <w:t>grey</w:t>
            </w:r>
            <w:r>
              <w:rPr>
                <w:rFonts w:ascii="Calibri" w:hAnsi="Calibri" w:cs="Calibri"/>
                <w:sz w:val="24"/>
                <w:szCs w:val="24"/>
              </w:rPr>
              <w:t>, hybrid</w:t>
            </w:r>
            <w:r w:rsidRPr="00824069">
              <w:rPr>
                <w:rFonts w:ascii="Calibri" w:hAnsi="Calibri" w:cs="Calibri"/>
                <w:sz w:val="24"/>
                <w:szCs w:val="24"/>
              </w:rPr>
              <w:t xml:space="preserve"> or blue</w:t>
            </w:r>
            <w:r w:rsidRPr="00824069" w:rsidDel="00765653">
              <w:rPr>
                <w:rFonts w:ascii="Calibri" w:hAnsi="Calibri" w:cs="Calibri"/>
                <w:sz w:val="24"/>
                <w:szCs w:val="24"/>
              </w:rPr>
              <w:t>-</w:t>
            </w:r>
            <w:r w:rsidRPr="00824069">
              <w:rPr>
                <w:rFonts w:ascii="Calibri" w:hAnsi="Calibri" w:cs="Calibri"/>
                <w:sz w:val="24"/>
                <w:szCs w:val="24"/>
              </w:rPr>
              <w:t>green solution</w:t>
            </w:r>
          </w:p>
        </w:tc>
        <w:tc>
          <w:tcPr>
            <w:tcW w:w="7174" w:type="dxa"/>
          </w:tcPr>
          <w:p w14:paraId="5F180F23" w14:textId="5D400C93" w:rsidR="00B22FAD" w:rsidRPr="00EB7098" w:rsidRDefault="00B248FF" w:rsidP="00E24D2B">
            <w:pPr>
              <w:pStyle w:val="TableParagraph"/>
              <w:spacing w:afterLines="60" w:after="144"/>
              <w:rPr>
                <w:rFonts w:ascii="Calibri" w:hAnsi="Calibri" w:cs="Calibri"/>
                <w:sz w:val="24"/>
                <w:szCs w:val="24"/>
              </w:rPr>
            </w:pPr>
            <w:r>
              <w:rPr>
                <w:rFonts w:ascii="Calibri" w:hAnsi="Calibri" w:cs="Calibri"/>
                <w:sz w:val="24"/>
                <w:szCs w:val="24"/>
              </w:rPr>
              <w:t>Drop-down menu. Options: Grey solution, Hybrid solution, Blue-green solution.</w:t>
            </w:r>
          </w:p>
        </w:tc>
        <w:tc>
          <w:tcPr>
            <w:tcW w:w="1472" w:type="dxa"/>
          </w:tcPr>
          <w:p w14:paraId="39098A0F" w14:textId="7D2F385E" w:rsidR="00B22FAD" w:rsidRPr="00330283" w:rsidRDefault="00B248FF" w:rsidP="00F90DF1">
            <w:pPr>
              <w:pStyle w:val="TableParagraph"/>
              <w:rPr>
                <w:rFonts w:ascii="Calibri" w:hAnsi="Calibri" w:cs="Calibri"/>
                <w:sz w:val="24"/>
                <w:szCs w:val="24"/>
              </w:rPr>
            </w:pPr>
            <w:r>
              <w:rPr>
                <w:rFonts w:ascii="Calibri" w:hAnsi="Calibri" w:cs="Calibri"/>
                <w:sz w:val="24"/>
                <w:szCs w:val="24"/>
              </w:rPr>
              <w:t>N/A</w:t>
            </w:r>
          </w:p>
        </w:tc>
        <w:tc>
          <w:tcPr>
            <w:tcW w:w="2096" w:type="dxa"/>
          </w:tcPr>
          <w:p w14:paraId="3E02264F" w14:textId="77777777" w:rsidR="00B22FAD" w:rsidRPr="00330283" w:rsidRDefault="00B22FAD" w:rsidP="00F90DF1">
            <w:pPr>
              <w:pStyle w:val="TableParagraph"/>
              <w:rPr>
                <w:rFonts w:ascii="Calibri" w:hAnsi="Calibri" w:cs="Calibri"/>
                <w:sz w:val="24"/>
                <w:szCs w:val="24"/>
              </w:rPr>
            </w:pPr>
          </w:p>
        </w:tc>
      </w:tr>
      <w:tr w:rsidR="00B22FAD" w:rsidRPr="00DE19DC" w14:paraId="1D27BBD3" w14:textId="77777777" w:rsidTr="00954233">
        <w:tc>
          <w:tcPr>
            <w:tcW w:w="0" w:type="auto"/>
          </w:tcPr>
          <w:p w14:paraId="254A7BFE" w14:textId="5E29BD2D" w:rsidR="00B22FAD" w:rsidRDefault="00B248FF" w:rsidP="00F90DF1">
            <w:pPr>
              <w:pStyle w:val="TableParagraph"/>
              <w:rPr>
                <w:rFonts w:ascii="Calibri" w:hAnsi="Calibri" w:cs="Calibri"/>
                <w:sz w:val="24"/>
                <w:szCs w:val="24"/>
              </w:rPr>
            </w:pPr>
            <w:r>
              <w:rPr>
                <w:rFonts w:ascii="Calibri" w:hAnsi="Calibri" w:cs="Calibri"/>
                <w:sz w:val="24"/>
                <w:szCs w:val="24"/>
              </w:rPr>
              <w:t>7</w:t>
            </w:r>
          </w:p>
        </w:tc>
        <w:tc>
          <w:tcPr>
            <w:tcW w:w="2598" w:type="dxa"/>
          </w:tcPr>
          <w:p w14:paraId="35837A8B" w14:textId="17926D9B" w:rsidR="00B22FAD" w:rsidRPr="00330283" w:rsidRDefault="00B248FF" w:rsidP="00F90DF1">
            <w:pPr>
              <w:pStyle w:val="TableParagraph"/>
              <w:rPr>
                <w:sz w:val="24"/>
                <w:szCs w:val="24"/>
              </w:rPr>
            </w:pPr>
            <w:r w:rsidRPr="00F768C7">
              <w:rPr>
                <w:rFonts w:ascii="Calibri" w:hAnsi="Calibri" w:cs="Calibri"/>
                <w:sz w:val="24"/>
                <w:szCs w:val="24"/>
              </w:rPr>
              <w:t>Benefit type</w:t>
            </w:r>
            <w:r>
              <w:rPr>
                <w:rFonts w:ascii="Calibri" w:hAnsi="Calibri" w:cs="Calibri"/>
                <w:sz w:val="24"/>
                <w:szCs w:val="24"/>
              </w:rPr>
              <w:t xml:space="preserve">: </w:t>
            </w:r>
            <w:r w:rsidRPr="00F768C7">
              <w:rPr>
                <w:rFonts w:ascii="Calibri" w:hAnsi="Calibri" w:cs="Calibri"/>
                <w:sz w:val="24"/>
                <w:szCs w:val="24"/>
              </w:rPr>
              <w:t>catchment or local solution</w:t>
            </w:r>
          </w:p>
        </w:tc>
        <w:tc>
          <w:tcPr>
            <w:tcW w:w="7174" w:type="dxa"/>
          </w:tcPr>
          <w:p w14:paraId="3BAE6081" w14:textId="77777777" w:rsidR="00B248FF" w:rsidRDefault="00B248FF" w:rsidP="00E24D2B">
            <w:pPr>
              <w:pStyle w:val="TableParagraph"/>
              <w:spacing w:afterLines="60" w:after="144"/>
              <w:rPr>
                <w:rFonts w:ascii="Calibri" w:hAnsi="Calibri" w:cs="Calibri"/>
                <w:sz w:val="24"/>
                <w:szCs w:val="24"/>
              </w:rPr>
            </w:pPr>
            <w:r>
              <w:rPr>
                <w:rFonts w:ascii="Calibri" w:hAnsi="Calibri" w:cs="Calibri"/>
                <w:sz w:val="24"/>
                <w:szCs w:val="24"/>
              </w:rPr>
              <w:t>Drop-down menu. Options:</w:t>
            </w:r>
            <w:r w:rsidRPr="00F768C7">
              <w:rPr>
                <w:rFonts w:ascii="Calibri" w:hAnsi="Calibri" w:cs="Calibri"/>
                <w:sz w:val="24"/>
                <w:szCs w:val="24"/>
              </w:rPr>
              <w:t xml:space="preserve"> </w:t>
            </w:r>
            <w:r>
              <w:rPr>
                <w:rFonts w:ascii="Calibri" w:hAnsi="Calibri" w:cs="Calibri"/>
                <w:sz w:val="24"/>
                <w:szCs w:val="24"/>
              </w:rPr>
              <w:t>Catchment solution, Local solution.</w:t>
            </w:r>
          </w:p>
          <w:p w14:paraId="2BB8FB39" w14:textId="2B4FD32A" w:rsidR="00B248FF" w:rsidRPr="001A1294" w:rsidRDefault="00B248FF" w:rsidP="00E24D2B">
            <w:pPr>
              <w:pStyle w:val="TableParagraph"/>
              <w:spacing w:afterLines="60" w:after="144"/>
              <w:rPr>
                <w:rFonts w:ascii="Calibri" w:hAnsi="Calibri" w:cs="Calibri"/>
                <w:sz w:val="24"/>
                <w:szCs w:val="24"/>
              </w:rPr>
            </w:pPr>
            <w:r w:rsidRPr="001A1294">
              <w:rPr>
                <w:rFonts w:ascii="Calibri" w:hAnsi="Calibri" w:cs="Calibri"/>
                <w:sz w:val="24"/>
                <w:szCs w:val="24"/>
              </w:rPr>
              <w:t>A catchment solution is one which</w:t>
            </w:r>
            <w:r w:rsidR="00FA1DB4" w:rsidRPr="001A1294">
              <w:rPr>
                <w:rFonts w:ascii="Calibri" w:hAnsi="Calibri" w:cs="Calibri"/>
                <w:sz w:val="24"/>
                <w:szCs w:val="24"/>
              </w:rPr>
              <w:t xml:space="preserve"> aims to improve the </w:t>
            </w:r>
            <w:r w:rsidR="00F725DC" w:rsidRPr="001A1294">
              <w:rPr>
                <w:rFonts w:ascii="Calibri" w:hAnsi="Calibri" w:cs="Calibri"/>
                <w:sz w:val="24"/>
                <w:szCs w:val="24"/>
              </w:rPr>
              <w:t>water quality and</w:t>
            </w:r>
            <w:r w:rsidR="00633512" w:rsidRPr="001A1294">
              <w:rPr>
                <w:rFonts w:ascii="Calibri" w:hAnsi="Calibri" w:cs="Calibri"/>
                <w:sz w:val="24"/>
                <w:szCs w:val="24"/>
              </w:rPr>
              <w:t>/or</w:t>
            </w:r>
            <w:r w:rsidR="00F725DC" w:rsidRPr="001A1294">
              <w:rPr>
                <w:rFonts w:ascii="Calibri" w:hAnsi="Calibri" w:cs="Calibri"/>
                <w:sz w:val="24"/>
                <w:szCs w:val="24"/>
              </w:rPr>
              <w:t xml:space="preserve"> environment of the </w:t>
            </w:r>
            <w:r w:rsidR="00633512" w:rsidRPr="001A1294">
              <w:rPr>
                <w:rFonts w:ascii="Calibri" w:hAnsi="Calibri" w:cs="Calibri"/>
                <w:sz w:val="24"/>
                <w:szCs w:val="24"/>
              </w:rPr>
              <w:t>entire area of land that drains into a specific water body, such as a river, lake, or reservoir, as per the definitions in the</w:t>
            </w:r>
            <w:r w:rsidR="00F725DC" w:rsidRPr="001A1294">
              <w:rPr>
                <w:rFonts w:ascii="Calibri" w:hAnsi="Calibri" w:cs="Calibri"/>
                <w:sz w:val="24"/>
                <w:szCs w:val="24"/>
              </w:rPr>
              <w:t xml:space="preserve"> </w:t>
            </w:r>
            <w:r w:rsidR="00F1211B" w:rsidRPr="001A1294">
              <w:rPr>
                <w:rFonts w:ascii="Calibri" w:hAnsi="Calibri" w:cs="Calibri"/>
                <w:sz w:val="24"/>
                <w:szCs w:val="24"/>
              </w:rPr>
              <w:t>guidance section above</w:t>
            </w:r>
            <w:r w:rsidR="001A1294" w:rsidRPr="001A1294">
              <w:rPr>
                <w:rFonts w:ascii="Calibri" w:hAnsi="Calibri" w:cs="Calibri"/>
                <w:sz w:val="24"/>
                <w:szCs w:val="24"/>
              </w:rPr>
              <w:t>.</w:t>
            </w:r>
          </w:p>
          <w:p w14:paraId="1000F3FA" w14:textId="61ED0B10" w:rsidR="00B22FAD" w:rsidRPr="00EB7098" w:rsidRDefault="00B248FF" w:rsidP="00E24D2B">
            <w:pPr>
              <w:pStyle w:val="TableParagraph"/>
              <w:spacing w:afterLines="60" w:after="144"/>
              <w:rPr>
                <w:rFonts w:ascii="Calibri" w:hAnsi="Calibri" w:cs="Calibri"/>
                <w:sz w:val="24"/>
                <w:szCs w:val="24"/>
              </w:rPr>
            </w:pPr>
            <w:r w:rsidRPr="001A1294">
              <w:rPr>
                <w:rFonts w:ascii="Calibri" w:hAnsi="Calibri" w:cs="Calibri"/>
                <w:sz w:val="24"/>
                <w:szCs w:val="24"/>
              </w:rPr>
              <w:t>A local solution is</w:t>
            </w:r>
            <w:r w:rsidR="00257F6F" w:rsidRPr="001A1294">
              <w:rPr>
                <w:rFonts w:ascii="Calibri" w:hAnsi="Calibri" w:cs="Calibri"/>
                <w:sz w:val="24"/>
                <w:szCs w:val="24"/>
              </w:rPr>
              <w:t xml:space="preserve"> a</w:t>
            </w:r>
            <w:r w:rsidRPr="001A1294">
              <w:rPr>
                <w:rFonts w:ascii="Calibri" w:hAnsi="Calibri" w:cs="Calibri"/>
                <w:sz w:val="24"/>
                <w:szCs w:val="24"/>
              </w:rPr>
              <w:t xml:space="preserve"> </w:t>
            </w:r>
            <w:r w:rsidR="00257F6F" w:rsidRPr="001A1294">
              <w:rPr>
                <w:rFonts w:ascii="Calibri" w:hAnsi="Calibri" w:cs="Calibri"/>
                <w:sz w:val="24"/>
                <w:szCs w:val="24"/>
              </w:rPr>
              <w:t>more focused intervention that addresses specific water quality or quantity issues within a smaller geographic area</w:t>
            </w:r>
            <w:r w:rsidR="001A1294" w:rsidRPr="001A1294">
              <w:rPr>
                <w:rFonts w:ascii="Calibri" w:hAnsi="Calibri" w:cs="Calibri"/>
                <w:sz w:val="24"/>
                <w:szCs w:val="24"/>
              </w:rPr>
              <w:t>, as per the definitions in the guidance section above.</w:t>
            </w:r>
          </w:p>
        </w:tc>
        <w:tc>
          <w:tcPr>
            <w:tcW w:w="1472" w:type="dxa"/>
          </w:tcPr>
          <w:p w14:paraId="0F9C6A42" w14:textId="7921B078" w:rsidR="00B22FAD" w:rsidRPr="00330283" w:rsidRDefault="00B248FF" w:rsidP="00F90DF1">
            <w:pPr>
              <w:pStyle w:val="TableParagraph"/>
              <w:rPr>
                <w:rFonts w:ascii="Calibri" w:hAnsi="Calibri" w:cs="Calibri"/>
                <w:sz w:val="24"/>
                <w:szCs w:val="24"/>
              </w:rPr>
            </w:pPr>
            <w:r>
              <w:rPr>
                <w:rFonts w:ascii="Calibri" w:hAnsi="Calibri" w:cs="Calibri"/>
                <w:sz w:val="24"/>
                <w:szCs w:val="24"/>
              </w:rPr>
              <w:t>N/A</w:t>
            </w:r>
          </w:p>
        </w:tc>
        <w:tc>
          <w:tcPr>
            <w:tcW w:w="2096" w:type="dxa"/>
          </w:tcPr>
          <w:p w14:paraId="7EA50E6F" w14:textId="77777777" w:rsidR="00B22FAD" w:rsidRPr="00330283" w:rsidRDefault="00B22FAD" w:rsidP="00F90DF1">
            <w:pPr>
              <w:pStyle w:val="TableParagraph"/>
              <w:rPr>
                <w:rFonts w:ascii="Calibri" w:hAnsi="Calibri" w:cs="Calibri"/>
                <w:sz w:val="24"/>
                <w:szCs w:val="24"/>
              </w:rPr>
            </w:pPr>
          </w:p>
        </w:tc>
      </w:tr>
      <w:tr w:rsidR="00F90DF1" w:rsidRPr="00DE19DC" w14:paraId="437BC132" w14:textId="5EA3ABF3" w:rsidTr="00954233">
        <w:tc>
          <w:tcPr>
            <w:tcW w:w="0" w:type="auto"/>
          </w:tcPr>
          <w:p w14:paraId="70A7E586" w14:textId="2E9B8DA0" w:rsidR="00F90DF1" w:rsidRPr="00D461C8" w:rsidRDefault="00B22FAD" w:rsidP="00F90DF1">
            <w:pPr>
              <w:pStyle w:val="TableParagraph"/>
              <w:rPr>
                <w:rFonts w:ascii="Calibri" w:hAnsi="Calibri" w:cs="Calibri"/>
                <w:sz w:val="24"/>
                <w:szCs w:val="24"/>
              </w:rPr>
            </w:pPr>
            <w:r>
              <w:rPr>
                <w:rFonts w:ascii="Calibri" w:hAnsi="Calibri" w:cs="Calibri"/>
                <w:sz w:val="24"/>
                <w:szCs w:val="24"/>
              </w:rPr>
              <w:t>8</w:t>
            </w:r>
          </w:p>
        </w:tc>
        <w:tc>
          <w:tcPr>
            <w:tcW w:w="2598" w:type="dxa"/>
          </w:tcPr>
          <w:p w14:paraId="1F2082AE" w14:textId="350B225E" w:rsidR="00F90DF1" w:rsidRPr="00F90DF1" w:rsidRDefault="00F90DF1" w:rsidP="00F90DF1">
            <w:pPr>
              <w:pStyle w:val="TableParagraph"/>
              <w:rPr>
                <w:rFonts w:ascii="Calibri" w:hAnsi="Calibri" w:cs="Calibri"/>
                <w:sz w:val="24"/>
                <w:szCs w:val="24"/>
              </w:rPr>
            </w:pPr>
            <w:r w:rsidRPr="00330283">
              <w:rPr>
                <w:sz w:val="24"/>
                <w:szCs w:val="24"/>
              </w:rPr>
              <w:t>Allocation of expenditure to maintenance: replacement (%)</w:t>
            </w:r>
          </w:p>
        </w:tc>
        <w:tc>
          <w:tcPr>
            <w:tcW w:w="7174" w:type="dxa"/>
          </w:tcPr>
          <w:p w14:paraId="713384DE" w14:textId="410029BF" w:rsidR="00EB7098" w:rsidRPr="00EB7098" w:rsidRDefault="009278EE" w:rsidP="00E24D2B">
            <w:pPr>
              <w:pStyle w:val="TableParagraph"/>
              <w:spacing w:afterLines="60" w:after="144"/>
              <w:rPr>
                <w:rFonts w:ascii="Calibri" w:hAnsi="Calibri" w:cs="Calibri"/>
                <w:sz w:val="24"/>
                <w:szCs w:val="24"/>
              </w:rPr>
            </w:pPr>
            <w:r>
              <w:rPr>
                <w:rFonts w:ascii="Calibri" w:hAnsi="Calibri" w:cs="Calibri"/>
                <w:sz w:val="24"/>
                <w:szCs w:val="24"/>
              </w:rPr>
              <w:t>The p</w:t>
            </w:r>
            <w:r w:rsidR="00EB7098" w:rsidRPr="00EB7098">
              <w:rPr>
                <w:rFonts w:ascii="Calibri" w:hAnsi="Calibri" w:cs="Calibri"/>
                <w:sz w:val="24"/>
                <w:szCs w:val="24"/>
              </w:rPr>
              <w:t xml:space="preserve">ercentage of expenditure in the line allocated to asset replacement, including both responsive and planned replacement. </w:t>
            </w:r>
          </w:p>
          <w:p w14:paraId="3D420FAC" w14:textId="0E045261" w:rsidR="00F90DF1" w:rsidRPr="00330283" w:rsidRDefault="00EB7098" w:rsidP="00E24D2B">
            <w:pPr>
              <w:pStyle w:val="TableParagraph"/>
              <w:spacing w:afterLines="60" w:after="144"/>
              <w:rPr>
                <w:rFonts w:ascii="Calibri" w:hAnsi="Calibri" w:cs="Calibri"/>
                <w:sz w:val="24"/>
                <w:szCs w:val="24"/>
              </w:rPr>
            </w:pPr>
            <w:r w:rsidRPr="00EB7098">
              <w:rPr>
                <w:rFonts w:ascii="Calibri" w:hAnsi="Calibri" w:cs="Calibri"/>
                <w:sz w:val="24"/>
                <w:szCs w:val="24"/>
              </w:rPr>
              <w:t xml:space="preserve">For those investment projects involving the replacement of an asset with another that provides a higher level of service or additional </w:t>
            </w:r>
            <w:r w:rsidRPr="00EB7098">
              <w:rPr>
                <w:rFonts w:ascii="Calibri" w:hAnsi="Calibri" w:cs="Calibri"/>
                <w:sz w:val="24"/>
                <w:szCs w:val="24"/>
              </w:rPr>
              <w:lastRenderedPageBreak/>
              <w:t xml:space="preserve">capacity/demand, the allocation to asset replacement expenditure should be the </w:t>
            </w:r>
            <w:r w:rsidRPr="00EB7098" w:rsidDel="00874EF9">
              <w:rPr>
                <w:rFonts w:ascii="Calibri" w:hAnsi="Calibri" w:cs="Calibri"/>
                <w:sz w:val="24"/>
                <w:szCs w:val="24"/>
              </w:rPr>
              <w:t xml:space="preserve">optimised </w:t>
            </w:r>
            <w:r w:rsidRPr="00EB7098">
              <w:rPr>
                <w:rFonts w:ascii="Calibri" w:hAnsi="Calibri" w:cs="Calibri"/>
                <w:sz w:val="24"/>
                <w:szCs w:val="24"/>
              </w:rPr>
              <w:t>replacement cost of the asset.</w:t>
            </w:r>
          </w:p>
        </w:tc>
        <w:tc>
          <w:tcPr>
            <w:tcW w:w="1472" w:type="dxa"/>
          </w:tcPr>
          <w:p w14:paraId="2A6017BF" w14:textId="4549CEFA"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lastRenderedPageBreak/>
              <w:t>%</w:t>
            </w:r>
          </w:p>
        </w:tc>
        <w:tc>
          <w:tcPr>
            <w:tcW w:w="2096" w:type="dxa"/>
          </w:tcPr>
          <w:p w14:paraId="1BBF043C" w14:textId="2DB4A4D5"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13</w:t>
            </w:r>
          </w:p>
        </w:tc>
      </w:tr>
      <w:tr w:rsidR="00F90DF1" w:rsidRPr="00DE19DC" w14:paraId="3E318AE1" w14:textId="2FDE7589" w:rsidTr="00954233">
        <w:tc>
          <w:tcPr>
            <w:tcW w:w="0" w:type="auto"/>
          </w:tcPr>
          <w:p w14:paraId="7DAF6796" w14:textId="7DCB56C7" w:rsidR="00F90DF1" w:rsidRPr="00D461C8" w:rsidRDefault="008276F0" w:rsidP="00F90DF1">
            <w:pPr>
              <w:pStyle w:val="TableParagraph"/>
              <w:rPr>
                <w:rFonts w:ascii="Calibri" w:hAnsi="Calibri" w:cs="Calibri"/>
                <w:sz w:val="24"/>
                <w:szCs w:val="24"/>
              </w:rPr>
            </w:pPr>
            <w:r>
              <w:rPr>
                <w:rFonts w:ascii="Calibri" w:hAnsi="Calibri" w:cs="Calibri"/>
                <w:sz w:val="24"/>
                <w:szCs w:val="24"/>
              </w:rPr>
              <w:t>9</w:t>
            </w:r>
          </w:p>
        </w:tc>
        <w:tc>
          <w:tcPr>
            <w:tcW w:w="2598" w:type="dxa"/>
          </w:tcPr>
          <w:p w14:paraId="437C1D4E" w14:textId="40D050B5" w:rsidR="00F90DF1" w:rsidRPr="00F90DF1" w:rsidRDefault="00F90DF1" w:rsidP="00F90DF1">
            <w:pPr>
              <w:pStyle w:val="TableParagraph"/>
              <w:rPr>
                <w:rFonts w:ascii="Calibri" w:hAnsi="Calibri" w:cs="Calibri"/>
                <w:sz w:val="24"/>
                <w:szCs w:val="24"/>
              </w:rPr>
            </w:pPr>
            <w:r w:rsidRPr="00330283">
              <w:rPr>
                <w:sz w:val="24"/>
                <w:szCs w:val="24"/>
              </w:rPr>
              <w:t>Allocation of expenditure to maintenance: repair &amp; refurbishment (%)</w:t>
            </w:r>
          </w:p>
        </w:tc>
        <w:tc>
          <w:tcPr>
            <w:tcW w:w="7174" w:type="dxa"/>
          </w:tcPr>
          <w:p w14:paraId="0B7D1833" w14:textId="46DC99F4"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t>The p</w:t>
            </w:r>
            <w:r w:rsidRPr="00683ABD">
              <w:rPr>
                <w:rFonts w:ascii="Calibri" w:hAnsi="Calibri" w:cs="Calibri"/>
                <w:sz w:val="24"/>
                <w:szCs w:val="24"/>
              </w:rPr>
              <w:t xml:space="preserve">ercentage </w:t>
            </w:r>
            <w:r w:rsidR="00683ABD" w:rsidRPr="00683ABD">
              <w:rPr>
                <w:rFonts w:ascii="Calibri" w:hAnsi="Calibri" w:cs="Calibri"/>
                <w:sz w:val="24"/>
                <w:szCs w:val="24"/>
              </w:rPr>
              <w:t>of expenditure in the line allocated to repair</w:t>
            </w:r>
            <w:r w:rsidR="00683ABD">
              <w:rPr>
                <w:rFonts w:ascii="Calibri" w:hAnsi="Calibri" w:cs="Calibri"/>
                <w:sz w:val="24"/>
                <w:szCs w:val="24"/>
              </w:rPr>
              <w:t xml:space="preserve"> and refurbishment</w:t>
            </w:r>
            <w:r w:rsidR="00683ABD" w:rsidRPr="00683ABD">
              <w:rPr>
                <w:rFonts w:ascii="Calibri" w:hAnsi="Calibri" w:cs="Calibri"/>
                <w:sz w:val="24"/>
                <w:szCs w:val="24"/>
              </w:rPr>
              <w:t>, including both responsive and planned repairs</w:t>
            </w:r>
            <w:r w:rsidR="00683ABD">
              <w:rPr>
                <w:rFonts w:ascii="Calibri" w:hAnsi="Calibri" w:cs="Calibri"/>
                <w:sz w:val="24"/>
                <w:szCs w:val="24"/>
              </w:rPr>
              <w:t xml:space="preserve"> and refurbishments</w:t>
            </w:r>
            <w:r w:rsidR="00683ABD" w:rsidRPr="00683ABD">
              <w:rPr>
                <w:rFonts w:ascii="Calibri" w:hAnsi="Calibri" w:cs="Calibri"/>
                <w:sz w:val="24"/>
                <w:szCs w:val="24"/>
              </w:rPr>
              <w:t>.</w:t>
            </w:r>
          </w:p>
        </w:tc>
        <w:tc>
          <w:tcPr>
            <w:tcW w:w="1472" w:type="dxa"/>
          </w:tcPr>
          <w:p w14:paraId="59160E5A" w14:textId="45B13C7D"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2096" w:type="dxa"/>
          </w:tcPr>
          <w:p w14:paraId="68E69029" w14:textId="77777777" w:rsidR="00F90DF1" w:rsidRPr="00330283" w:rsidRDefault="00F90DF1" w:rsidP="00F90DF1">
            <w:pPr>
              <w:pStyle w:val="TableParagraph"/>
              <w:rPr>
                <w:rFonts w:ascii="Calibri" w:hAnsi="Calibri" w:cs="Calibri"/>
                <w:sz w:val="24"/>
                <w:szCs w:val="24"/>
              </w:rPr>
            </w:pPr>
          </w:p>
        </w:tc>
      </w:tr>
      <w:tr w:rsidR="00F90DF1" w:rsidRPr="00DE19DC" w14:paraId="356F63AA" w14:textId="7E6A9585" w:rsidTr="00954233">
        <w:tc>
          <w:tcPr>
            <w:tcW w:w="0" w:type="auto"/>
          </w:tcPr>
          <w:p w14:paraId="0C34A54E" w14:textId="2C2C8788" w:rsidR="00F90DF1" w:rsidRPr="00D461C8" w:rsidRDefault="00DE40F3" w:rsidP="00F90DF1">
            <w:pPr>
              <w:pStyle w:val="TableParagraph"/>
              <w:rPr>
                <w:rFonts w:ascii="Calibri" w:hAnsi="Calibri" w:cs="Calibri"/>
                <w:sz w:val="24"/>
                <w:szCs w:val="24"/>
              </w:rPr>
            </w:pPr>
            <w:r>
              <w:rPr>
                <w:rFonts w:ascii="Calibri" w:hAnsi="Calibri" w:cs="Calibri"/>
                <w:sz w:val="24"/>
                <w:szCs w:val="24"/>
              </w:rPr>
              <w:t>10</w:t>
            </w:r>
          </w:p>
        </w:tc>
        <w:tc>
          <w:tcPr>
            <w:tcW w:w="2598" w:type="dxa"/>
          </w:tcPr>
          <w:p w14:paraId="5AB654CF" w14:textId="57C3684D" w:rsidR="00F90DF1" w:rsidRPr="00F90DF1" w:rsidRDefault="00F90DF1" w:rsidP="00F90DF1">
            <w:pPr>
              <w:pStyle w:val="TableParagraph"/>
              <w:rPr>
                <w:rFonts w:ascii="Calibri" w:hAnsi="Calibri" w:cs="Calibri"/>
                <w:sz w:val="24"/>
                <w:szCs w:val="24"/>
              </w:rPr>
            </w:pPr>
            <w:r w:rsidRPr="00330283">
              <w:rPr>
                <w:sz w:val="24"/>
                <w:szCs w:val="24"/>
              </w:rPr>
              <w:t>Allocation of expenditure to enhancement (%)</w:t>
            </w:r>
          </w:p>
        </w:tc>
        <w:tc>
          <w:tcPr>
            <w:tcW w:w="7174" w:type="dxa"/>
          </w:tcPr>
          <w:p w14:paraId="1FE0813D" w14:textId="2B9971D9"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t>The percentage</w:t>
            </w:r>
            <w:r w:rsidRPr="00362A11">
              <w:rPr>
                <w:rFonts w:ascii="Calibri" w:hAnsi="Calibri" w:cs="Calibri"/>
                <w:sz w:val="24"/>
                <w:szCs w:val="24"/>
              </w:rPr>
              <w:t xml:space="preserve"> </w:t>
            </w:r>
            <w:r w:rsidR="00362A11" w:rsidRPr="00362A11">
              <w:rPr>
                <w:rFonts w:ascii="Calibri" w:hAnsi="Calibri" w:cs="Calibri"/>
                <w:sz w:val="24"/>
                <w:szCs w:val="24"/>
              </w:rPr>
              <w:t>of expenditure in the line allocated to enhancement investment. Enhancement relates to investment that results in incremental improvements in levels of service provided or levels of compliance, in line with the guidance.</w:t>
            </w:r>
            <w:r w:rsidR="00F90DF1" w:rsidRPr="00330283">
              <w:rPr>
                <w:rFonts w:ascii="Calibri" w:hAnsi="Calibri" w:cs="Calibri"/>
                <w:sz w:val="24"/>
                <w:szCs w:val="24"/>
              </w:rPr>
              <w:t xml:space="preserve"> </w:t>
            </w:r>
          </w:p>
        </w:tc>
        <w:tc>
          <w:tcPr>
            <w:tcW w:w="1472" w:type="dxa"/>
          </w:tcPr>
          <w:p w14:paraId="02CAB431" w14:textId="7FF3BF77"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2096" w:type="dxa"/>
          </w:tcPr>
          <w:p w14:paraId="49D2C306" w14:textId="3530CA2B"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16</w:t>
            </w:r>
          </w:p>
        </w:tc>
      </w:tr>
      <w:tr w:rsidR="00F90DF1" w:rsidRPr="00DE19DC" w14:paraId="31B3098E" w14:textId="7A74AA30" w:rsidTr="00954233">
        <w:tc>
          <w:tcPr>
            <w:tcW w:w="0" w:type="auto"/>
          </w:tcPr>
          <w:p w14:paraId="2B92618F" w14:textId="172727D6" w:rsidR="00F90DF1" w:rsidRPr="00D461C8" w:rsidRDefault="00DE40F3" w:rsidP="00F90DF1">
            <w:pPr>
              <w:pStyle w:val="TableParagraph"/>
              <w:rPr>
                <w:rFonts w:ascii="Calibri" w:hAnsi="Calibri" w:cs="Calibri"/>
                <w:sz w:val="24"/>
                <w:szCs w:val="24"/>
              </w:rPr>
            </w:pPr>
            <w:r>
              <w:rPr>
                <w:rFonts w:ascii="Calibri" w:hAnsi="Calibri" w:cs="Calibri"/>
                <w:sz w:val="24"/>
                <w:szCs w:val="24"/>
              </w:rPr>
              <w:t>11</w:t>
            </w:r>
          </w:p>
        </w:tc>
        <w:tc>
          <w:tcPr>
            <w:tcW w:w="2598" w:type="dxa"/>
          </w:tcPr>
          <w:p w14:paraId="29B56F5C" w14:textId="0AABB09A" w:rsidR="00F90DF1" w:rsidRPr="00330283" w:rsidRDefault="00F90DF1" w:rsidP="00F90DF1">
            <w:pPr>
              <w:pStyle w:val="TableParagraph"/>
              <w:rPr>
                <w:rFonts w:ascii="Calibri" w:hAnsi="Calibri" w:cs="Calibri"/>
                <w:sz w:val="24"/>
                <w:szCs w:val="24"/>
              </w:rPr>
            </w:pPr>
            <w:r w:rsidRPr="00330283">
              <w:rPr>
                <w:sz w:val="24"/>
                <w:szCs w:val="24"/>
              </w:rPr>
              <w:t>Allocation of expenditure to growth (%)</w:t>
            </w:r>
          </w:p>
        </w:tc>
        <w:tc>
          <w:tcPr>
            <w:tcW w:w="7174" w:type="dxa"/>
          </w:tcPr>
          <w:p w14:paraId="307DF00B" w14:textId="06071EFE"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t>The p</w:t>
            </w:r>
            <w:r w:rsidRPr="00064DB5">
              <w:rPr>
                <w:rFonts w:ascii="Calibri" w:hAnsi="Calibri" w:cs="Calibri"/>
                <w:sz w:val="24"/>
                <w:szCs w:val="24"/>
              </w:rPr>
              <w:t xml:space="preserve">ercentage </w:t>
            </w:r>
            <w:r w:rsidR="00064DB5" w:rsidRPr="00064DB5">
              <w:rPr>
                <w:rFonts w:ascii="Calibri" w:hAnsi="Calibri" w:cs="Calibri"/>
                <w:sz w:val="24"/>
                <w:szCs w:val="24"/>
              </w:rPr>
              <w:t>of expenditure in the line allocated to growth investment. Growth relates to investment to meet new demand, in line with the guidance.</w:t>
            </w:r>
            <w:r w:rsidR="00F90DF1" w:rsidRPr="00330283">
              <w:rPr>
                <w:rFonts w:ascii="Calibri" w:hAnsi="Calibri" w:cs="Calibri"/>
                <w:sz w:val="24"/>
                <w:szCs w:val="24"/>
              </w:rPr>
              <w:t xml:space="preserve"> </w:t>
            </w:r>
          </w:p>
        </w:tc>
        <w:tc>
          <w:tcPr>
            <w:tcW w:w="1472" w:type="dxa"/>
          </w:tcPr>
          <w:p w14:paraId="6A6EA4BE" w14:textId="42FECF2E"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2096" w:type="dxa"/>
          </w:tcPr>
          <w:p w14:paraId="7810C5AA" w14:textId="3B91A220"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17</w:t>
            </w:r>
          </w:p>
        </w:tc>
      </w:tr>
      <w:tr w:rsidR="0020529A" w:rsidRPr="00DE19DC" w14:paraId="53D1AC4B" w14:textId="77777777" w:rsidTr="003C397C">
        <w:tc>
          <w:tcPr>
            <w:tcW w:w="0" w:type="auto"/>
          </w:tcPr>
          <w:p w14:paraId="05C47765" w14:textId="73992D84" w:rsidR="0020529A" w:rsidRDefault="00CB670C" w:rsidP="00F90DF1">
            <w:pPr>
              <w:pStyle w:val="TableParagraph"/>
              <w:rPr>
                <w:rFonts w:ascii="Calibri" w:hAnsi="Calibri" w:cs="Calibri"/>
                <w:sz w:val="24"/>
                <w:szCs w:val="24"/>
              </w:rPr>
            </w:pPr>
            <w:r>
              <w:rPr>
                <w:rFonts w:ascii="Calibri" w:hAnsi="Calibri" w:cs="Calibri"/>
                <w:sz w:val="24"/>
                <w:szCs w:val="24"/>
              </w:rPr>
              <w:t>12</w:t>
            </w:r>
          </w:p>
        </w:tc>
        <w:tc>
          <w:tcPr>
            <w:tcW w:w="2598" w:type="dxa"/>
          </w:tcPr>
          <w:p w14:paraId="5D250FAB" w14:textId="5D3C6DFA" w:rsidR="0020529A" w:rsidRPr="00330283" w:rsidRDefault="006B5D4A" w:rsidP="00F90DF1">
            <w:pPr>
              <w:pStyle w:val="TableParagraph"/>
              <w:rPr>
                <w:sz w:val="24"/>
                <w:szCs w:val="24"/>
              </w:rPr>
            </w:pPr>
            <w:r w:rsidRPr="006B5D4A">
              <w:rPr>
                <w:sz w:val="24"/>
                <w:szCs w:val="24"/>
              </w:rPr>
              <w:t>Allocation of expenditure to climate change mitigation and adaptation (%)</w:t>
            </w:r>
          </w:p>
        </w:tc>
        <w:tc>
          <w:tcPr>
            <w:tcW w:w="7174" w:type="dxa"/>
          </w:tcPr>
          <w:p w14:paraId="71D6F2E0" w14:textId="41F32F51" w:rsidR="0020529A" w:rsidRDefault="00FB7C1E" w:rsidP="00E24D2B">
            <w:pPr>
              <w:pStyle w:val="TableParagraph"/>
              <w:spacing w:afterLines="60" w:after="144"/>
              <w:rPr>
                <w:rFonts w:ascii="Calibri" w:hAnsi="Calibri" w:cs="Calibri"/>
                <w:sz w:val="24"/>
                <w:szCs w:val="24"/>
              </w:rPr>
            </w:pPr>
            <w:r>
              <w:rPr>
                <w:rFonts w:ascii="Calibri" w:hAnsi="Calibri" w:cs="Calibri"/>
                <w:sz w:val="24"/>
                <w:szCs w:val="24"/>
              </w:rPr>
              <w:t xml:space="preserve">The percentage of expenditure </w:t>
            </w:r>
            <w:r w:rsidR="00F0721C">
              <w:rPr>
                <w:rFonts w:ascii="Calibri" w:hAnsi="Calibri" w:cs="Calibri"/>
                <w:sz w:val="24"/>
                <w:szCs w:val="24"/>
              </w:rPr>
              <w:t>which is related to climate change</w:t>
            </w:r>
            <w:r w:rsidR="00C40BA6">
              <w:rPr>
                <w:rFonts w:ascii="Calibri" w:hAnsi="Calibri" w:cs="Calibri"/>
                <w:sz w:val="24"/>
                <w:szCs w:val="24"/>
              </w:rPr>
              <w:t xml:space="preserve"> mitigation and adaptation</w:t>
            </w:r>
            <w:r w:rsidR="00F0721C">
              <w:rPr>
                <w:rFonts w:ascii="Calibri" w:hAnsi="Calibri" w:cs="Calibri"/>
                <w:sz w:val="24"/>
                <w:szCs w:val="24"/>
              </w:rPr>
              <w:t xml:space="preserve">.  </w:t>
            </w:r>
            <w:r w:rsidR="007A2344" w:rsidRPr="007A2344">
              <w:rPr>
                <w:rFonts w:ascii="Calibri" w:hAnsi="Calibri" w:cs="Calibri"/>
                <w:sz w:val="24"/>
                <w:szCs w:val="24"/>
              </w:rPr>
              <w:t>For avoidance of doubt, this column provides a secondary categorisation of the investment expenditure which is separate to the allocations to replacement, repair and refurbishment, enhancement, and growth.</w:t>
            </w:r>
            <w:r w:rsidR="007A2344">
              <w:rPr>
                <w:rFonts w:ascii="Calibri" w:hAnsi="Calibri" w:cs="Calibri"/>
                <w:sz w:val="24"/>
                <w:szCs w:val="24"/>
              </w:rPr>
              <w:t xml:space="preserve"> </w:t>
            </w:r>
            <w:r w:rsidR="00F0721C">
              <w:rPr>
                <w:rFonts w:ascii="Calibri" w:hAnsi="Calibri" w:cs="Calibri"/>
                <w:sz w:val="24"/>
                <w:szCs w:val="24"/>
              </w:rPr>
              <w:t xml:space="preserve">Input an </w:t>
            </w:r>
            <w:r w:rsidR="00016731">
              <w:rPr>
                <w:rFonts w:ascii="Calibri" w:hAnsi="Calibri" w:cs="Calibri"/>
                <w:sz w:val="24"/>
                <w:szCs w:val="24"/>
              </w:rPr>
              <w:t>integer</w:t>
            </w:r>
            <w:r w:rsidR="00F0721C">
              <w:rPr>
                <w:rFonts w:ascii="Calibri" w:hAnsi="Calibri" w:cs="Calibri"/>
                <w:sz w:val="24"/>
                <w:szCs w:val="24"/>
              </w:rPr>
              <w:t xml:space="preserve"> with 0 d</w:t>
            </w:r>
            <w:r w:rsidR="007136CC">
              <w:rPr>
                <w:rFonts w:ascii="Calibri" w:hAnsi="Calibri" w:cs="Calibri"/>
                <w:sz w:val="24"/>
                <w:szCs w:val="24"/>
              </w:rPr>
              <w:t>ecimal point.</w:t>
            </w:r>
          </w:p>
        </w:tc>
        <w:tc>
          <w:tcPr>
            <w:tcW w:w="1472" w:type="dxa"/>
          </w:tcPr>
          <w:p w14:paraId="5E3080D2" w14:textId="110A4A6E" w:rsidR="0020529A" w:rsidRPr="00330283" w:rsidRDefault="00F0721C" w:rsidP="00F90DF1">
            <w:pPr>
              <w:pStyle w:val="TableParagraph"/>
              <w:rPr>
                <w:rFonts w:ascii="Calibri" w:hAnsi="Calibri" w:cs="Calibri"/>
                <w:sz w:val="24"/>
                <w:szCs w:val="24"/>
              </w:rPr>
            </w:pPr>
            <w:r>
              <w:rPr>
                <w:rFonts w:ascii="Calibri" w:hAnsi="Calibri" w:cs="Calibri"/>
                <w:sz w:val="24"/>
                <w:szCs w:val="24"/>
              </w:rPr>
              <w:t>%</w:t>
            </w:r>
          </w:p>
        </w:tc>
        <w:tc>
          <w:tcPr>
            <w:tcW w:w="2096" w:type="dxa"/>
          </w:tcPr>
          <w:p w14:paraId="05CAE577" w14:textId="77777777" w:rsidR="0020529A" w:rsidRPr="00330283" w:rsidRDefault="0020529A" w:rsidP="00F90DF1">
            <w:pPr>
              <w:pStyle w:val="TableParagraph"/>
              <w:rPr>
                <w:rFonts w:ascii="Calibri" w:hAnsi="Calibri" w:cs="Calibri"/>
                <w:sz w:val="24"/>
                <w:szCs w:val="24"/>
              </w:rPr>
            </w:pPr>
          </w:p>
        </w:tc>
      </w:tr>
      <w:tr w:rsidR="00F90DF1" w:rsidRPr="00DE19DC" w14:paraId="7319C97C" w14:textId="25990EA4" w:rsidTr="00954233">
        <w:tc>
          <w:tcPr>
            <w:tcW w:w="0" w:type="auto"/>
          </w:tcPr>
          <w:p w14:paraId="0D4F3C84" w14:textId="296B1F2D" w:rsidR="00F90DF1" w:rsidRPr="00D461C8" w:rsidRDefault="00DE40F3" w:rsidP="00F90DF1">
            <w:pPr>
              <w:pStyle w:val="TableParagraph"/>
              <w:rPr>
                <w:rFonts w:ascii="Calibri" w:hAnsi="Calibri" w:cs="Calibri"/>
                <w:sz w:val="24"/>
                <w:szCs w:val="24"/>
              </w:rPr>
            </w:pPr>
            <w:r>
              <w:rPr>
                <w:rFonts w:ascii="Calibri" w:hAnsi="Calibri" w:cs="Calibri"/>
                <w:sz w:val="24"/>
                <w:szCs w:val="24"/>
              </w:rPr>
              <w:t>1</w:t>
            </w:r>
            <w:r w:rsidR="003851D8">
              <w:rPr>
                <w:rFonts w:ascii="Calibri" w:hAnsi="Calibri" w:cs="Calibri"/>
                <w:sz w:val="24"/>
                <w:szCs w:val="24"/>
              </w:rPr>
              <w:t>3</w:t>
            </w:r>
          </w:p>
        </w:tc>
        <w:tc>
          <w:tcPr>
            <w:tcW w:w="2598" w:type="dxa"/>
          </w:tcPr>
          <w:p w14:paraId="33D15092" w14:textId="05AAD2AB" w:rsidR="00F90DF1" w:rsidRPr="00F90DF1" w:rsidRDefault="00F90DF1" w:rsidP="00F90DF1">
            <w:pPr>
              <w:pStyle w:val="TableParagraph"/>
              <w:rPr>
                <w:rFonts w:ascii="Calibri" w:hAnsi="Calibri" w:cs="Calibri"/>
                <w:sz w:val="24"/>
                <w:szCs w:val="24"/>
              </w:rPr>
            </w:pPr>
            <w:r w:rsidRPr="00330283">
              <w:rPr>
                <w:sz w:val="24"/>
                <w:szCs w:val="24"/>
              </w:rPr>
              <w:t xml:space="preserve">Ex-PFI </w:t>
            </w:r>
            <w:r w:rsidR="00016953">
              <w:rPr>
                <w:sz w:val="24"/>
                <w:szCs w:val="24"/>
              </w:rPr>
              <w:t>asset</w:t>
            </w:r>
          </w:p>
        </w:tc>
        <w:tc>
          <w:tcPr>
            <w:tcW w:w="7174" w:type="dxa"/>
          </w:tcPr>
          <w:p w14:paraId="000CC8DC" w14:textId="78B8E658" w:rsidR="00F90DF1" w:rsidRPr="00330283" w:rsidRDefault="00563183"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Yes, No. This column captures whether the </w:t>
            </w:r>
            <w:r>
              <w:rPr>
                <w:rFonts w:ascii="Calibri" w:hAnsi="Calibri" w:cs="Calibri"/>
                <w:sz w:val="24"/>
                <w:szCs w:val="24"/>
              </w:rPr>
              <w:lastRenderedPageBreak/>
              <w:t xml:space="preserve">project or programme </w:t>
            </w:r>
            <w:r w:rsidR="00016953">
              <w:rPr>
                <w:rFonts w:ascii="Calibri" w:hAnsi="Calibri" w:cs="Calibri"/>
                <w:sz w:val="24"/>
                <w:szCs w:val="24"/>
              </w:rPr>
              <w:t>impacts</w:t>
            </w:r>
            <w:r>
              <w:rPr>
                <w:rFonts w:ascii="Calibri" w:hAnsi="Calibri" w:cs="Calibri"/>
                <w:sz w:val="24"/>
                <w:szCs w:val="24"/>
              </w:rPr>
              <w:t xml:space="preserve"> an asset that </w:t>
            </w:r>
            <w:r w:rsidR="00016953">
              <w:rPr>
                <w:rFonts w:ascii="Calibri" w:hAnsi="Calibri" w:cs="Calibri"/>
                <w:sz w:val="24"/>
                <w:szCs w:val="24"/>
              </w:rPr>
              <w:t xml:space="preserve">used to be under a Private Finance </w:t>
            </w:r>
            <w:r w:rsidR="00C94D6C">
              <w:rPr>
                <w:rFonts w:ascii="Calibri" w:hAnsi="Calibri" w:cs="Calibri"/>
                <w:sz w:val="24"/>
                <w:szCs w:val="24"/>
              </w:rPr>
              <w:t>Initiative</w:t>
            </w:r>
            <w:r w:rsidR="00016953">
              <w:rPr>
                <w:rFonts w:ascii="Calibri" w:hAnsi="Calibri" w:cs="Calibri"/>
                <w:sz w:val="24"/>
                <w:szCs w:val="24"/>
              </w:rPr>
              <w:t xml:space="preserve"> contract.</w:t>
            </w:r>
            <w:r w:rsidR="000B0361">
              <w:rPr>
                <w:rFonts w:ascii="Calibri" w:hAnsi="Calibri" w:cs="Calibri"/>
                <w:sz w:val="24"/>
                <w:szCs w:val="24"/>
              </w:rPr>
              <w:t xml:space="preserve"> Only </w:t>
            </w:r>
            <w:r w:rsidR="00FB4617">
              <w:rPr>
                <w:rFonts w:ascii="Calibri" w:hAnsi="Calibri" w:cs="Calibri"/>
                <w:sz w:val="24"/>
                <w:szCs w:val="24"/>
              </w:rPr>
              <w:t xml:space="preserve">select ‘Yes’ when the PFI </w:t>
            </w:r>
            <w:r w:rsidR="005C5726">
              <w:rPr>
                <w:rFonts w:ascii="Calibri" w:hAnsi="Calibri" w:cs="Calibri"/>
                <w:sz w:val="24"/>
                <w:szCs w:val="24"/>
              </w:rPr>
              <w:t xml:space="preserve">asset has </w:t>
            </w:r>
            <w:r w:rsidR="00FB4617">
              <w:rPr>
                <w:rFonts w:ascii="Calibri" w:hAnsi="Calibri" w:cs="Calibri"/>
                <w:sz w:val="24"/>
                <w:szCs w:val="24"/>
              </w:rPr>
              <w:t>returned or is going to return to Scottish Water in SRC21</w:t>
            </w:r>
            <w:r w:rsidR="00681948">
              <w:rPr>
                <w:rFonts w:ascii="Calibri" w:hAnsi="Calibri" w:cs="Calibri"/>
                <w:sz w:val="24"/>
                <w:szCs w:val="24"/>
              </w:rPr>
              <w:t>,</w:t>
            </w:r>
            <w:r w:rsidR="00FB4617">
              <w:rPr>
                <w:rFonts w:ascii="Calibri" w:hAnsi="Calibri" w:cs="Calibri"/>
                <w:sz w:val="24"/>
                <w:szCs w:val="24"/>
              </w:rPr>
              <w:t xml:space="preserve"> SRC27 </w:t>
            </w:r>
            <w:r w:rsidR="00681948">
              <w:rPr>
                <w:rFonts w:ascii="Calibri" w:hAnsi="Calibri" w:cs="Calibri"/>
                <w:sz w:val="24"/>
                <w:szCs w:val="24"/>
              </w:rPr>
              <w:t xml:space="preserve">or SRC33 </w:t>
            </w:r>
            <w:r w:rsidR="00FB4617">
              <w:rPr>
                <w:rFonts w:ascii="Calibri" w:hAnsi="Calibri" w:cs="Calibri"/>
                <w:sz w:val="24"/>
                <w:szCs w:val="24"/>
              </w:rPr>
              <w:t>periods</w:t>
            </w:r>
            <w:r w:rsidR="00A63D6A">
              <w:rPr>
                <w:rFonts w:ascii="Calibri" w:hAnsi="Calibri" w:cs="Calibri"/>
                <w:sz w:val="24"/>
                <w:szCs w:val="24"/>
              </w:rPr>
              <w:t>.</w:t>
            </w:r>
          </w:p>
        </w:tc>
        <w:tc>
          <w:tcPr>
            <w:tcW w:w="1472" w:type="dxa"/>
          </w:tcPr>
          <w:p w14:paraId="05824EE8" w14:textId="604FFC72" w:rsidR="00F90DF1" w:rsidRPr="00D461C8" w:rsidRDefault="00016953" w:rsidP="00F90DF1">
            <w:pPr>
              <w:pStyle w:val="TableParagraph"/>
              <w:rPr>
                <w:rFonts w:ascii="Calibri" w:hAnsi="Calibri" w:cs="Calibri"/>
                <w:sz w:val="24"/>
                <w:szCs w:val="24"/>
              </w:rPr>
            </w:pPr>
            <w:r>
              <w:rPr>
                <w:rFonts w:ascii="Calibri" w:hAnsi="Calibri" w:cs="Calibri"/>
                <w:sz w:val="24"/>
                <w:szCs w:val="24"/>
              </w:rPr>
              <w:lastRenderedPageBreak/>
              <w:t>N/A</w:t>
            </w:r>
          </w:p>
        </w:tc>
        <w:tc>
          <w:tcPr>
            <w:tcW w:w="2096" w:type="dxa"/>
          </w:tcPr>
          <w:p w14:paraId="7A08C82A" w14:textId="77777777" w:rsidR="00F90DF1" w:rsidRPr="00330283" w:rsidRDefault="00F90DF1" w:rsidP="00F90DF1">
            <w:pPr>
              <w:pStyle w:val="TableParagraph"/>
              <w:rPr>
                <w:rFonts w:ascii="Calibri" w:hAnsi="Calibri" w:cs="Calibri"/>
                <w:sz w:val="24"/>
                <w:szCs w:val="24"/>
              </w:rPr>
            </w:pPr>
          </w:p>
        </w:tc>
      </w:tr>
      <w:tr w:rsidR="00F16CCB" w:rsidRPr="00DE19DC" w14:paraId="6D17CE63" w14:textId="77777777" w:rsidTr="00954233">
        <w:tc>
          <w:tcPr>
            <w:tcW w:w="0" w:type="auto"/>
          </w:tcPr>
          <w:p w14:paraId="61E00F4B" w14:textId="0D97D8A4" w:rsidR="00F16CCB" w:rsidRDefault="00F16CCB" w:rsidP="00F90DF1">
            <w:pPr>
              <w:pStyle w:val="TableParagraph"/>
              <w:rPr>
                <w:rFonts w:ascii="Calibri" w:hAnsi="Calibri" w:cs="Calibri"/>
                <w:sz w:val="24"/>
                <w:szCs w:val="24"/>
              </w:rPr>
            </w:pPr>
            <w:r>
              <w:rPr>
                <w:rFonts w:ascii="Calibri" w:hAnsi="Calibri" w:cs="Calibri"/>
                <w:sz w:val="24"/>
                <w:szCs w:val="24"/>
              </w:rPr>
              <w:t>1</w:t>
            </w:r>
            <w:r w:rsidR="003851D8">
              <w:rPr>
                <w:rFonts w:ascii="Calibri" w:hAnsi="Calibri" w:cs="Calibri"/>
                <w:sz w:val="24"/>
                <w:szCs w:val="24"/>
              </w:rPr>
              <w:t>4</w:t>
            </w:r>
          </w:p>
        </w:tc>
        <w:tc>
          <w:tcPr>
            <w:tcW w:w="2598" w:type="dxa"/>
          </w:tcPr>
          <w:p w14:paraId="6BB7A20F" w14:textId="1F2E2A8C" w:rsidR="00F16CCB" w:rsidRPr="00330283" w:rsidRDefault="00F16CCB" w:rsidP="00F90DF1">
            <w:pPr>
              <w:pStyle w:val="TableParagraph"/>
              <w:rPr>
                <w:sz w:val="24"/>
                <w:szCs w:val="24"/>
              </w:rPr>
            </w:pPr>
            <w:r>
              <w:rPr>
                <w:sz w:val="24"/>
                <w:szCs w:val="24"/>
              </w:rPr>
              <w:t>Investment period</w:t>
            </w:r>
          </w:p>
        </w:tc>
        <w:tc>
          <w:tcPr>
            <w:tcW w:w="7174" w:type="dxa"/>
          </w:tcPr>
          <w:p w14:paraId="35E8A74F" w14:textId="77777777" w:rsidR="00F16CCB" w:rsidRDefault="00F16CCB" w:rsidP="00E24D2B">
            <w:pPr>
              <w:pStyle w:val="TableParagraph"/>
              <w:spacing w:afterLines="60" w:after="144"/>
              <w:rPr>
                <w:rFonts w:ascii="Calibri" w:hAnsi="Calibri" w:cs="Calibri"/>
                <w:sz w:val="24"/>
                <w:szCs w:val="24"/>
              </w:rPr>
            </w:pPr>
            <w:r>
              <w:rPr>
                <w:rFonts w:ascii="Calibri" w:hAnsi="Calibri" w:cs="Calibri"/>
                <w:sz w:val="24"/>
                <w:szCs w:val="24"/>
              </w:rPr>
              <w:t>Drop-down menu</w:t>
            </w:r>
            <w:r w:rsidR="00834238">
              <w:rPr>
                <w:rFonts w:ascii="Calibri" w:hAnsi="Calibri" w:cs="Calibri"/>
                <w:sz w:val="24"/>
                <w:szCs w:val="24"/>
              </w:rPr>
              <w:t xml:space="preserve">. Options: </w:t>
            </w:r>
            <w:r w:rsidR="00927B98">
              <w:rPr>
                <w:rFonts w:ascii="Calibri" w:hAnsi="Calibri" w:cs="Calibri"/>
                <w:sz w:val="24"/>
                <w:szCs w:val="24"/>
              </w:rPr>
              <w:t xml:space="preserve">Delayed SRC15 completion, Delayed </w:t>
            </w:r>
            <w:r w:rsidR="00EE632D">
              <w:rPr>
                <w:rFonts w:ascii="Calibri" w:hAnsi="Calibri" w:cs="Calibri"/>
                <w:sz w:val="24"/>
                <w:szCs w:val="24"/>
              </w:rPr>
              <w:t>SRC21 completion, Planned for SRC27.</w:t>
            </w:r>
          </w:p>
          <w:p w14:paraId="126F6D29" w14:textId="1056220E" w:rsidR="007D40EA" w:rsidRDefault="007D40EA" w:rsidP="00E24D2B">
            <w:pPr>
              <w:pStyle w:val="TableParagraph"/>
              <w:spacing w:afterLines="60" w:after="144"/>
              <w:rPr>
                <w:rFonts w:ascii="Calibri" w:hAnsi="Calibri" w:cs="Calibri"/>
                <w:sz w:val="24"/>
                <w:szCs w:val="24"/>
              </w:rPr>
            </w:pPr>
            <w:r>
              <w:rPr>
                <w:rFonts w:ascii="Calibri" w:hAnsi="Calibri" w:cs="Calibri"/>
                <w:sz w:val="24"/>
                <w:szCs w:val="24"/>
              </w:rPr>
              <w:t xml:space="preserve">“Delayed SRC15 completion” projects/programmes </w:t>
            </w:r>
            <w:r w:rsidR="00CB5FA7">
              <w:rPr>
                <w:rFonts w:ascii="Calibri" w:hAnsi="Calibri" w:cs="Calibri"/>
                <w:sz w:val="24"/>
                <w:szCs w:val="24"/>
              </w:rPr>
              <w:t>have a baseline</w:t>
            </w:r>
            <w:r>
              <w:rPr>
                <w:rFonts w:ascii="Calibri" w:hAnsi="Calibri" w:cs="Calibri"/>
                <w:sz w:val="24"/>
                <w:szCs w:val="24"/>
              </w:rPr>
              <w:t xml:space="preserve"> forecast </w:t>
            </w:r>
            <w:r w:rsidR="00CB5FA7">
              <w:rPr>
                <w:rFonts w:ascii="Calibri" w:hAnsi="Calibri" w:cs="Calibri"/>
                <w:sz w:val="24"/>
                <w:szCs w:val="24"/>
              </w:rPr>
              <w:t>completion date before</w:t>
            </w:r>
            <w:r>
              <w:rPr>
                <w:rFonts w:ascii="Calibri" w:hAnsi="Calibri" w:cs="Calibri"/>
                <w:sz w:val="24"/>
                <w:szCs w:val="24"/>
              </w:rPr>
              <w:t xml:space="preserve"> 31 March</w:t>
            </w:r>
            <w:r w:rsidR="00F71403">
              <w:rPr>
                <w:rFonts w:ascii="Calibri" w:hAnsi="Calibri" w:cs="Calibri"/>
                <w:sz w:val="24"/>
                <w:szCs w:val="24"/>
              </w:rPr>
              <w:t xml:space="preserve"> 202</w:t>
            </w:r>
            <w:r w:rsidR="00C202A7">
              <w:rPr>
                <w:rFonts w:ascii="Calibri" w:hAnsi="Calibri" w:cs="Calibri"/>
                <w:sz w:val="24"/>
                <w:szCs w:val="24"/>
              </w:rPr>
              <w:t>1.</w:t>
            </w:r>
          </w:p>
          <w:p w14:paraId="4E11B22D" w14:textId="04F9FD5E" w:rsidR="00C202A7" w:rsidRDefault="00C202A7" w:rsidP="00E24D2B">
            <w:pPr>
              <w:pStyle w:val="TableParagraph"/>
              <w:spacing w:afterLines="60" w:after="144"/>
              <w:rPr>
                <w:rFonts w:ascii="Calibri" w:hAnsi="Calibri" w:cs="Calibri"/>
                <w:sz w:val="24"/>
                <w:szCs w:val="24"/>
              </w:rPr>
            </w:pPr>
            <w:r>
              <w:rPr>
                <w:rFonts w:ascii="Calibri" w:hAnsi="Calibri" w:cs="Calibri"/>
                <w:sz w:val="24"/>
                <w:szCs w:val="24"/>
              </w:rPr>
              <w:t>“</w:t>
            </w:r>
            <w:r w:rsidRPr="00C202A7">
              <w:rPr>
                <w:rFonts w:ascii="Calibri" w:hAnsi="Calibri" w:cs="Calibri"/>
                <w:sz w:val="24"/>
                <w:szCs w:val="24"/>
              </w:rPr>
              <w:t>Delayed SRC21 completion</w:t>
            </w:r>
            <w:r>
              <w:rPr>
                <w:rFonts w:ascii="Calibri" w:hAnsi="Calibri" w:cs="Calibri"/>
                <w:sz w:val="24"/>
                <w:szCs w:val="24"/>
              </w:rPr>
              <w:t xml:space="preserve">” projects/programmes </w:t>
            </w:r>
            <w:r w:rsidR="00CB5FA7" w:rsidDel="004302FE">
              <w:rPr>
                <w:rFonts w:ascii="Calibri" w:hAnsi="Calibri" w:cs="Calibri"/>
                <w:sz w:val="24"/>
                <w:szCs w:val="24"/>
              </w:rPr>
              <w:t xml:space="preserve">have a </w:t>
            </w:r>
            <w:r w:rsidR="005945F4">
              <w:rPr>
                <w:rFonts w:ascii="Calibri" w:hAnsi="Calibri" w:cs="Calibri"/>
                <w:sz w:val="24"/>
                <w:szCs w:val="24"/>
              </w:rPr>
              <w:t>Com</w:t>
            </w:r>
            <w:r w:rsidR="00E30443">
              <w:rPr>
                <w:rFonts w:ascii="Calibri" w:hAnsi="Calibri" w:cs="Calibri"/>
                <w:sz w:val="24"/>
                <w:szCs w:val="24"/>
              </w:rPr>
              <w:t>mitted List</w:t>
            </w:r>
            <w:r w:rsidR="005945F4" w:rsidDel="004302FE">
              <w:rPr>
                <w:rFonts w:ascii="Calibri" w:hAnsi="Calibri" w:cs="Calibri"/>
                <w:sz w:val="24"/>
                <w:szCs w:val="24"/>
              </w:rPr>
              <w:t xml:space="preserve"> </w:t>
            </w:r>
            <w:r w:rsidR="00CB5FA7" w:rsidDel="004302FE">
              <w:rPr>
                <w:rFonts w:ascii="Calibri" w:hAnsi="Calibri" w:cs="Calibri"/>
                <w:sz w:val="24"/>
                <w:szCs w:val="24"/>
              </w:rPr>
              <w:t xml:space="preserve">forecast completion date </w:t>
            </w:r>
            <w:r w:rsidR="00973A2F" w:rsidDel="004302FE">
              <w:rPr>
                <w:rFonts w:ascii="Calibri" w:hAnsi="Calibri" w:cs="Calibri"/>
                <w:sz w:val="24"/>
                <w:szCs w:val="24"/>
              </w:rPr>
              <w:t>(</w:t>
            </w:r>
            <w:r w:rsidR="00CC0F4F">
              <w:rPr>
                <w:rFonts w:ascii="Calibri" w:hAnsi="Calibri" w:cs="Calibri"/>
                <w:sz w:val="24"/>
                <w:szCs w:val="24"/>
              </w:rPr>
              <w:t xml:space="preserve">the forecast date when the </w:t>
            </w:r>
            <w:r w:rsidR="00502909">
              <w:rPr>
                <w:rFonts w:ascii="Calibri" w:hAnsi="Calibri" w:cs="Calibri"/>
                <w:sz w:val="24"/>
                <w:szCs w:val="24"/>
              </w:rPr>
              <w:t>project/programme enter</w:t>
            </w:r>
            <w:r w:rsidR="000F6EDD">
              <w:rPr>
                <w:rFonts w:ascii="Calibri" w:hAnsi="Calibri" w:cs="Calibri"/>
                <w:sz w:val="24"/>
                <w:szCs w:val="24"/>
              </w:rPr>
              <w:t xml:space="preserve">ed </w:t>
            </w:r>
            <w:r w:rsidR="00973A2F">
              <w:rPr>
                <w:rFonts w:ascii="Calibri" w:hAnsi="Calibri" w:cs="Calibri"/>
                <w:sz w:val="24"/>
                <w:szCs w:val="24"/>
              </w:rPr>
              <w:t xml:space="preserve">the Committed List) </w:t>
            </w:r>
            <w:r w:rsidR="00CB5FA7">
              <w:rPr>
                <w:rFonts w:ascii="Calibri" w:hAnsi="Calibri" w:cs="Calibri"/>
                <w:sz w:val="24"/>
                <w:szCs w:val="24"/>
              </w:rPr>
              <w:t>before</w:t>
            </w:r>
            <w:r w:rsidR="00B210AC">
              <w:rPr>
                <w:rFonts w:ascii="Calibri" w:hAnsi="Calibri" w:cs="Calibri"/>
                <w:sz w:val="24"/>
                <w:szCs w:val="24"/>
              </w:rPr>
              <w:t xml:space="preserve"> 31 March 202</w:t>
            </w:r>
            <w:r w:rsidR="006555E6">
              <w:rPr>
                <w:rFonts w:ascii="Calibri" w:hAnsi="Calibri" w:cs="Calibri"/>
                <w:sz w:val="24"/>
                <w:szCs w:val="24"/>
              </w:rPr>
              <w:t>7.</w:t>
            </w:r>
          </w:p>
          <w:p w14:paraId="7ED11647" w14:textId="4CA41B01" w:rsidR="00F16CCB" w:rsidRDefault="006555E6" w:rsidP="00E24D2B">
            <w:pPr>
              <w:pStyle w:val="TableParagraph"/>
              <w:spacing w:afterLines="60" w:after="144"/>
              <w:rPr>
                <w:rFonts w:ascii="Calibri" w:hAnsi="Calibri" w:cs="Calibri"/>
                <w:sz w:val="24"/>
                <w:szCs w:val="24"/>
              </w:rPr>
            </w:pPr>
            <w:r>
              <w:rPr>
                <w:rFonts w:ascii="Calibri" w:hAnsi="Calibri" w:cs="Calibri"/>
                <w:sz w:val="24"/>
                <w:szCs w:val="24"/>
              </w:rPr>
              <w:t>“Planned for SRC27”</w:t>
            </w:r>
            <w:r w:rsidR="00973A2F">
              <w:rPr>
                <w:rFonts w:ascii="Calibri" w:hAnsi="Calibri" w:cs="Calibri"/>
                <w:sz w:val="24"/>
                <w:szCs w:val="24"/>
              </w:rPr>
              <w:t xml:space="preserve"> projects/programmes have a </w:t>
            </w:r>
            <w:r w:rsidR="006C52C4">
              <w:rPr>
                <w:rFonts w:ascii="Calibri" w:hAnsi="Calibri" w:cs="Calibri"/>
                <w:sz w:val="24"/>
                <w:szCs w:val="24"/>
              </w:rPr>
              <w:t>Committed List</w:t>
            </w:r>
            <w:r w:rsidR="006C52C4" w:rsidDel="004302FE">
              <w:rPr>
                <w:rFonts w:ascii="Calibri" w:hAnsi="Calibri" w:cs="Calibri"/>
                <w:sz w:val="24"/>
                <w:szCs w:val="24"/>
              </w:rPr>
              <w:t xml:space="preserve"> forecast completion date (</w:t>
            </w:r>
            <w:r w:rsidR="006C52C4">
              <w:rPr>
                <w:rFonts w:ascii="Calibri" w:hAnsi="Calibri" w:cs="Calibri"/>
                <w:sz w:val="24"/>
                <w:szCs w:val="24"/>
              </w:rPr>
              <w:t>the forecast date when the project/programme entered the Committed List)</w:t>
            </w:r>
            <w:r w:rsidR="00973A2F">
              <w:rPr>
                <w:rFonts w:ascii="Calibri" w:hAnsi="Calibri" w:cs="Calibri"/>
                <w:sz w:val="24"/>
                <w:szCs w:val="24"/>
              </w:rPr>
              <w:t xml:space="preserve"> after 31 March 2027.</w:t>
            </w:r>
          </w:p>
        </w:tc>
        <w:tc>
          <w:tcPr>
            <w:tcW w:w="1472" w:type="dxa"/>
          </w:tcPr>
          <w:p w14:paraId="3650934F" w14:textId="57FCAD61" w:rsidR="00F16CCB" w:rsidRDefault="005C610B" w:rsidP="00F90DF1">
            <w:pPr>
              <w:pStyle w:val="TableParagraph"/>
              <w:rPr>
                <w:rFonts w:ascii="Calibri" w:hAnsi="Calibri" w:cs="Calibri"/>
                <w:sz w:val="24"/>
                <w:szCs w:val="24"/>
              </w:rPr>
            </w:pPr>
            <w:r>
              <w:rPr>
                <w:rFonts w:ascii="Calibri" w:hAnsi="Calibri" w:cs="Calibri"/>
                <w:sz w:val="24"/>
                <w:szCs w:val="24"/>
              </w:rPr>
              <w:t>N/A</w:t>
            </w:r>
          </w:p>
        </w:tc>
        <w:tc>
          <w:tcPr>
            <w:tcW w:w="2096" w:type="dxa"/>
          </w:tcPr>
          <w:p w14:paraId="4C301EBB" w14:textId="57B9B98E" w:rsidR="00F16CCB" w:rsidRPr="00330283" w:rsidRDefault="009A50E7" w:rsidP="00F90DF1">
            <w:pPr>
              <w:pStyle w:val="TableParagraph"/>
              <w:rPr>
                <w:rFonts w:ascii="Calibri" w:hAnsi="Calibri" w:cs="Calibri"/>
                <w:sz w:val="24"/>
                <w:szCs w:val="24"/>
              </w:rPr>
            </w:pPr>
            <w:r>
              <w:rPr>
                <w:rFonts w:ascii="Calibri" w:hAnsi="Calibri" w:cs="Calibri"/>
                <w:sz w:val="24"/>
                <w:szCs w:val="24"/>
              </w:rPr>
              <w:t>99</w:t>
            </w:r>
            <w:r w:rsidR="00471012">
              <w:rPr>
                <w:rFonts w:ascii="Calibri" w:hAnsi="Calibri" w:cs="Calibri"/>
                <w:sz w:val="24"/>
                <w:szCs w:val="24"/>
              </w:rPr>
              <w:t xml:space="preserve"> and 100</w:t>
            </w:r>
          </w:p>
        </w:tc>
      </w:tr>
      <w:tr w:rsidR="00F90DF1" w:rsidRPr="00DE19DC" w14:paraId="3A37E34B" w14:textId="03A33DB4" w:rsidTr="00954233">
        <w:tc>
          <w:tcPr>
            <w:tcW w:w="0" w:type="auto"/>
          </w:tcPr>
          <w:p w14:paraId="3F53922D" w14:textId="4EACD92B" w:rsidR="00F90DF1" w:rsidRPr="00D461C8" w:rsidRDefault="00614824" w:rsidP="00F90DF1">
            <w:pPr>
              <w:pStyle w:val="TableParagraph"/>
              <w:rPr>
                <w:rFonts w:ascii="Calibri" w:hAnsi="Calibri" w:cs="Calibri"/>
                <w:sz w:val="24"/>
                <w:szCs w:val="24"/>
              </w:rPr>
            </w:pPr>
            <w:r>
              <w:rPr>
                <w:rFonts w:ascii="Calibri" w:hAnsi="Calibri" w:cs="Calibri"/>
                <w:sz w:val="24"/>
                <w:szCs w:val="24"/>
              </w:rPr>
              <w:t>1</w:t>
            </w:r>
            <w:r w:rsidR="003851D8">
              <w:rPr>
                <w:rFonts w:ascii="Calibri" w:hAnsi="Calibri" w:cs="Calibri"/>
                <w:sz w:val="24"/>
                <w:szCs w:val="24"/>
              </w:rPr>
              <w:t>5</w:t>
            </w:r>
          </w:p>
        </w:tc>
        <w:tc>
          <w:tcPr>
            <w:tcW w:w="2598" w:type="dxa"/>
          </w:tcPr>
          <w:p w14:paraId="041BA0FE" w14:textId="01A67C28" w:rsidR="00F90DF1" w:rsidRPr="00F90DF1" w:rsidRDefault="00F90DF1" w:rsidP="00F90DF1">
            <w:pPr>
              <w:pStyle w:val="TableParagraph"/>
              <w:rPr>
                <w:rFonts w:ascii="Calibri" w:hAnsi="Calibri" w:cs="Calibri"/>
                <w:sz w:val="24"/>
                <w:szCs w:val="24"/>
              </w:rPr>
            </w:pPr>
            <w:r w:rsidRPr="00330283">
              <w:rPr>
                <w:sz w:val="24"/>
                <w:szCs w:val="24"/>
              </w:rPr>
              <w:t xml:space="preserve">Committed </w:t>
            </w:r>
            <w:r w:rsidR="00CE689A">
              <w:rPr>
                <w:sz w:val="24"/>
                <w:szCs w:val="24"/>
              </w:rPr>
              <w:t>s</w:t>
            </w:r>
            <w:r w:rsidRPr="00330283">
              <w:rPr>
                <w:sz w:val="24"/>
                <w:szCs w:val="24"/>
              </w:rPr>
              <w:t>tatus</w:t>
            </w:r>
          </w:p>
        </w:tc>
        <w:tc>
          <w:tcPr>
            <w:tcW w:w="7174" w:type="dxa"/>
          </w:tcPr>
          <w:p w14:paraId="32FBDF2E" w14:textId="78AAD4A6" w:rsidR="00F90DF1" w:rsidRPr="00330283" w:rsidRDefault="00577A63"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w:t>
            </w:r>
            <w:r w:rsidR="00BA63FF">
              <w:rPr>
                <w:rFonts w:ascii="Calibri" w:hAnsi="Calibri" w:cs="Calibri"/>
                <w:sz w:val="24"/>
                <w:szCs w:val="24"/>
              </w:rPr>
              <w:t xml:space="preserve">Investment pre-development, Investment in-development/pre-commitment, Committed </w:t>
            </w:r>
            <w:r w:rsidR="006D71F1">
              <w:rPr>
                <w:rFonts w:ascii="Calibri" w:hAnsi="Calibri" w:cs="Calibri"/>
                <w:sz w:val="24"/>
                <w:szCs w:val="24"/>
              </w:rPr>
              <w:t>L</w:t>
            </w:r>
            <w:r w:rsidR="00BA63FF">
              <w:rPr>
                <w:rFonts w:ascii="Calibri" w:hAnsi="Calibri" w:cs="Calibri"/>
                <w:sz w:val="24"/>
                <w:szCs w:val="24"/>
              </w:rPr>
              <w:t>ist</w:t>
            </w:r>
            <w:r w:rsidR="006D71F1">
              <w:rPr>
                <w:rFonts w:ascii="Calibri" w:hAnsi="Calibri" w:cs="Calibri"/>
                <w:sz w:val="24"/>
                <w:szCs w:val="24"/>
              </w:rPr>
              <w:t xml:space="preserve"> Named Project, Committed List Programme</w:t>
            </w:r>
            <w:r w:rsidR="00BA63FF">
              <w:rPr>
                <w:rFonts w:ascii="Calibri" w:hAnsi="Calibri" w:cs="Calibri"/>
                <w:sz w:val="24"/>
                <w:szCs w:val="24"/>
              </w:rPr>
              <w:t>.</w:t>
            </w:r>
          </w:p>
        </w:tc>
        <w:tc>
          <w:tcPr>
            <w:tcW w:w="1472" w:type="dxa"/>
          </w:tcPr>
          <w:p w14:paraId="03ADB651" w14:textId="2619E268" w:rsidR="00F90DF1" w:rsidRPr="00D461C8" w:rsidRDefault="00BA63FF" w:rsidP="00F90DF1">
            <w:pPr>
              <w:pStyle w:val="TableParagraph"/>
              <w:rPr>
                <w:rFonts w:ascii="Calibri" w:hAnsi="Calibri" w:cs="Calibri"/>
                <w:sz w:val="24"/>
                <w:szCs w:val="24"/>
              </w:rPr>
            </w:pPr>
            <w:r>
              <w:rPr>
                <w:rFonts w:ascii="Calibri" w:hAnsi="Calibri" w:cs="Calibri"/>
                <w:sz w:val="24"/>
                <w:szCs w:val="24"/>
              </w:rPr>
              <w:t>N/A</w:t>
            </w:r>
          </w:p>
        </w:tc>
        <w:tc>
          <w:tcPr>
            <w:tcW w:w="2096" w:type="dxa"/>
          </w:tcPr>
          <w:p w14:paraId="629381AB" w14:textId="270C08EC" w:rsidR="00F90DF1" w:rsidRPr="00330283" w:rsidRDefault="00F90DF1" w:rsidP="00F90DF1">
            <w:pPr>
              <w:pStyle w:val="TableParagraph"/>
              <w:rPr>
                <w:rFonts w:ascii="Calibri" w:hAnsi="Calibri" w:cs="Calibri"/>
                <w:sz w:val="24"/>
                <w:szCs w:val="24"/>
              </w:rPr>
            </w:pPr>
            <w:r w:rsidRPr="00D461C8">
              <w:rPr>
                <w:rFonts w:ascii="Calibri" w:hAnsi="Calibri" w:cs="Calibri"/>
                <w:sz w:val="24"/>
                <w:szCs w:val="24"/>
              </w:rPr>
              <w:t>25</w:t>
            </w:r>
          </w:p>
        </w:tc>
      </w:tr>
      <w:tr w:rsidR="00F90DF1" w:rsidRPr="00DE19DC" w14:paraId="0125E7DA" w14:textId="3CDCA8D5" w:rsidTr="00954233">
        <w:tc>
          <w:tcPr>
            <w:tcW w:w="0" w:type="auto"/>
          </w:tcPr>
          <w:p w14:paraId="0D1791FC" w14:textId="58141E5C" w:rsidR="00F90DF1" w:rsidRPr="00D461C8" w:rsidRDefault="00053C06" w:rsidP="00F90DF1">
            <w:pPr>
              <w:pStyle w:val="TableParagraph"/>
              <w:rPr>
                <w:rFonts w:ascii="Calibri" w:hAnsi="Calibri" w:cs="Calibri"/>
                <w:sz w:val="24"/>
                <w:szCs w:val="24"/>
              </w:rPr>
            </w:pPr>
            <w:r>
              <w:rPr>
                <w:rFonts w:ascii="Calibri" w:hAnsi="Calibri" w:cs="Calibri"/>
                <w:sz w:val="24"/>
                <w:szCs w:val="24"/>
              </w:rPr>
              <w:t>1</w:t>
            </w:r>
            <w:r w:rsidR="003851D8">
              <w:rPr>
                <w:rFonts w:ascii="Calibri" w:hAnsi="Calibri" w:cs="Calibri"/>
                <w:sz w:val="24"/>
                <w:szCs w:val="24"/>
              </w:rPr>
              <w:t>6</w:t>
            </w:r>
          </w:p>
        </w:tc>
        <w:tc>
          <w:tcPr>
            <w:tcW w:w="2598" w:type="dxa"/>
          </w:tcPr>
          <w:p w14:paraId="5C482CF0" w14:textId="2C360A2B" w:rsidR="00F90DF1" w:rsidRPr="00F90DF1" w:rsidRDefault="00F90DF1" w:rsidP="00F90DF1">
            <w:pPr>
              <w:pStyle w:val="TableParagraph"/>
              <w:rPr>
                <w:rFonts w:ascii="Calibri" w:hAnsi="Calibri" w:cs="Calibri"/>
                <w:sz w:val="24"/>
                <w:szCs w:val="24"/>
              </w:rPr>
            </w:pPr>
            <w:r w:rsidRPr="00330283">
              <w:rPr>
                <w:sz w:val="24"/>
                <w:szCs w:val="24"/>
              </w:rPr>
              <w:t>Forecast Commitment date (Gate 90)</w:t>
            </w:r>
          </w:p>
        </w:tc>
        <w:tc>
          <w:tcPr>
            <w:tcW w:w="7174" w:type="dxa"/>
          </w:tcPr>
          <w:p w14:paraId="57F0DC76" w14:textId="2D36E615" w:rsidR="00F90DF1" w:rsidRPr="00330283" w:rsidRDefault="00F90DF1" w:rsidP="00E24D2B">
            <w:pPr>
              <w:pStyle w:val="TableParagraph"/>
              <w:spacing w:afterLines="60" w:after="144"/>
              <w:rPr>
                <w:rFonts w:ascii="Calibri" w:hAnsi="Calibri" w:cs="Calibri"/>
                <w:sz w:val="24"/>
                <w:szCs w:val="24"/>
              </w:rPr>
            </w:pPr>
            <w:r w:rsidRPr="00330283">
              <w:rPr>
                <w:rFonts w:ascii="Calibri" w:hAnsi="Calibri" w:cs="Calibri"/>
                <w:sz w:val="24"/>
                <w:szCs w:val="24"/>
              </w:rPr>
              <w:t>Report the actual or current forecast date when the project</w:t>
            </w:r>
            <w:r w:rsidR="0075125C">
              <w:rPr>
                <w:rFonts w:ascii="Calibri" w:hAnsi="Calibri" w:cs="Calibri"/>
                <w:sz w:val="24"/>
                <w:szCs w:val="24"/>
              </w:rPr>
              <w:t>/programme</w:t>
            </w:r>
            <w:r w:rsidRPr="00330283">
              <w:rPr>
                <w:rFonts w:ascii="Calibri" w:hAnsi="Calibri" w:cs="Calibri"/>
                <w:sz w:val="24"/>
                <w:szCs w:val="24"/>
              </w:rPr>
              <w:t xml:space="preserve"> has passed or is expected to pass Gate 90: </w:t>
            </w:r>
            <w:r w:rsidRPr="00330283">
              <w:rPr>
                <w:rFonts w:ascii="Calibri" w:hAnsi="Calibri" w:cs="Calibri"/>
                <w:sz w:val="24"/>
                <w:szCs w:val="24"/>
              </w:rPr>
              <w:lastRenderedPageBreak/>
              <w:t xml:space="preserve">Commitment – Delivery Approval. </w:t>
            </w:r>
          </w:p>
        </w:tc>
        <w:tc>
          <w:tcPr>
            <w:tcW w:w="1472" w:type="dxa"/>
          </w:tcPr>
          <w:p w14:paraId="4E467C93" w14:textId="71E9F49E" w:rsidR="00F90DF1" w:rsidRPr="00330283" w:rsidRDefault="00F90DF1" w:rsidP="00F90DF1">
            <w:pPr>
              <w:pStyle w:val="TableParagraph"/>
              <w:rPr>
                <w:rFonts w:ascii="Calibri" w:hAnsi="Calibri" w:cs="Calibri"/>
                <w:sz w:val="24"/>
                <w:szCs w:val="24"/>
              </w:rPr>
            </w:pPr>
            <w:r w:rsidRPr="00330283">
              <w:rPr>
                <w:sz w:val="24"/>
                <w:szCs w:val="24"/>
              </w:rPr>
              <w:lastRenderedPageBreak/>
              <w:t>dd/mm/</w:t>
            </w:r>
            <w:r w:rsidR="005C610B">
              <w:rPr>
                <w:sz w:val="24"/>
                <w:szCs w:val="24"/>
              </w:rPr>
              <w:t>yy</w:t>
            </w:r>
            <w:r w:rsidRPr="00330283">
              <w:rPr>
                <w:sz w:val="24"/>
                <w:szCs w:val="24"/>
              </w:rPr>
              <w:t>yy</w:t>
            </w:r>
          </w:p>
        </w:tc>
        <w:tc>
          <w:tcPr>
            <w:tcW w:w="2096" w:type="dxa"/>
          </w:tcPr>
          <w:p w14:paraId="011E5664" w14:textId="461594EC" w:rsidR="00F90DF1" w:rsidRPr="00330283" w:rsidRDefault="00F90DF1" w:rsidP="00F90DF1">
            <w:pPr>
              <w:pStyle w:val="TableParagraph"/>
              <w:rPr>
                <w:sz w:val="24"/>
                <w:szCs w:val="24"/>
              </w:rPr>
            </w:pPr>
            <w:r w:rsidRPr="00330283">
              <w:rPr>
                <w:sz w:val="24"/>
                <w:szCs w:val="24"/>
              </w:rPr>
              <w:t>27</w:t>
            </w:r>
          </w:p>
        </w:tc>
      </w:tr>
      <w:tr w:rsidR="00F90DF1" w:rsidRPr="00DE19DC" w14:paraId="651C40BC" w14:textId="19564E7C" w:rsidTr="00954233">
        <w:tc>
          <w:tcPr>
            <w:tcW w:w="0" w:type="auto"/>
          </w:tcPr>
          <w:p w14:paraId="1632C632" w14:textId="16DDA42A" w:rsidR="00F90DF1" w:rsidRPr="00D461C8" w:rsidRDefault="00471012" w:rsidP="00F90DF1">
            <w:pPr>
              <w:pStyle w:val="TableParagraph"/>
              <w:rPr>
                <w:rFonts w:ascii="Calibri" w:hAnsi="Calibri" w:cs="Calibri"/>
                <w:sz w:val="24"/>
                <w:szCs w:val="24"/>
              </w:rPr>
            </w:pPr>
            <w:r>
              <w:rPr>
                <w:rFonts w:ascii="Calibri" w:hAnsi="Calibri" w:cs="Calibri"/>
                <w:sz w:val="24"/>
                <w:szCs w:val="24"/>
              </w:rPr>
              <w:t>1</w:t>
            </w:r>
            <w:r w:rsidR="00025EA3">
              <w:rPr>
                <w:rFonts w:ascii="Calibri" w:hAnsi="Calibri" w:cs="Calibri"/>
                <w:sz w:val="24"/>
                <w:szCs w:val="24"/>
              </w:rPr>
              <w:t>7</w:t>
            </w:r>
          </w:p>
        </w:tc>
        <w:tc>
          <w:tcPr>
            <w:tcW w:w="2598" w:type="dxa"/>
          </w:tcPr>
          <w:p w14:paraId="16A1332C" w14:textId="4FEF9295" w:rsidR="00F90DF1" w:rsidRPr="00330283" w:rsidRDefault="00F90DF1" w:rsidP="00F90DF1">
            <w:pPr>
              <w:pStyle w:val="TableParagraph"/>
              <w:rPr>
                <w:rFonts w:ascii="Calibri" w:hAnsi="Calibri" w:cs="Calibri"/>
                <w:sz w:val="24"/>
                <w:szCs w:val="24"/>
              </w:rPr>
            </w:pPr>
            <w:r w:rsidRPr="00330283" w:rsidDel="00D035D1">
              <w:rPr>
                <w:sz w:val="24"/>
                <w:szCs w:val="24"/>
              </w:rPr>
              <w:t xml:space="preserve">Forecast Start On Site </w:t>
            </w:r>
            <w:r w:rsidR="0094087A">
              <w:rPr>
                <w:sz w:val="24"/>
                <w:szCs w:val="24"/>
              </w:rPr>
              <w:t>d</w:t>
            </w:r>
            <w:r w:rsidR="0094087A" w:rsidRPr="00330283" w:rsidDel="00D035D1">
              <w:rPr>
                <w:sz w:val="24"/>
                <w:szCs w:val="24"/>
              </w:rPr>
              <w:t>ate</w:t>
            </w:r>
          </w:p>
        </w:tc>
        <w:tc>
          <w:tcPr>
            <w:tcW w:w="7174" w:type="dxa"/>
          </w:tcPr>
          <w:p w14:paraId="4134E4D1" w14:textId="6498D716" w:rsidR="00F90DF1" w:rsidRPr="00330283" w:rsidRDefault="00F90DF1" w:rsidP="00A250A6">
            <w:pPr>
              <w:pStyle w:val="TableParagraph"/>
              <w:spacing w:afterLines="60" w:after="144"/>
              <w:rPr>
                <w:rFonts w:ascii="Calibri" w:hAnsi="Calibri" w:cs="Calibri"/>
                <w:sz w:val="24"/>
                <w:szCs w:val="24"/>
              </w:rPr>
            </w:pPr>
            <w:r w:rsidRPr="00330283">
              <w:rPr>
                <w:rFonts w:ascii="Calibri" w:hAnsi="Calibri" w:cs="Calibri"/>
                <w:sz w:val="24"/>
                <w:szCs w:val="24"/>
              </w:rPr>
              <w:t xml:space="preserve">Report the actual or current forecast date when the </w:t>
            </w:r>
            <w:r w:rsidR="0000569D" w:rsidRPr="00E307BA">
              <w:rPr>
                <w:rFonts w:ascii="Calibri" w:hAnsi="Calibri" w:cs="Calibri"/>
                <w:sz w:val="24"/>
                <w:szCs w:val="24"/>
              </w:rPr>
              <w:t>project</w:t>
            </w:r>
            <w:r w:rsidR="0000569D">
              <w:rPr>
                <w:rFonts w:ascii="Calibri" w:hAnsi="Calibri" w:cs="Calibri"/>
                <w:sz w:val="24"/>
                <w:szCs w:val="24"/>
              </w:rPr>
              <w:t>/programme</w:t>
            </w:r>
            <w:r w:rsidR="0000569D" w:rsidRPr="0000569D" w:rsidDel="0000569D">
              <w:rPr>
                <w:rFonts w:ascii="Calibri" w:hAnsi="Calibri" w:cs="Calibri"/>
                <w:sz w:val="24"/>
                <w:szCs w:val="24"/>
              </w:rPr>
              <w:t xml:space="preserve"> </w:t>
            </w:r>
            <w:r w:rsidRPr="00330283">
              <w:rPr>
                <w:rFonts w:ascii="Calibri" w:hAnsi="Calibri" w:cs="Calibri"/>
                <w:sz w:val="24"/>
                <w:szCs w:val="24"/>
              </w:rPr>
              <w:t xml:space="preserve">has passed or is expected to pass the Start on Site milestone. </w:t>
            </w:r>
          </w:p>
        </w:tc>
        <w:tc>
          <w:tcPr>
            <w:tcW w:w="1472" w:type="dxa"/>
          </w:tcPr>
          <w:p w14:paraId="253B0ADB" w14:textId="0B5B208F" w:rsidR="00F90DF1" w:rsidRPr="00330283" w:rsidRDefault="00F90DF1" w:rsidP="00F90DF1">
            <w:pPr>
              <w:pStyle w:val="TableParagraph"/>
              <w:rPr>
                <w:rFonts w:ascii="Calibri" w:hAnsi="Calibri" w:cs="Calibri"/>
                <w:sz w:val="24"/>
                <w:szCs w:val="24"/>
              </w:rPr>
            </w:pPr>
            <w:r w:rsidRPr="00330283">
              <w:rPr>
                <w:sz w:val="24"/>
                <w:szCs w:val="24"/>
              </w:rPr>
              <w:t>dd/mm/</w:t>
            </w:r>
            <w:r w:rsidR="005C610B">
              <w:rPr>
                <w:sz w:val="24"/>
                <w:szCs w:val="24"/>
              </w:rPr>
              <w:t>yy</w:t>
            </w:r>
            <w:r w:rsidRPr="00330283">
              <w:rPr>
                <w:sz w:val="24"/>
                <w:szCs w:val="24"/>
              </w:rPr>
              <w:t>yy</w:t>
            </w:r>
          </w:p>
        </w:tc>
        <w:tc>
          <w:tcPr>
            <w:tcW w:w="2096" w:type="dxa"/>
          </w:tcPr>
          <w:p w14:paraId="39CD1372" w14:textId="32CB5938" w:rsidR="00F90DF1" w:rsidRPr="00330283" w:rsidRDefault="00F90DF1" w:rsidP="00F90DF1">
            <w:pPr>
              <w:pStyle w:val="TableParagraph"/>
              <w:rPr>
                <w:sz w:val="24"/>
                <w:szCs w:val="24"/>
              </w:rPr>
            </w:pPr>
            <w:r w:rsidRPr="00330283">
              <w:rPr>
                <w:sz w:val="24"/>
                <w:szCs w:val="24"/>
              </w:rPr>
              <w:t>28</w:t>
            </w:r>
          </w:p>
        </w:tc>
      </w:tr>
      <w:tr w:rsidR="00F90DF1" w:rsidRPr="00DE19DC" w14:paraId="6301E4B5" w14:textId="317555D2" w:rsidTr="00954233">
        <w:tc>
          <w:tcPr>
            <w:tcW w:w="0" w:type="auto"/>
          </w:tcPr>
          <w:p w14:paraId="2CEE9192" w14:textId="34D7483A" w:rsidR="00F90DF1" w:rsidRPr="00D461C8" w:rsidRDefault="00471012" w:rsidP="00F90DF1">
            <w:pPr>
              <w:pStyle w:val="TableParagraph"/>
              <w:rPr>
                <w:rFonts w:ascii="Calibri" w:hAnsi="Calibri" w:cs="Calibri"/>
                <w:sz w:val="24"/>
                <w:szCs w:val="24"/>
              </w:rPr>
            </w:pPr>
            <w:r>
              <w:rPr>
                <w:rFonts w:ascii="Calibri" w:hAnsi="Calibri" w:cs="Calibri"/>
                <w:sz w:val="24"/>
                <w:szCs w:val="24"/>
              </w:rPr>
              <w:t>1</w:t>
            </w:r>
            <w:r w:rsidR="00025EA3">
              <w:rPr>
                <w:rFonts w:ascii="Calibri" w:hAnsi="Calibri" w:cs="Calibri"/>
                <w:sz w:val="24"/>
                <w:szCs w:val="24"/>
              </w:rPr>
              <w:t>8</w:t>
            </w:r>
          </w:p>
        </w:tc>
        <w:tc>
          <w:tcPr>
            <w:tcW w:w="2598" w:type="dxa"/>
          </w:tcPr>
          <w:p w14:paraId="33C54B6E" w14:textId="59988529" w:rsidR="00F90DF1" w:rsidRPr="001A3E6C" w:rsidRDefault="00F90DF1" w:rsidP="00F90DF1">
            <w:pPr>
              <w:pStyle w:val="TableParagraph"/>
              <w:rPr>
                <w:rFonts w:ascii="Calibri" w:hAnsi="Calibri" w:cs="Calibri"/>
                <w:sz w:val="24"/>
                <w:szCs w:val="24"/>
              </w:rPr>
            </w:pPr>
            <w:r w:rsidRPr="001A3E6C">
              <w:rPr>
                <w:sz w:val="24"/>
                <w:szCs w:val="24"/>
              </w:rPr>
              <w:t>Forecast Acceptance date (Gate 100)</w:t>
            </w:r>
          </w:p>
        </w:tc>
        <w:tc>
          <w:tcPr>
            <w:tcW w:w="7174" w:type="dxa"/>
          </w:tcPr>
          <w:p w14:paraId="32EB98FF" w14:textId="3FCACB1B" w:rsidR="00F90DF1" w:rsidRPr="001A3E6C" w:rsidRDefault="00F90DF1" w:rsidP="00A250A6">
            <w:pPr>
              <w:pStyle w:val="TableParagraph"/>
              <w:spacing w:afterLines="60" w:after="144"/>
              <w:rPr>
                <w:rFonts w:ascii="Calibri" w:hAnsi="Calibri" w:cs="Calibri"/>
                <w:sz w:val="24"/>
                <w:szCs w:val="24"/>
              </w:rPr>
            </w:pPr>
            <w:r w:rsidRPr="001A3E6C">
              <w:rPr>
                <w:rFonts w:ascii="Calibri" w:hAnsi="Calibri" w:cs="Calibri"/>
                <w:sz w:val="24"/>
                <w:szCs w:val="24"/>
              </w:rPr>
              <w:t xml:space="preserve">Report the actual or current forecast date when the </w:t>
            </w:r>
            <w:r w:rsidR="007679A2" w:rsidRPr="00E307BA">
              <w:rPr>
                <w:rFonts w:ascii="Calibri" w:hAnsi="Calibri" w:cs="Calibri"/>
                <w:sz w:val="24"/>
                <w:szCs w:val="24"/>
              </w:rPr>
              <w:t>project</w:t>
            </w:r>
            <w:r w:rsidR="007679A2">
              <w:rPr>
                <w:rFonts w:ascii="Calibri" w:hAnsi="Calibri" w:cs="Calibri"/>
                <w:sz w:val="24"/>
                <w:szCs w:val="24"/>
              </w:rPr>
              <w:t>/programme</w:t>
            </w:r>
            <w:r w:rsidR="007679A2" w:rsidRPr="007679A2" w:rsidDel="007679A2">
              <w:rPr>
                <w:rFonts w:ascii="Calibri" w:hAnsi="Calibri" w:cs="Calibri"/>
                <w:sz w:val="24"/>
                <w:szCs w:val="24"/>
              </w:rPr>
              <w:t xml:space="preserve"> </w:t>
            </w:r>
            <w:r w:rsidRPr="001A3E6C">
              <w:rPr>
                <w:rFonts w:ascii="Calibri" w:hAnsi="Calibri" w:cs="Calibri"/>
                <w:sz w:val="24"/>
                <w:szCs w:val="24"/>
              </w:rPr>
              <w:t xml:space="preserve">has passed or is expected to pass Gate 100: Project Acceptance. </w:t>
            </w:r>
          </w:p>
        </w:tc>
        <w:tc>
          <w:tcPr>
            <w:tcW w:w="1472" w:type="dxa"/>
          </w:tcPr>
          <w:p w14:paraId="135946E8" w14:textId="2F990BFA" w:rsidR="00F90DF1" w:rsidRPr="001A3E6C" w:rsidRDefault="00F90DF1" w:rsidP="00F90DF1">
            <w:pPr>
              <w:pStyle w:val="TableParagraph"/>
              <w:rPr>
                <w:rFonts w:ascii="Calibri" w:hAnsi="Calibri" w:cs="Calibri"/>
                <w:sz w:val="24"/>
                <w:szCs w:val="24"/>
              </w:rPr>
            </w:pPr>
            <w:r w:rsidRPr="001A3E6C">
              <w:rPr>
                <w:sz w:val="24"/>
                <w:szCs w:val="24"/>
              </w:rPr>
              <w:t>dd/mm/</w:t>
            </w:r>
            <w:r w:rsidR="005C610B">
              <w:rPr>
                <w:sz w:val="24"/>
                <w:szCs w:val="24"/>
              </w:rPr>
              <w:t>yy</w:t>
            </w:r>
            <w:r w:rsidRPr="001A3E6C">
              <w:rPr>
                <w:sz w:val="24"/>
                <w:szCs w:val="24"/>
              </w:rPr>
              <w:t>yy</w:t>
            </w:r>
          </w:p>
        </w:tc>
        <w:tc>
          <w:tcPr>
            <w:tcW w:w="2096" w:type="dxa"/>
          </w:tcPr>
          <w:p w14:paraId="6A1E3887" w14:textId="088B96AF" w:rsidR="00F90DF1" w:rsidRPr="001A3E6C" w:rsidRDefault="00F90DF1" w:rsidP="00F90DF1">
            <w:pPr>
              <w:pStyle w:val="TableParagraph"/>
              <w:rPr>
                <w:sz w:val="24"/>
                <w:szCs w:val="24"/>
              </w:rPr>
            </w:pPr>
            <w:r w:rsidRPr="001A3E6C">
              <w:rPr>
                <w:sz w:val="24"/>
                <w:szCs w:val="24"/>
              </w:rPr>
              <w:t>29</w:t>
            </w:r>
          </w:p>
        </w:tc>
      </w:tr>
      <w:tr w:rsidR="00D5752B" w:rsidRPr="00DE19DC" w14:paraId="4F0C3262" w14:textId="77777777" w:rsidTr="003C397C">
        <w:tc>
          <w:tcPr>
            <w:tcW w:w="0" w:type="auto"/>
          </w:tcPr>
          <w:p w14:paraId="51381DFE" w14:textId="1E85DAF9" w:rsidR="00D5752B" w:rsidRDefault="00025EA3" w:rsidP="00F90DF1">
            <w:pPr>
              <w:pStyle w:val="TableParagraph"/>
              <w:rPr>
                <w:rFonts w:ascii="Calibri" w:hAnsi="Calibri" w:cs="Calibri"/>
                <w:sz w:val="24"/>
                <w:szCs w:val="24"/>
              </w:rPr>
            </w:pPr>
            <w:r>
              <w:rPr>
                <w:rFonts w:ascii="Calibri" w:hAnsi="Calibri" w:cs="Calibri"/>
                <w:sz w:val="24"/>
                <w:szCs w:val="24"/>
              </w:rPr>
              <w:t>19</w:t>
            </w:r>
          </w:p>
        </w:tc>
        <w:tc>
          <w:tcPr>
            <w:tcW w:w="2598" w:type="dxa"/>
          </w:tcPr>
          <w:p w14:paraId="70E382C5" w14:textId="1DCF1508" w:rsidR="00D5752B" w:rsidRPr="001A3E6C" w:rsidRDefault="00D5752B" w:rsidP="00F90DF1">
            <w:pPr>
              <w:pStyle w:val="TableParagraph"/>
              <w:rPr>
                <w:sz w:val="24"/>
                <w:szCs w:val="24"/>
              </w:rPr>
            </w:pPr>
            <w:r>
              <w:rPr>
                <w:sz w:val="24"/>
                <w:szCs w:val="24"/>
              </w:rPr>
              <w:t>Committed List</w:t>
            </w:r>
            <w:r w:rsidR="00101CDC">
              <w:rPr>
                <w:sz w:val="24"/>
                <w:szCs w:val="24"/>
              </w:rPr>
              <w:t xml:space="preserve"> forecast Acceptance date (Gate 100)</w:t>
            </w:r>
          </w:p>
        </w:tc>
        <w:tc>
          <w:tcPr>
            <w:tcW w:w="7174" w:type="dxa"/>
          </w:tcPr>
          <w:p w14:paraId="631CB62D" w14:textId="68B08EAB" w:rsidR="00D5752B" w:rsidRPr="001A3E6C" w:rsidRDefault="00227DE3" w:rsidP="00A250A6">
            <w:pPr>
              <w:pStyle w:val="TableParagraph"/>
              <w:spacing w:afterLines="60" w:after="144"/>
              <w:rPr>
                <w:rFonts w:ascii="Calibri" w:hAnsi="Calibri" w:cs="Calibri"/>
                <w:sz w:val="24"/>
                <w:szCs w:val="24"/>
              </w:rPr>
            </w:pPr>
            <w:r>
              <w:rPr>
                <w:rFonts w:ascii="Calibri" w:hAnsi="Calibri" w:cs="Calibri"/>
                <w:sz w:val="24"/>
                <w:szCs w:val="24"/>
              </w:rPr>
              <w:t>Report the</w:t>
            </w:r>
            <w:r w:rsidR="00187F01">
              <w:rPr>
                <w:rFonts w:ascii="Calibri" w:hAnsi="Calibri" w:cs="Calibri"/>
                <w:sz w:val="24"/>
                <w:szCs w:val="24"/>
              </w:rPr>
              <w:t xml:space="preserve"> forecast date</w:t>
            </w:r>
            <w:r w:rsidR="00CA7AE3">
              <w:rPr>
                <w:rFonts w:ascii="Calibri" w:hAnsi="Calibri" w:cs="Calibri"/>
                <w:sz w:val="24"/>
                <w:szCs w:val="24"/>
              </w:rPr>
              <w:t xml:space="preserve"> for</w:t>
            </w:r>
            <w:r w:rsidR="00CD2BA2">
              <w:rPr>
                <w:rFonts w:ascii="Calibri" w:hAnsi="Calibri" w:cs="Calibri"/>
                <w:sz w:val="24"/>
                <w:szCs w:val="24"/>
              </w:rPr>
              <w:t xml:space="preserve"> </w:t>
            </w:r>
            <w:r w:rsidR="00814B05">
              <w:rPr>
                <w:rFonts w:ascii="Calibri" w:hAnsi="Calibri" w:cs="Calibri"/>
                <w:sz w:val="24"/>
                <w:szCs w:val="24"/>
              </w:rPr>
              <w:t>Gate 100: Project Acceptance</w:t>
            </w:r>
            <w:r w:rsidR="00921E11">
              <w:rPr>
                <w:rFonts w:ascii="Calibri" w:hAnsi="Calibri" w:cs="Calibri"/>
                <w:sz w:val="24"/>
                <w:szCs w:val="24"/>
              </w:rPr>
              <w:t xml:space="preserve"> when the project/programme </w:t>
            </w:r>
            <w:r w:rsidR="00814B05">
              <w:rPr>
                <w:rFonts w:ascii="Calibri" w:hAnsi="Calibri" w:cs="Calibri"/>
                <w:sz w:val="24"/>
                <w:szCs w:val="24"/>
              </w:rPr>
              <w:t>entered the Committed List.</w:t>
            </w:r>
          </w:p>
        </w:tc>
        <w:tc>
          <w:tcPr>
            <w:tcW w:w="1472" w:type="dxa"/>
          </w:tcPr>
          <w:p w14:paraId="5F85CADE" w14:textId="173F0BD2" w:rsidR="00D5752B" w:rsidRPr="001A3E6C" w:rsidRDefault="00F34EC0" w:rsidP="00F90DF1">
            <w:pPr>
              <w:pStyle w:val="TableParagraph"/>
              <w:rPr>
                <w:sz w:val="24"/>
                <w:szCs w:val="24"/>
              </w:rPr>
            </w:pPr>
            <w:r w:rsidRPr="001A3E6C">
              <w:rPr>
                <w:sz w:val="24"/>
                <w:szCs w:val="24"/>
              </w:rPr>
              <w:t>dd/mm/</w:t>
            </w:r>
            <w:r>
              <w:rPr>
                <w:sz w:val="24"/>
                <w:szCs w:val="24"/>
              </w:rPr>
              <w:t>yy</w:t>
            </w:r>
            <w:r w:rsidRPr="001A3E6C">
              <w:rPr>
                <w:sz w:val="24"/>
                <w:szCs w:val="24"/>
              </w:rPr>
              <w:t>yy</w:t>
            </w:r>
          </w:p>
        </w:tc>
        <w:tc>
          <w:tcPr>
            <w:tcW w:w="2096" w:type="dxa"/>
          </w:tcPr>
          <w:p w14:paraId="2AC47D6B" w14:textId="3176EFCD" w:rsidR="00D5752B" w:rsidRPr="001A3E6C" w:rsidRDefault="00734A18" w:rsidP="00F90DF1">
            <w:pPr>
              <w:pStyle w:val="TableParagraph"/>
              <w:rPr>
                <w:sz w:val="24"/>
                <w:szCs w:val="24"/>
              </w:rPr>
            </w:pPr>
            <w:r>
              <w:rPr>
                <w:sz w:val="24"/>
                <w:szCs w:val="24"/>
              </w:rPr>
              <w:t>119</w:t>
            </w:r>
          </w:p>
        </w:tc>
      </w:tr>
      <w:tr w:rsidR="00F90DF1" w:rsidRPr="00DE19DC" w14:paraId="658F03C2" w14:textId="326FF111" w:rsidTr="00954233">
        <w:tc>
          <w:tcPr>
            <w:tcW w:w="0" w:type="auto"/>
          </w:tcPr>
          <w:p w14:paraId="121AD7B5" w14:textId="41FABAB4" w:rsidR="00F90DF1" w:rsidRPr="00D461C8" w:rsidRDefault="00025EA3" w:rsidP="00F90DF1">
            <w:pPr>
              <w:pStyle w:val="TableParagraph"/>
              <w:rPr>
                <w:rFonts w:ascii="Calibri" w:hAnsi="Calibri" w:cs="Calibri"/>
                <w:sz w:val="24"/>
                <w:szCs w:val="24"/>
              </w:rPr>
            </w:pPr>
            <w:r>
              <w:rPr>
                <w:rFonts w:ascii="Calibri" w:hAnsi="Calibri" w:cs="Calibri"/>
                <w:sz w:val="24"/>
                <w:szCs w:val="24"/>
              </w:rPr>
              <w:t>20</w:t>
            </w:r>
          </w:p>
        </w:tc>
        <w:tc>
          <w:tcPr>
            <w:tcW w:w="2598" w:type="dxa"/>
          </w:tcPr>
          <w:p w14:paraId="52A47F7E" w14:textId="4AD958DE" w:rsidR="00F90DF1" w:rsidRPr="001A3E6C" w:rsidRDefault="00F90DF1" w:rsidP="00F90DF1">
            <w:pPr>
              <w:pStyle w:val="TableParagraph"/>
              <w:rPr>
                <w:rFonts w:ascii="Calibri" w:hAnsi="Calibri" w:cs="Calibri"/>
                <w:sz w:val="24"/>
                <w:szCs w:val="24"/>
              </w:rPr>
            </w:pPr>
            <w:r w:rsidRPr="001A3E6C">
              <w:rPr>
                <w:sz w:val="24"/>
                <w:szCs w:val="24"/>
              </w:rPr>
              <w:t xml:space="preserve">Forecast Financial </w:t>
            </w:r>
            <w:r w:rsidR="00F34EC0">
              <w:rPr>
                <w:sz w:val="24"/>
                <w:szCs w:val="24"/>
              </w:rPr>
              <w:t>Completion</w:t>
            </w:r>
            <w:r w:rsidR="00F34EC0" w:rsidRPr="001A3E6C">
              <w:rPr>
                <w:sz w:val="24"/>
                <w:szCs w:val="24"/>
              </w:rPr>
              <w:t xml:space="preserve"> </w:t>
            </w:r>
            <w:r w:rsidRPr="001A3E6C">
              <w:rPr>
                <w:sz w:val="24"/>
                <w:szCs w:val="24"/>
              </w:rPr>
              <w:t>date (Gate 110)</w:t>
            </w:r>
          </w:p>
        </w:tc>
        <w:tc>
          <w:tcPr>
            <w:tcW w:w="7174" w:type="dxa"/>
          </w:tcPr>
          <w:p w14:paraId="0BBBEA88" w14:textId="0F330F73" w:rsidR="00F90DF1" w:rsidRPr="001A3E6C" w:rsidRDefault="00F90DF1" w:rsidP="00A250A6">
            <w:pPr>
              <w:pStyle w:val="TableParagraph"/>
              <w:spacing w:afterLines="60" w:after="144"/>
              <w:rPr>
                <w:rFonts w:ascii="Calibri" w:hAnsi="Calibri" w:cs="Calibri"/>
                <w:sz w:val="24"/>
                <w:szCs w:val="24"/>
              </w:rPr>
            </w:pPr>
            <w:r w:rsidRPr="001A3E6C">
              <w:rPr>
                <w:rFonts w:ascii="Calibri" w:hAnsi="Calibri" w:cs="Calibri"/>
                <w:sz w:val="24"/>
                <w:szCs w:val="24"/>
              </w:rPr>
              <w:t xml:space="preserve">Report the actual or current forecast date when the </w:t>
            </w:r>
            <w:r w:rsidR="007679A2" w:rsidRPr="00E307BA">
              <w:rPr>
                <w:rFonts w:ascii="Calibri" w:hAnsi="Calibri" w:cs="Calibri"/>
                <w:sz w:val="24"/>
                <w:szCs w:val="24"/>
              </w:rPr>
              <w:t>project</w:t>
            </w:r>
            <w:r w:rsidR="007679A2">
              <w:rPr>
                <w:rFonts w:ascii="Calibri" w:hAnsi="Calibri" w:cs="Calibri"/>
                <w:sz w:val="24"/>
                <w:szCs w:val="24"/>
              </w:rPr>
              <w:t>/programme</w:t>
            </w:r>
            <w:r w:rsidR="007679A2" w:rsidRPr="007679A2" w:rsidDel="007679A2">
              <w:rPr>
                <w:rFonts w:ascii="Calibri" w:hAnsi="Calibri" w:cs="Calibri"/>
                <w:sz w:val="24"/>
                <w:szCs w:val="24"/>
              </w:rPr>
              <w:t xml:space="preserve"> </w:t>
            </w:r>
            <w:r w:rsidRPr="001A3E6C">
              <w:rPr>
                <w:rFonts w:ascii="Calibri" w:hAnsi="Calibri" w:cs="Calibri"/>
                <w:sz w:val="24"/>
                <w:szCs w:val="24"/>
              </w:rPr>
              <w:t xml:space="preserve">has passed or is expected to pass Gate 110: Financial </w:t>
            </w:r>
            <w:r w:rsidR="002C5D46">
              <w:rPr>
                <w:rFonts w:ascii="Calibri" w:hAnsi="Calibri" w:cs="Calibri"/>
                <w:sz w:val="24"/>
                <w:szCs w:val="24"/>
              </w:rPr>
              <w:t>Completion</w:t>
            </w:r>
            <w:r w:rsidRPr="001A3E6C">
              <w:rPr>
                <w:rFonts w:ascii="Calibri" w:hAnsi="Calibri" w:cs="Calibri"/>
                <w:sz w:val="24"/>
                <w:szCs w:val="24"/>
              </w:rPr>
              <w:t xml:space="preserve">. </w:t>
            </w:r>
          </w:p>
        </w:tc>
        <w:tc>
          <w:tcPr>
            <w:tcW w:w="1472" w:type="dxa"/>
          </w:tcPr>
          <w:p w14:paraId="43210A25" w14:textId="5BCD8B33" w:rsidR="00F90DF1" w:rsidRPr="001A3E6C" w:rsidRDefault="00F90DF1" w:rsidP="00F90DF1">
            <w:pPr>
              <w:pStyle w:val="TableParagraph"/>
              <w:rPr>
                <w:rFonts w:ascii="Calibri" w:hAnsi="Calibri" w:cs="Calibri"/>
                <w:sz w:val="24"/>
                <w:szCs w:val="24"/>
              </w:rPr>
            </w:pPr>
            <w:r w:rsidRPr="001A3E6C">
              <w:rPr>
                <w:sz w:val="24"/>
                <w:szCs w:val="24"/>
              </w:rPr>
              <w:t>dd/mm/y</w:t>
            </w:r>
            <w:r w:rsidR="005C610B">
              <w:rPr>
                <w:sz w:val="24"/>
                <w:szCs w:val="24"/>
              </w:rPr>
              <w:t>yy</w:t>
            </w:r>
            <w:r w:rsidRPr="001A3E6C">
              <w:rPr>
                <w:sz w:val="24"/>
                <w:szCs w:val="24"/>
              </w:rPr>
              <w:t>y</w:t>
            </w:r>
          </w:p>
        </w:tc>
        <w:tc>
          <w:tcPr>
            <w:tcW w:w="2096" w:type="dxa"/>
          </w:tcPr>
          <w:p w14:paraId="629B5CA8" w14:textId="4EEF020E" w:rsidR="00F90DF1" w:rsidRPr="001A3E6C" w:rsidRDefault="00F90DF1" w:rsidP="00F90DF1">
            <w:pPr>
              <w:pStyle w:val="TableParagraph"/>
              <w:rPr>
                <w:sz w:val="24"/>
                <w:szCs w:val="24"/>
              </w:rPr>
            </w:pPr>
            <w:r w:rsidRPr="001A3E6C">
              <w:rPr>
                <w:sz w:val="24"/>
                <w:szCs w:val="24"/>
              </w:rPr>
              <w:t>30</w:t>
            </w:r>
          </w:p>
        </w:tc>
      </w:tr>
      <w:tr w:rsidR="00F34EC0" w:rsidRPr="00DE19DC" w14:paraId="4A034FE9" w14:textId="77777777" w:rsidTr="003C397C">
        <w:tc>
          <w:tcPr>
            <w:tcW w:w="0" w:type="auto"/>
          </w:tcPr>
          <w:p w14:paraId="0FDFE7CC" w14:textId="061DD7AC" w:rsidR="00F34EC0" w:rsidRDefault="00025EA3" w:rsidP="00F34EC0">
            <w:pPr>
              <w:pStyle w:val="TableParagraph"/>
              <w:rPr>
                <w:rFonts w:ascii="Calibri" w:hAnsi="Calibri" w:cs="Calibri"/>
                <w:sz w:val="24"/>
                <w:szCs w:val="24"/>
              </w:rPr>
            </w:pPr>
            <w:r>
              <w:rPr>
                <w:rFonts w:ascii="Calibri" w:hAnsi="Calibri" w:cs="Calibri"/>
                <w:sz w:val="24"/>
                <w:szCs w:val="24"/>
              </w:rPr>
              <w:t>21</w:t>
            </w:r>
          </w:p>
        </w:tc>
        <w:tc>
          <w:tcPr>
            <w:tcW w:w="2598" w:type="dxa"/>
          </w:tcPr>
          <w:p w14:paraId="1BCC402C" w14:textId="491D30C3" w:rsidR="00F34EC0" w:rsidRPr="001A3E6C" w:rsidRDefault="00F34EC0" w:rsidP="00F34EC0">
            <w:pPr>
              <w:pStyle w:val="TableParagraph"/>
              <w:rPr>
                <w:sz w:val="24"/>
                <w:szCs w:val="24"/>
              </w:rPr>
            </w:pPr>
            <w:r>
              <w:rPr>
                <w:sz w:val="24"/>
                <w:szCs w:val="24"/>
              </w:rPr>
              <w:t>Committed List forecast Financial Completion date (Gate 110)</w:t>
            </w:r>
          </w:p>
        </w:tc>
        <w:tc>
          <w:tcPr>
            <w:tcW w:w="7174" w:type="dxa"/>
          </w:tcPr>
          <w:p w14:paraId="05C6A145" w14:textId="0D9525E8" w:rsidR="00F34EC0" w:rsidRPr="001A3E6C" w:rsidRDefault="00F34EC0" w:rsidP="00F34EC0">
            <w:pPr>
              <w:pStyle w:val="TableParagraph"/>
              <w:spacing w:afterLines="60" w:after="144"/>
              <w:rPr>
                <w:rFonts w:ascii="Calibri" w:hAnsi="Calibri" w:cs="Calibri"/>
                <w:sz w:val="24"/>
                <w:szCs w:val="24"/>
              </w:rPr>
            </w:pPr>
            <w:r>
              <w:rPr>
                <w:rFonts w:ascii="Calibri" w:hAnsi="Calibri" w:cs="Calibri"/>
                <w:sz w:val="24"/>
                <w:szCs w:val="24"/>
              </w:rPr>
              <w:t>Report the forecast date for Gate 1</w:t>
            </w:r>
            <w:r w:rsidR="00C261A7">
              <w:rPr>
                <w:rFonts w:ascii="Calibri" w:hAnsi="Calibri" w:cs="Calibri"/>
                <w:sz w:val="24"/>
                <w:szCs w:val="24"/>
              </w:rPr>
              <w:t>1</w:t>
            </w:r>
            <w:r>
              <w:rPr>
                <w:rFonts w:ascii="Calibri" w:hAnsi="Calibri" w:cs="Calibri"/>
                <w:sz w:val="24"/>
                <w:szCs w:val="24"/>
              </w:rPr>
              <w:t xml:space="preserve">0: </w:t>
            </w:r>
            <w:r w:rsidR="00C261A7">
              <w:rPr>
                <w:rFonts w:ascii="Calibri" w:hAnsi="Calibri" w:cs="Calibri"/>
                <w:sz w:val="24"/>
                <w:szCs w:val="24"/>
              </w:rPr>
              <w:t>Financial Completion</w:t>
            </w:r>
            <w:r>
              <w:rPr>
                <w:rFonts w:ascii="Calibri" w:hAnsi="Calibri" w:cs="Calibri"/>
                <w:sz w:val="24"/>
                <w:szCs w:val="24"/>
              </w:rPr>
              <w:t xml:space="preserve"> when the project/programme entered the Committed List.</w:t>
            </w:r>
          </w:p>
        </w:tc>
        <w:tc>
          <w:tcPr>
            <w:tcW w:w="1472" w:type="dxa"/>
          </w:tcPr>
          <w:p w14:paraId="302579E8" w14:textId="3B09EAEF" w:rsidR="00F34EC0" w:rsidRPr="001A3E6C" w:rsidRDefault="00F34EC0" w:rsidP="00F34EC0">
            <w:pPr>
              <w:pStyle w:val="TableParagraph"/>
              <w:rPr>
                <w:sz w:val="24"/>
                <w:szCs w:val="24"/>
              </w:rPr>
            </w:pPr>
            <w:r w:rsidRPr="001A3E6C">
              <w:rPr>
                <w:sz w:val="24"/>
                <w:szCs w:val="24"/>
              </w:rPr>
              <w:t>dd/mm/</w:t>
            </w:r>
            <w:r>
              <w:rPr>
                <w:sz w:val="24"/>
                <w:szCs w:val="24"/>
              </w:rPr>
              <w:t>yy</w:t>
            </w:r>
            <w:r w:rsidRPr="001A3E6C">
              <w:rPr>
                <w:sz w:val="24"/>
                <w:szCs w:val="24"/>
              </w:rPr>
              <w:t>yy</w:t>
            </w:r>
          </w:p>
        </w:tc>
        <w:tc>
          <w:tcPr>
            <w:tcW w:w="2096" w:type="dxa"/>
          </w:tcPr>
          <w:p w14:paraId="28C288B5" w14:textId="709B6EF1" w:rsidR="00F34EC0" w:rsidRPr="001A3E6C" w:rsidRDefault="00734A18" w:rsidP="00F34EC0">
            <w:pPr>
              <w:pStyle w:val="TableParagraph"/>
              <w:rPr>
                <w:sz w:val="24"/>
                <w:szCs w:val="24"/>
              </w:rPr>
            </w:pPr>
            <w:r>
              <w:rPr>
                <w:sz w:val="24"/>
                <w:szCs w:val="24"/>
              </w:rPr>
              <w:t>120</w:t>
            </w:r>
          </w:p>
        </w:tc>
      </w:tr>
    </w:tbl>
    <w:p w14:paraId="2E34ABD0" w14:textId="77777777" w:rsidR="00721F84" w:rsidRDefault="00721F84"/>
    <w:p w14:paraId="25578DA8" w14:textId="77777777" w:rsidR="008278A4" w:rsidRPr="00954233" w:rsidRDefault="008278A4" w:rsidP="008278A4">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t>Block B: Capital Expenditure (£m; 2024-25 Price Base)</w:t>
      </w:r>
    </w:p>
    <w:p w14:paraId="2AE23F6C" w14:textId="77777777" w:rsidR="008278A4" w:rsidRPr="001A3E6C" w:rsidRDefault="008278A4" w:rsidP="008278A4">
      <w:pPr>
        <w:pStyle w:val="TableParagraph"/>
        <w:rPr>
          <w:rFonts w:cstheme="minorHAnsi"/>
          <w:b/>
          <w:sz w:val="24"/>
          <w:szCs w:val="24"/>
        </w:rPr>
      </w:pPr>
    </w:p>
    <w:p w14:paraId="11B8EA96" w14:textId="34E4573D" w:rsidR="00556AF2" w:rsidRPr="00954233" w:rsidRDefault="000A7C94" w:rsidP="008278A4">
      <w:pPr>
        <w:pStyle w:val="TableParagraph"/>
        <w:rPr>
          <w:rFonts w:cstheme="minorHAnsi"/>
          <w:sz w:val="24"/>
          <w:szCs w:val="24"/>
        </w:rPr>
      </w:pPr>
      <w:r w:rsidRPr="00954233">
        <w:rPr>
          <w:rFonts w:cstheme="minorHAnsi"/>
          <w:sz w:val="24"/>
          <w:szCs w:val="24"/>
        </w:rPr>
        <w:t>All</w:t>
      </w:r>
      <w:r w:rsidR="00033605" w:rsidRPr="00954233">
        <w:rPr>
          <w:rFonts w:cstheme="minorHAnsi"/>
          <w:sz w:val="24"/>
          <w:szCs w:val="24"/>
        </w:rPr>
        <w:t xml:space="preserve"> lines for both</w:t>
      </w:r>
      <w:r w:rsidRPr="00954233">
        <w:rPr>
          <w:rFonts w:cstheme="minorHAnsi"/>
          <w:sz w:val="24"/>
          <w:szCs w:val="24"/>
        </w:rPr>
        <w:t xml:space="preserve"> projects and programmes</w:t>
      </w:r>
      <w:r w:rsidR="0096143E">
        <w:rPr>
          <w:rFonts w:cstheme="minorHAnsi"/>
          <w:sz w:val="24"/>
          <w:szCs w:val="24"/>
        </w:rPr>
        <w:t xml:space="preserve"> of works</w:t>
      </w:r>
      <w:r w:rsidRPr="00954233">
        <w:rPr>
          <w:rFonts w:cstheme="minorHAnsi"/>
          <w:sz w:val="24"/>
          <w:szCs w:val="24"/>
        </w:rPr>
        <w:t xml:space="preserve"> should have the column for pre-SRC27 expenditure filled out</w:t>
      </w:r>
      <w:r w:rsidR="00850360" w:rsidRPr="00954233">
        <w:rPr>
          <w:rFonts w:cstheme="minorHAnsi"/>
          <w:sz w:val="24"/>
          <w:szCs w:val="24"/>
        </w:rPr>
        <w:t>.</w:t>
      </w:r>
      <w:r w:rsidR="00033605" w:rsidRPr="00954233">
        <w:rPr>
          <w:rFonts w:cstheme="minorHAnsi"/>
          <w:sz w:val="24"/>
          <w:szCs w:val="24"/>
        </w:rPr>
        <w:t xml:space="preserve"> All </w:t>
      </w:r>
      <w:r w:rsidR="007537AC" w:rsidRPr="00954233">
        <w:rPr>
          <w:rFonts w:cstheme="minorHAnsi"/>
          <w:sz w:val="24"/>
          <w:szCs w:val="24"/>
        </w:rPr>
        <w:t xml:space="preserve">lines for projects should have </w:t>
      </w:r>
      <w:r w:rsidR="006F3293" w:rsidRPr="00E44B42">
        <w:rPr>
          <w:rFonts w:cstheme="minorHAnsi"/>
          <w:sz w:val="24"/>
          <w:szCs w:val="24"/>
        </w:rPr>
        <w:lastRenderedPageBreak/>
        <w:t>the column</w:t>
      </w:r>
      <w:r w:rsidR="006F3293">
        <w:rPr>
          <w:rFonts w:cstheme="minorHAnsi"/>
          <w:sz w:val="24"/>
          <w:szCs w:val="24"/>
        </w:rPr>
        <w:t>s</w:t>
      </w:r>
      <w:r w:rsidR="006F3293" w:rsidRPr="00E44B42">
        <w:rPr>
          <w:rFonts w:cstheme="minorHAnsi"/>
          <w:sz w:val="24"/>
          <w:szCs w:val="24"/>
        </w:rPr>
        <w:t xml:space="preserve"> for post-SRC27 expenditure filled out, but lines for programmes</w:t>
      </w:r>
      <w:r w:rsidR="006F3293">
        <w:rPr>
          <w:rFonts w:cstheme="minorHAnsi"/>
          <w:sz w:val="24"/>
          <w:szCs w:val="24"/>
        </w:rPr>
        <w:t xml:space="preserve"> of works</w:t>
      </w:r>
      <w:r w:rsidR="006F3293" w:rsidRPr="00E44B42">
        <w:rPr>
          <w:rFonts w:cstheme="minorHAnsi"/>
          <w:sz w:val="24"/>
          <w:szCs w:val="24"/>
        </w:rPr>
        <w:t xml:space="preserve"> are not required to have </w:t>
      </w:r>
      <w:r w:rsidR="006F3293">
        <w:rPr>
          <w:rFonts w:cstheme="minorHAnsi"/>
          <w:sz w:val="24"/>
          <w:szCs w:val="24"/>
        </w:rPr>
        <w:t>these columns</w:t>
      </w:r>
      <w:r w:rsidR="006F3293" w:rsidRPr="00E44B42">
        <w:rPr>
          <w:rFonts w:cstheme="minorHAnsi"/>
          <w:sz w:val="24"/>
          <w:szCs w:val="24"/>
        </w:rPr>
        <w:t xml:space="preserve"> filled out.</w:t>
      </w:r>
    </w:p>
    <w:p w14:paraId="73BC8EDD" w14:textId="77777777" w:rsidR="00556AF2" w:rsidRPr="001A3E6C" w:rsidRDefault="00556AF2" w:rsidP="008278A4">
      <w:pPr>
        <w:pStyle w:val="TableParagraph"/>
        <w:rPr>
          <w:rFonts w:cstheme="minorHAnsi"/>
          <w:b/>
          <w:sz w:val="24"/>
          <w:szCs w:val="24"/>
        </w:rPr>
      </w:pPr>
    </w:p>
    <w:p w14:paraId="42967D78" w14:textId="68E4D60D" w:rsidR="00CB013B" w:rsidRDefault="008278A4" w:rsidP="0074526B">
      <w:pPr>
        <w:pStyle w:val="TableParagraph"/>
        <w:rPr>
          <w:rFonts w:cstheme="minorHAnsi"/>
          <w:sz w:val="24"/>
          <w:szCs w:val="24"/>
        </w:rPr>
      </w:pPr>
      <w:r w:rsidRPr="00954233">
        <w:rPr>
          <w:rFonts w:cstheme="minorHAnsi"/>
          <w:sz w:val="24"/>
          <w:szCs w:val="24"/>
        </w:rPr>
        <w:t>Risk allowance is a subset of the forecast expenditure and covers Scottish Water’s allowance for site-specific risk and programme wide uplift for risk.</w:t>
      </w:r>
    </w:p>
    <w:p w14:paraId="527738F0" w14:textId="77777777" w:rsidR="007B1179" w:rsidRDefault="007B1179" w:rsidP="0074526B">
      <w:pPr>
        <w:pStyle w:val="TableParagraph"/>
        <w:rPr>
          <w:rFonts w:cstheme="minorHAnsi"/>
          <w:sz w:val="24"/>
          <w:szCs w:val="24"/>
        </w:rPr>
      </w:pPr>
    </w:p>
    <w:tbl>
      <w:tblPr>
        <w:tblStyle w:val="Blueline"/>
        <w:tblW w:w="0" w:type="auto"/>
        <w:tblLook w:val="04A0" w:firstRow="1" w:lastRow="0" w:firstColumn="1" w:lastColumn="0" w:noHBand="0" w:noVBand="1"/>
      </w:tblPr>
      <w:tblGrid>
        <w:gridCol w:w="1284"/>
        <w:gridCol w:w="2049"/>
        <w:gridCol w:w="7299"/>
        <w:gridCol w:w="1699"/>
        <w:gridCol w:w="2239"/>
      </w:tblGrid>
      <w:tr w:rsidR="001D7118" w:rsidRPr="00240E3D" w14:paraId="399CA73A" w14:textId="1C5FECAC" w:rsidTr="00954233">
        <w:trPr>
          <w:cnfStyle w:val="100000000000" w:firstRow="1" w:lastRow="0" w:firstColumn="0" w:lastColumn="0" w:oddVBand="0" w:evenVBand="0" w:oddHBand="0" w:evenHBand="0" w:firstRowFirstColumn="0" w:firstRowLastColumn="0" w:lastRowFirstColumn="0" w:lastRowLastColumn="0"/>
          <w:tblHeader/>
        </w:trPr>
        <w:tc>
          <w:tcPr>
            <w:tcW w:w="0" w:type="dxa"/>
          </w:tcPr>
          <w:p w14:paraId="61151B2B" w14:textId="5E041252" w:rsidR="001D7118" w:rsidRPr="00954233" w:rsidRDefault="006011A6" w:rsidP="001D7118">
            <w:pPr>
              <w:pStyle w:val="TableParagraph"/>
              <w:rPr>
                <w:rFonts w:cstheme="minorHAnsi"/>
                <w:sz w:val="24"/>
                <w:szCs w:val="24"/>
              </w:rPr>
            </w:pPr>
            <w:r w:rsidRPr="0074526B">
              <w:rPr>
                <w:rFonts w:ascii="Calibri" w:hAnsi="Calibri" w:cs="Calibri"/>
                <w:sz w:val="24"/>
                <w:szCs w:val="24"/>
              </w:rPr>
              <w:t>Column</w:t>
            </w:r>
            <w:r w:rsidR="00E226A1" w:rsidRPr="0074526B">
              <w:rPr>
                <w:rFonts w:ascii="Calibri" w:hAnsi="Calibri" w:cs="Calibri"/>
                <w:sz w:val="24"/>
                <w:szCs w:val="24"/>
              </w:rPr>
              <w:t xml:space="preserve"> </w:t>
            </w:r>
            <w:r w:rsidR="008B1FEB" w:rsidRPr="0074526B">
              <w:rPr>
                <w:rFonts w:cstheme="minorHAnsi"/>
                <w:sz w:val="24"/>
                <w:szCs w:val="24"/>
              </w:rPr>
              <w:t>Reference</w:t>
            </w:r>
          </w:p>
        </w:tc>
        <w:tc>
          <w:tcPr>
            <w:tcW w:w="0" w:type="dxa"/>
          </w:tcPr>
          <w:p w14:paraId="43D4DABE" w14:textId="2F445748" w:rsidR="001D7118" w:rsidRPr="00954233" w:rsidRDefault="001D7118" w:rsidP="001D7118">
            <w:pPr>
              <w:pStyle w:val="TableParagraph"/>
              <w:rPr>
                <w:rFonts w:cstheme="minorHAnsi"/>
                <w:sz w:val="24"/>
                <w:szCs w:val="24"/>
              </w:rPr>
            </w:pPr>
            <w:r w:rsidRPr="0074526B">
              <w:rPr>
                <w:rFonts w:cstheme="minorHAnsi"/>
                <w:sz w:val="24"/>
                <w:szCs w:val="24"/>
              </w:rPr>
              <w:t>Column Title</w:t>
            </w:r>
          </w:p>
        </w:tc>
        <w:tc>
          <w:tcPr>
            <w:tcW w:w="0" w:type="dxa"/>
          </w:tcPr>
          <w:p w14:paraId="57D88D68" w14:textId="6BD543CA" w:rsidR="001D7118" w:rsidRPr="00954233" w:rsidRDefault="001D7118" w:rsidP="001D7118">
            <w:pPr>
              <w:pStyle w:val="TableParagraph"/>
              <w:rPr>
                <w:rFonts w:cstheme="minorHAnsi"/>
                <w:sz w:val="24"/>
                <w:szCs w:val="24"/>
              </w:rPr>
            </w:pPr>
            <w:r w:rsidRPr="0074526B">
              <w:rPr>
                <w:rFonts w:cstheme="minorHAnsi"/>
                <w:sz w:val="24"/>
                <w:szCs w:val="24"/>
              </w:rPr>
              <w:t>Description</w:t>
            </w:r>
          </w:p>
        </w:tc>
        <w:tc>
          <w:tcPr>
            <w:tcW w:w="0" w:type="dxa"/>
          </w:tcPr>
          <w:p w14:paraId="29B5AC38" w14:textId="6F968607" w:rsidR="001D7118" w:rsidRPr="00954233" w:rsidRDefault="001D7118" w:rsidP="001D7118">
            <w:pPr>
              <w:pStyle w:val="TableParagraph"/>
              <w:rPr>
                <w:rFonts w:cstheme="minorHAnsi"/>
                <w:sz w:val="24"/>
                <w:szCs w:val="24"/>
              </w:rPr>
            </w:pPr>
            <w:r w:rsidRPr="0074526B">
              <w:rPr>
                <w:rFonts w:cstheme="minorHAnsi"/>
                <w:sz w:val="24"/>
                <w:szCs w:val="24"/>
              </w:rPr>
              <w:t>Units</w:t>
            </w:r>
          </w:p>
        </w:tc>
        <w:tc>
          <w:tcPr>
            <w:tcW w:w="0" w:type="dxa"/>
          </w:tcPr>
          <w:p w14:paraId="03204090" w14:textId="07A7C7A6" w:rsidR="00ED2B63" w:rsidRPr="00954233" w:rsidRDefault="00ED2B63" w:rsidP="00ED2B63">
            <w:pPr>
              <w:pStyle w:val="TableParagraph"/>
              <w:rPr>
                <w:rFonts w:cstheme="minorHAnsi"/>
                <w:sz w:val="24"/>
                <w:szCs w:val="24"/>
              </w:rPr>
            </w:pPr>
            <w:r w:rsidRPr="0074526B">
              <w:rPr>
                <w:rFonts w:cstheme="minorHAnsi"/>
                <w:sz w:val="24"/>
                <w:szCs w:val="24"/>
              </w:rPr>
              <w:t xml:space="preserve">Annual Return 2023-24 Table </w:t>
            </w:r>
            <w:r w:rsidR="00544EAE" w:rsidRPr="0074526B">
              <w:rPr>
                <w:rFonts w:cstheme="minorHAnsi"/>
                <w:sz w:val="24"/>
                <w:szCs w:val="24"/>
              </w:rPr>
              <w:t>G</w:t>
            </w:r>
            <w:r w:rsidRPr="0074526B">
              <w:rPr>
                <w:rFonts w:cstheme="minorHAnsi"/>
                <w:sz w:val="24"/>
                <w:szCs w:val="24"/>
              </w:rPr>
              <w:t>6a column reference</w:t>
            </w:r>
          </w:p>
        </w:tc>
      </w:tr>
      <w:tr w:rsidR="00E60A77" w:rsidRPr="00240E3D" w14:paraId="47C49D1A" w14:textId="364AFF6C" w:rsidTr="00954233">
        <w:tc>
          <w:tcPr>
            <w:tcW w:w="1284" w:type="dxa"/>
          </w:tcPr>
          <w:p w14:paraId="07EC4996" w14:textId="36F39C4C" w:rsidR="00B31E3D" w:rsidRPr="001A3E6C" w:rsidRDefault="005315C2" w:rsidP="00954233">
            <w:pPr>
              <w:pStyle w:val="TableParagraph"/>
              <w:keepLines/>
              <w:rPr>
                <w:rFonts w:cstheme="minorHAnsi"/>
                <w:sz w:val="24"/>
                <w:szCs w:val="24"/>
              </w:rPr>
            </w:pPr>
            <w:r>
              <w:rPr>
                <w:rFonts w:cstheme="minorHAnsi"/>
                <w:sz w:val="24"/>
                <w:szCs w:val="24"/>
              </w:rPr>
              <w:t>22</w:t>
            </w:r>
          </w:p>
        </w:tc>
        <w:tc>
          <w:tcPr>
            <w:tcW w:w="2049" w:type="dxa"/>
          </w:tcPr>
          <w:p w14:paraId="51E37C53" w14:textId="745FB27C" w:rsidR="00B31E3D" w:rsidRPr="00BF6473" w:rsidRDefault="009C6214" w:rsidP="00954233">
            <w:pPr>
              <w:pStyle w:val="TableParagraph"/>
              <w:keepLines/>
              <w:rPr>
                <w:rFonts w:cstheme="minorHAnsi"/>
                <w:sz w:val="24"/>
                <w:szCs w:val="24"/>
              </w:rPr>
            </w:pPr>
            <w:r w:rsidRPr="001A3E6C">
              <w:rPr>
                <w:rFonts w:cstheme="minorHAnsi"/>
                <w:sz w:val="24"/>
                <w:szCs w:val="24"/>
              </w:rPr>
              <w:t>Pr</w:t>
            </w:r>
            <w:r w:rsidR="00527332">
              <w:rPr>
                <w:rFonts w:cstheme="minorHAnsi"/>
                <w:sz w:val="24"/>
                <w:szCs w:val="24"/>
              </w:rPr>
              <w:t>e-</w:t>
            </w:r>
            <w:r w:rsidRPr="00BF6473">
              <w:rPr>
                <w:rFonts w:cstheme="minorHAnsi"/>
                <w:sz w:val="24"/>
                <w:szCs w:val="24"/>
              </w:rPr>
              <w:t>SRC27</w:t>
            </w:r>
            <w:r w:rsidR="004A41A2" w:rsidRPr="00BF6473">
              <w:rPr>
                <w:rFonts w:cstheme="minorHAnsi"/>
                <w:sz w:val="24"/>
                <w:szCs w:val="24"/>
              </w:rPr>
              <w:tab/>
            </w:r>
            <w:r w:rsidR="004A41A2" w:rsidRPr="00BF6473">
              <w:rPr>
                <w:rFonts w:cstheme="minorHAnsi"/>
                <w:sz w:val="24"/>
                <w:szCs w:val="24"/>
              </w:rPr>
              <w:tab/>
            </w:r>
            <w:r w:rsidR="004A41A2" w:rsidRPr="00BF6473">
              <w:rPr>
                <w:rFonts w:cstheme="minorHAnsi"/>
                <w:sz w:val="24"/>
                <w:szCs w:val="24"/>
              </w:rPr>
              <w:tab/>
            </w:r>
          </w:p>
        </w:tc>
        <w:tc>
          <w:tcPr>
            <w:tcW w:w="7299" w:type="dxa"/>
          </w:tcPr>
          <w:p w14:paraId="1F255B9D" w14:textId="2251F64E" w:rsidR="00B31E3D" w:rsidRPr="00BF6473" w:rsidRDefault="004A41A2" w:rsidP="00954233">
            <w:pPr>
              <w:pStyle w:val="TableParagraph"/>
              <w:keepLines/>
              <w:rPr>
                <w:rFonts w:cstheme="minorHAnsi"/>
                <w:sz w:val="24"/>
                <w:szCs w:val="24"/>
              </w:rPr>
            </w:pPr>
            <w:r w:rsidRPr="00BF6473">
              <w:rPr>
                <w:rFonts w:cstheme="minorHAnsi"/>
                <w:sz w:val="24"/>
                <w:szCs w:val="24"/>
              </w:rPr>
              <w:t xml:space="preserve">The </w:t>
            </w:r>
            <w:r w:rsidR="00477850" w:rsidRPr="00BF6473">
              <w:rPr>
                <w:rFonts w:cstheme="minorHAnsi"/>
                <w:sz w:val="24"/>
                <w:szCs w:val="24"/>
              </w:rPr>
              <w:t xml:space="preserve">total </w:t>
            </w:r>
            <w:r w:rsidR="002C7315">
              <w:rPr>
                <w:rFonts w:cstheme="minorHAnsi"/>
                <w:sz w:val="24"/>
                <w:szCs w:val="24"/>
              </w:rPr>
              <w:t xml:space="preserve">post-efficiency </w:t>
            </w:r>
            <w:r w:rsidR="00116FED" w:rsidRPr="00BF6473">
              <w:rPr>
                <w:rFonts w:cstheme="minorHAnsi"/>
                <w:sz w:val="24"/>
                <w:szCs w:val="24"/>
              </w:rPr>
              <w:t>capital</w:t>
            </w:r>
            <w:r w:rsidR="002862C6" w:rsidRPr="00BF6473">
              <w:rPr>
                <w:rFonts w:cstheme="minorHAnsi"/>
                <w:sz w:val="24"/>
                <w:szCs w:val="24"/>
              </w:rPr>
              <w:t xml:space="preserve"> </w:t>
            </w:r>
            <w:r w:rsidRPr="00BF6473">
              <w:rPr>
                <w:rFonts w:cstheme="minorHAnsi"/>
                <w:sz w:val="24"/>
                <w:szCs w:val="24"/>
              </w:rPr>
              <w:t xml:space="preserve">expenditure </w:t>
            </w:r>
            <w:r w:rsidR="00477850" w:rsidRPr="00BF6473">
              <w:rPr>
                <w:rFonts w:cstheme="minorHAnsi"/>
                <w:sz w:val="24"/>
                <w:szCs w:val="24"/>
              </w:rPr>
              <w:t>prior to</w:t>
            </w:r>
            <w:r w:rsidRPr="00BF6473">
              <w:rPr>
                <w:rFonts w:cstheme="minorHAnsi"/>
                <w:sz w:val="24"/>
                <w:szCs w:val="24"/>
              </w:rPr>
              <w:t xml:space="preserve"> the SRC27 period for </w:t>
            </w:r>
            <w:r w:rsidR="000E5AF3">
              <w:rPr>
                <w:rFonts w:cstheme="minorHAnsi"/>
                <w:sz w:val="24"/>
                <w:szCs w:val="24"/>
              </w:rPr>
              <w:t>the project or programme</w:t>
            </w:r>
            <w:r w:rsidR="00370E76">
              <w:rPr>
                <w:rFonts w:cstheme="minorHAnsi"/>
                <w:sz w:val="24"/>
                <w:szCs w:val="24"/>
              </w:rPr>
              <w:t>.</w:t>
            </w:r>
          </w:p>
        </w:tc>
        <w:tc>
          <w:tcPr>
            <w:tcW w:w="1699" w:type="dxa"/>
          </w:tcPr>
          <w:p w14:paraId="7738593E" w14:textId="09C322AA" w:rsidR="00B31E3D" w:rsidRPr="00BF6473" w:rsidRDefault="004A41A2" w:rsidP="00954233">
            <w:pPr>
              <w:pStyle w:val="TableParagraph"/>
              <w:keepLines/>
              <w:rPr>
                <w:rFonts w:cstheme="minorHAnsi"/>
                <w:sz w:val="24"/>
                <w:szCs w:val="24"/>
              </w:rPr>
            </w:pPr>
            <w:r w:rsidRPr="00BF6473">
              <w:rPr>
                <w:rFonts w:cstheme="minorHAnsi"/>
                <w:sz w:val="24"/>
                <w:szCs w:val="24"/>
              </w:rPr>
              <w:t xml:space="preserve">£m in 2024-25 price base </w:t>
            </w:r>
          </w:p>
        </w:tc>
        <w:tc>
          <w:tcPr>
            <w:tcW w:w="2239" w:type="dxa"/>
          </w:tcPr>
          <w:p w14:paraId="1AA10B9C" w14:textId="4C50BC4D" w:rsidR="00892DD2" w:rsidRPr="00BF6473" w:rsidRDefault="00892DD2" w:rsidP="00ED2B63">
            <w:pPr>
              <w:pStyle w:val="TableParagraph"/>
              <w:rPr>
                <w:rFonts w:cstheme="minorHAnsi"/>
                <w:sz w:val="24"/>
                <w:szCs w:val="24"/>
              </w:rPr>
            </w:pPr>
            <w:r w:rsidRPr="00BF6473">
              <w:rPr>
                <w:rFonts w:cstheme="minorHAnsi"/>
                <w:sz w:val="24"/>
                <w:szCs w:val="24"/>
              </w:rPr>
              <w:t>66</w:t>
            </w:r>
          </w:p>
        </w:tc>
      </w:tr>
      <w:tr w:rsidR="00122741" w:rsidRPr="00240E3D" w14:paraId="7C82521E" w14:textId="4617ED41" w:rsidTr="00954233">
        <w:tc>
          <w:tcPr>
            <w:tcW w:w="1284" w:type="dxa"/>
          </w:tcPr>
          <w:p w14:paraId="16B6ACC3" w14:textId="6E26E10F" w:rsidR="00122741" w:rsidRPr="00BF6473" w:rsidRDefault="005315C2" w:rsidP="004A41A2">
            <w:pPr>
              <w:pStyle w:val="TableParagraph"/>
              <w:rPr>
                <w:rFonts w:cstheme="minorHAnsi"/>
                <w:sz w:val="24"/>
                <w:szCs w:val="24"/>
              </w:rPr>
            </w:pPr>
            <w:r>
              <w:rPr>
                <w:rFonts w:cstheme="minorHAnsi"/>
                <w:sz w:val="24"/>
                <w:szCs w:val="24"/>
              </w:rPr>
              <w:t>23</w:t>
            </w:r>
            <w:r w:rsidR="008D5D65">
              <w:rPr>
                <w:rFonts w:cstheme="minorHAnsi"/>
                <w:sz w:val="24"/>
                <w:szCs w:val="24"/>
              </w:rPr>
              <w:t xml:space="preserve"> to 2</w:t>
            </w:r>
            <w:r w:rsidR="00F52004">
              <w:rPr>
                <w:rFonts w:cstheme="minorHAnsi"/>
                <w:sz w:val="24"/>
                <w:szCs w:val="24"/>
              </w:rPr>
              <w:t>8</w:t>
            </w:r>
          </w:p>
        </w:tc>
        <w:tc>
          <w:tcPr>
            <w:tcW w:w="2049" w:type="dxa"/>
          </w:tcPr>
          <w:p w14:paraId="3C6DD2F0" w14:textId="0D1713BF" w:rsidR="00122741" w:rsidRPr="00BF6473" w:rsidRDefault="000E7C1C" w:rsidP="004A41A2">
            <w:pPr>
              <w:pStyle w:val="TableParagraph"/>
              <w:rPr>
                <w:rFonts w:cstheme="minorHAnsi"/>
                <w:sz w:val="24"/>
                <w:szCs w:val="24"/>
              </w:rPr>
            </w:pPr>
            <w:r w:rsidRPr="00BF6473">
              <w:rPr>
                <w:rFonts w:cstheme="minorHAnsi"/>
                <w:sz w:val="24"/>
                <w:szCs w:val="24"/>
              </w:rPr>
              <w:t>Year 1 to 6</w:t>
            </w:r>
          </w:p>
        </w:tc>
        <w:tc>
          <w:tcPr>
            <w:tcW w:w="7299" w:type="dxa"/>
          </w:tcPr>
          <w:p w14:paraId="5C4219D4" w14:textId="0631FE37" w:rsidR="00122741" w:rsidRPr="00BF6473" w:rsidRDefault="000E7C1C" w:rsidP="004A41A2">
            <w:pPr>
              <w:pStyle w:val="TableParagraph"/>
              <w:rPr>
                <w:rFonts w:cstheme="minorHAnsi"/>
                <w:sz w:val="24"/>
                <w:szCs w:val="24"/>
              </w:rPr>
            </w:pPr>
            <w:r w:rsidRPr="00BF6473">
              <w:rPr>
                <w:rFonts w:cstheme="minorHAnsi"/>
                <w:sz w:val="24"/>
                <w:szCs w:val="24"/>
              </w:rPr>
              <w:t xml:space="preserve">The </w:t>
            </w:r>
            <w:r w:rsidR="002C7315">
              <w:rPr>
                <w:rFonts w:cstheme="minorHAnsi"/>
                <w:sz w:val="24"/>
                <w:szCs w:val="24"/>
              </w:rPr>
              <w:t xml:space="preserve">post-efficiency </w:t>
            </w:r>
            <w:r w:rsidRPr="00BF6473">
              <w:rPr>
                <w:rFonts w:cstheme="minorHAnsi"/>
                <w:sz w:val="24"/>
                <w:szCs w:val="24"/>
              </w:rPr>
              <w:t xml:space="preserve">capital expenditure </w:t>
            </w:r>
            <w:r w:rsidR="00460CC3" w:rsidRPr="00BF6473">
              <w:rPr>
                <w:rFonts w:cstheme="minorHAnsi"/>
                <w:sz w:val="24"/>
                <w:szCs w:val="24"/>
              </w:rPr>
              <w:t xml:space="preserve">for each year of </w:t>
            </w:r>
            <w:r w:rsidRPr="00BF6473">
              <w:rPr>
                <w:rFonts w:cstheme="minorHAnsi"/>
                <w:sz w:val="24"/>
                <w:szCs w:val="24"/>
              </w:rPr>
              <w:t xml:space="preserve">the SRC27 period for </w:t>
            </w:r>
            <w:r w:rsidR="003A6C11">
              <w:rPr>
                <w:rFonts w:cstheme="minorHAnsi"/>
                <w:sz w:val="24"/>
                <w:szCs w:val="24"/>
              </w:rPr>
              <w:t>the project or programme</w:t>
            </w:r>
            <w:r w:rsidR="00370E76">
              <w:rPr>
                <w:rFonts w:cstheme="minorHAnsi"/>
                <w:sz w:val="24"/>
                <w:szCs w:val="24"/>
              </w:rPr>
              <w:t>.</w:t>
            </w:r>
          </w:p>
        </w:tc>
        <w:tc>
          <w:tcPr>
            <w:tcW w:w="1699" w:type="dxa"/>
          </w:tcPr>
          <w:p w14:paraId="6EE5AF48" w14:textId="03319DFB" w:rsidR="00122741" w:rsidRPr="00BF6473" w:rsidRDefault="000E7C1C" w:rsidP="004A41A2">
            <w:pPr>
              <w:pStyle w:val="TableParagraph"/>
              <w:rPr>
                <w:rFonts w:cstheme="minorHAnsi"/>
                <w:sz w:val="24"/>
                <w:szCs w:val="24"/>
              </w:rPr>
            </w:pPr>
            <w:r w:rsidRPr="00BF6473">
              <w:rPr>
                <w:rFonts w:cstheme="minorHAnsi"/>
                <w:sz w:val="24"/>
                <w:szCs w:val="24"/>
              </w:rPr>
              <w:t xml:space="preserve">£m in 2024-25 price base </w:t>
            </w:r>
          </w:p>
        </w:tc>
        <w:tc>
          <w:tcPr>
            <w:tcW w:w="2239" w:type="dxa"/>
          </w:tcPr>
          <w:p w14:paraId="03C80A15" w14:textId="7A54696F" w:rsidR="00FE221F" w:rsidRPr="00BF6473" w:rsidRDefault="00FE221F" w:rsidP="00ED2B63">
            <w:pPr>
              <w:pStyle w:val="TableParagraph"/>
              <w:rPr>
                <w:rFonts w:cstheme="minorHAnsi"/>
                <w:sz w:val="24"/>
                <w:szCs w:val="24"/>
              </w:rPr>
            </w:pPr>
            <w:r w:rsidRPr="00BF6473">
              <w:rPr>
                <w:rFonts w:cstheme="minorHAnsi"/>
                <w:sz w:val="24"/>
                <w:szCs w:val="24"/>
              </w:rPr>
              <w:t>67-7</w:t>
            </w:r>
            <w:r w:rsidR="008B1F21">
              <w:rPr>
                <w:rFonts w:cstheme="minorHAnsi"/>
                <w:sz w:val="24"/>
                <w:szCs w:val="24"/>
              </w:rPr>
              <w:t>2</w:t>
            </w:r>
          </w:p>
        </w:tc>
      </w:tr>
      <w:tr w:rsidR="00122741" w:rsidRPr="00240E3D" w14:paraId="57EB268A" w14:textId="6EE4B43B" w:rsidTr="00954233">
        <w:tc>
          <w:tcPr>
            <w:tcW w:w="1284" w:type="dxa"/>
          </w:tcPr>
          <w:p w14:paraId="7921C839" w14:textId="64950185" w:rsidR="00122741" w:rsidRPr="00BF6473" w:rsidRDefault="008D5D65" w:rsidP="004A41A2">
            <w:pPr>
              <w:pStyle w:val="TableParagraph"/>
              <w:rPr>
                <w:rFonts w:cstheme="minorHAnsi"/>
                <w:sz w:val="24"/>
                <w:szCs w:val="24"/>
              </w:rPr>
            </w:pPr>
            <w:r>
              <w:rPr>
                <w:rFonts w:cstheme="minorHAnsi"/>
                <w:sz w:val="24"/>
                <w:szCs w:val="24"/>
              </w:rPr>
              <w:t>2</w:t>
            </w:r>
            <w:r w:rsidR="00F52004">
              <w:rPr>
                <w:rFonts w:cstheme="minorHAnsi"/>
                <w:sz w:val="24"/>
                <w:szCs w:val="24"/>
              </w:rPr>
              <w:t>9</w:t>
            </w:r>
          </w:p>
        </w:tc>
        <w:tc>
          <w:tcPr>
            <w:tcW w:w="2049" w:type="dxa"/>
          </w:tcPr>
          <w:p w14:paraId="671A787F" w14:textId="47CBC7F8" w:rsidR="00122741" w:rsidRPr="00B371B6" w:rsidRDefault="0096274B" w:rsidP="004A41A2">
            <w:pPr>
              <w:pStyle w:val="TableParagraph"/>
              <w:rPr>
                <w:rFonts w:cstheme="minorHAnsi"/>
                <w:sz w:val="24"/>
                <w:szCs w:val="24"/>
              </w:rPr>
            </w:pPr>
            <w:r w:rsidRPr="00B371B6">
              <w:rPr>
                <w:rFonts w:cstheme="minorHAnsi"/>
                <w:sz w:val="24"/>
                <w:szCs w:val="24"/>
              </w:rPr>
              <w:t xml:space="preserve">Total </w:t>
            </w:r>
            <w:r w:rsidR="00527332">
              <w:rPr>
                <w:rFonts w:cstheme="minorHAnsi"/>
                <w:sz w:val="24"/>
                <w:szCs w:val="24"/>
              </w:rPr>
              <w:t xml:space="preserve">in </w:t>
            </w:r>
            <w:r w:rsidRPr="00B371B6">
              <w:rPr>
                <w:rFonts w:cstheme="minorHAnsi"/>
                <w:sz w:val="24"/>
                <w:szCs w:val="24"/>
              </w:rPr>
              <w:t>SRC27</w:t>
            </w:r>
          </w:p>
        </w:tc>
        <w:tc>
          <w:tcPr>
            <w:tcW w:w="7299" w:type="dxa"/>
          </w:tcPr>
          <w:p w14:paraId="7D8D81FD" w14:textId="672B1AB9" w:rsidR="00122741" w:rsidRPr="00B371B6" w:rsidRDefault="0096274B" w:rsidP="004A41A2">
            <w:pPr>
              <w:pStyle w:val="TableParagraph"/>
              <w:rPr>
                <w:rFonts w:cstheme="minorHAnsi"/>
                <w:sz w:val="24"/>
                <w:szCs w:val="24"/>
              </w:rPr>
            </w:pPr>
            <w:r w:rsidRPr="00B371B6">
              <w:rPr>
                <w:rFonts w:cstheme="minorHAnsi"/>
                <w:sz w:val="24"/>
                <w:szCs w:val="24"/>
              </w:rPr>
              <w:t xml:space="preserve">The total </w:t>
            </w:r>
            <w:r w:rsidR="002C7315">
              <w:rPr>
                <w:rFonts w:cstheme="minorHAnsi"/>
                <w:sz w:val="24"/>
                <w:szCs w:val="24"/>
              </w:rPr>
              <w:t xml:space="preserve">post-efficiency </w:t>
            </w:r>
            <w:r w:rsidRPr="00B371B6">
              <w:rPr>
                <w:rFonts w:cstheme="minorHAnsi"/>
                <w:sz w:val="24"/>
                <w:szCs w:val="24"/>
              </w:rPr>
              <w:t>capital expenditure over</w:t>
            </w:r>
            <w:r w:rsidDel="002C7315">
              <w:rPr>
                <w:rFonts w:cstheme="minorHAnsi"/>
                <w:sz w:val="24"/>
                <w:szCs w:val="24"/>
              </w:rPr>
              <w:t xml:space="preserve"> </w:t>
            </w:r>
            <w:r w:rsidRPr="00B371B6">
              <w:rPr>
                <w:rFonts w:cstheme="minorHAnsi"/>
                <w:sz w:val="24"/>
                <w:szCs w:val="24"/>
              </w:rPr>
              <w:t xml:space="preserve">the SRC27 period for </w:t>
            </w:r>
            <w:r w:rsidR="002C7315">
              <w:rPr>
                <w:rFonts w:cstheme="minorHAnsi"/>
                <w:sz w:val="24"/>
                <w:szCs w:val="24"/>
              </w:rPr>
              <w:t>the project or programme</w:t>
            </w:r>
            <w:r w:rsidR="00370E76">
              <w:rPr>
                <w:rFonts w:cstheme="minorHAnsi"/>
                <w:sz w:val="24"/>
                <w:szCs w:val="24"/>
              </w:rPr>
              <w:t>.</w:t>
            </w:r>
          </w:p>
        </w:tc>
        <w:tc>
          <w:tcPr>
            <w:tcW w:w="1699" w:type="dxa"/>
          </w:tcPr>
          <w:p w14:paraId="38C0CFA8" w14:textId="011AB0E2" w:rsidR="00122741" w:rsidRPr="00B371B6" w:rsidRDefault="00E7005F" w:rsidP="004A41A2">
            <w:pPr>
              <w:pStyle w:val="TableParagraph"/>
              <w:rPr>
                <w:rFonts w:cstheme="minorHAnsi"/>
                <w:sz w:val="24"/>
                <w:szCs w:val="24"/>
              </w:rPr>
            </w:pPr>
            <w:r w:rsidRPr="00B371B6">
              <w:rPr>
                <w:rFonts w:cstheme="minorHAnsi"/>
                <w:sz w:val="24"/>
                <w:szCs w:val="24"/>
              </w:rPr>
              <w:t>£m in 2024-25 price base</w:t>
            </w:r>
          </w:p>
        </w:tc>
        <w:tc>
          <w:tcPr>
            <w:tcW w:w="2239" w:type="dxa"/>
          </w:tcPr>
          <w:p w14:paraId="3813D1D7" w14:textId="5FCD33DA" w:rsidR="00FE221F" w:rsidRPr="00B371B6" w:rsidRDefault="00FE221F" w:rsidP="00ED2B63">
            <w:pPr>
              <w:pStyle w:val="TableParagraph"/>
              <w:rPr>
                <w:rFonts w:cstheme="minorHAnsi"/>
                <w:sz w:val="24"/>
                <w:szCs w:val="24"/>
              </w:rPr>
            </w:pPr>
            <w:r w:rsidRPr="00B371B6">
              <w:rPr>
                <w:rFonts w:cstheme="minorHAnsi"/>
                <w:sz w:val="24"/>
                <w:szCs w:val="24"/>
              </w:rPr>
              <w:t>77</w:t>
            </w:r>
          </w:p>
        </w:tc>
      </w:tr>
      <w:tr w:rsidR="000E7C1C" w:rsidRPr="00240E3D" w14:paraId="232A877C" w14:textId="24C0DA1E" w:rsidTr="00954233">
        <w:tc>
          <w:tcPr>
            <w:tcW w:w="1284" w:type="dxa"/>
          </w:tcPr>
          <w:p w14:paraId="733A0955" w14:textId="43683BEF" w:rsidR="000E7C1C" w:rsidRPr="00B371B6" w:rsidRDefault="00F52004" w:rsidP="000E7C1C">
            <w:pPr>
              <w:pStyle w:val="TableParagraph"/>
              <w:rPr>
                <w:rFonts w:cstheme="minorHAnsi"/>
                <w:sz w:val="24"/>
                <w:szCs w:val="24"/>
              </w:rPr>
            </w:pPr>
            <w:r>
              <w:rPr>
                <w:rFonts w:cstheme="minorHAnsi"/>
                <w:sz w:val="24"/>
                <w:szCs w:val="24"/>
              </w:rPr>
              <w:t>30</w:t>
            </w:r>
          </w:p>
        </w:tc>
        <w:tc>
          <w:tcPr>
            <w:tcW w:w="2049" w:type="dxa"/>
          </w:tcPr>
          <w:p w14:paraId="4BED458D" w14:textId="557C3D18" w:rsidR="000E7C1C" w:rsidRPr="001C7CE5" w:rsidRDefault="00E7005F" w:rsidP="000E7C1C">
            <w:pPr>
              <w:pStyle w:val="TableParagraph"/>
              <w:rPr>
                <w:rFonts w:cstheme="minorHAnsi"/>
                <w:sz w:val="24"/>
                <w:szCs w:val="24"/>
              </w:rPr>
            </w:pPr>
            <w:r w:rsidRPr="00622167">
              <w:rPr>
                <w:rFonts w:cstheme="minorHAnsi"/>
                <w:sz w:val="24"/>
                <w:szCs w:val="24"/>
              </w:rPr>
              <w:t>Total risk allowance</w:t>
            </w:r>
            <w:r w:rsidR="00527332">
              <w:rPr>
                <w:rFonts w:cstheme="minorHAnsi"/>
                <w:sz w:val="24"/>
                <w:szCs w:val="24"/>
              </w:rPr>
              <w:t xml:space="preserve"> in SRC27</w:t>
            </w:r>
          </w:p>
        </w:tc>
        <w:tc>
          <w:tcPr>
            <w:tcW w:w="7299" w:type="dxa"/>
          </w:tcPr>
          <w:p w14:paraId="28011691" w14:textId="77777777" w:rsidR="000E7C1C" w:rsidRDefault="00B9720F" w:rsidP="000E7C1C">
            <w:pPr>
              <w:pStyle w:val="TableParagraph"/>
              <w:rPr>
                <w:rFonts w:cstheme="minorHAnsi"/>
                <w:sz w:val="24"/>
                <w:szCs w:val="24"/>
              </w:rPr>
            </w:pPr>
            <w:r w:rsidRPr="001C7CE5">
              <w:rPr>
                <w:rFonts w:cstheme="minorHAnsi"/>
                <w:sz w:val="24"/>
                <w:szCs w:val="24"/>
              </w:rPr>
              <w:t>The project</w:t>
            </w:r>
            <w:r w:rsidR="00F01963">
              <w:rPr>
                <w:rFonts w:cstheme="minorHAnsi"/>
                <w:sz w:val="24"/>
                <w:szCs w:val="24"/>
              </w:rPr>
              <w:t>/programme</w:t>
            </w:r>
            <w:r w:rsidRPr="001C7CE5">
              <w:rPr>
                <w:rFonts w:cstheme="minorHAnsi"/>
                <w:sz w:val="24"/>
                <w:szCs w:val="24"/>
              </w:rPr>
              <w:t xml:space="preserve"> expenditure that relates to an allowance for risk</w:t>
            </w:r>
            <w:r w:rsidR="001A039D" w:rsidRPr="001C7CE5">
              <w:rPr>
                <w:rFonts w:cstheme="minorHAnsi"/>
                <w:sz w:val="24"/>
                <w:szCs w:val="24"/>
              </w:rPr>
              <w:t xml:space="preserve"> in the SRC27 period</w:t>
            </w:r>
            <w:r w:rsidRPr="001C7CE5">
              <w:rPr>
                <w:rFonts w:cstheme="minorHAnsi"/>
                <w:sz w:val="24"/>
                <w:szCs w:val="24"/>
              </w:rPr>
              <w:t xml:space="preserve">. This should include Scottish Water’s allowance for site-specific and </w:t>
            </w:r>
            <w:r w:rsidRPr="001C7CE5" w:rsidDel="00F01963">
              <w:rPr>
                <w:rFonts w:cstheme="minorHAnsi"/>
                <w:sz w:val="24"/>
                <w:szCs w:val="24"/>
              </w:rPr>
              <w:t>programme</w:t>
            </w:r>
            <w:r w:rsidR="00F01963">
              <w:rPr>
                <w:rFonts w:cstheme="minorHAnsi"/>
                <w:sz w:val="24"/>
                <w:szCs w:val="24"/>
              </w:rPr>
              <w:t>-</w:t>
            </w:r>
            <w:r w:rsidRPr="001C7CE5">
              <w:rPr>
                <w:rFonts w:cstheme="minorHAnsi"/>
                <w:sz w:val="24"/>
                <w:szCs w:val="24"/>
              </w:rPr>
              <w:t>wide uplift for risk</w:t>
            </w:r>
            <w:r w:rsidR="00F01963">
              <w:rPr>
                <w:rFonts w:cstheme="minorHAnsi"/>
                <w:sz w:val="24"/>
                <w:szCs w:val="24"/>
              </w:rPr>
              <w:t>.</w:t>
            </w:r>
          </w:p>
          <w:p w14:paraId="658D75CF" w14:textId="77777777" w:rsidR="006E51F6" w:rsidRDefault="006E51F6" w:rsidP="000E7C1C">
            <w:pPr>
              <w:pStyle w:val="TableParagraph"/>
              <w:rPr>
                <w:rFonts w:cstheme="minorHAnsi"/>
                <w:sz w:val="24"/>
                <w:szCs w:val="24"/>
              </w:rPr>
            </w:pPr>
          </w:p>
          <w:p w14:paraId="6892094A" w14:textId="3DA41DF2" w:rsidR="006E51F6" w:rsidRPr="001C7CE5" w:rsidRDefault="006E51F6" w:rsidP="000E7C1C">
            <w:pPr>
              <w:pStyle w:val="TableParagraph"/>
              <w:rPr>
                <w:rFonts w:cstheme="minorHAnsi"/>
                <w:sz w:val="24"/>
                <w:szCs w:val="24"/>
              </w:rPr>
            </w:pPr>
            <w:r>
              <w:rPr>
                <w:rFonts w:cstheme="minorHAnsi"/>
                <w:sz w:val="24"/>
                <w:szCs w:val="24"/>
              </w:rPr>
              <w:t xml:space="preserve">For the avoidance of doubt, this column should show the risk allowance </w:t>
            </w:r>
            <w:r w:rsidR="00F04204">
              <w:rPr>
                <w:rFonts w:cstheme="minorHAnsi"/>
                <w:sz w:val="24"/>
                <w:szCs w:val="24"/>
              </w:rPr>
              <w:t xml:space="preserve">included in the expenditure </w:t>
            </w:r>
            <w:r w:rsidR="002B0550">
              <w:rPr>
                <w:rFonts w:cstheme="minorHAnsi"/>
                <w:sz w:val="24"/>
                <w:szCs w:val="24"/>
              </w:rPr>
              <w:t>in the</w:t>
            </w:r>
            <w:r w:rsidR="00F04204">
              <w:rPr>
                <w:rFonts w:cstheme="minorHAnsi"/>
                <w:sz w:val="24"/>
                <w:szCs w:val="24"/>
              </w:rPr>
              <w:t xml:space="preserve"> previous columns</w:t>
            </w:r>
            <w:r w:rsidR="002B0550">
              <w:rPr>
                <w:rFonts w:cstheme="minorHAnsi"/>
                <w:sz w:val="24"/>
                <w:szCs w:val="24"/>
              </w:rPr>
              <w:t>.</w:t>
            </w:r>
          </w:p>
        </w:tc>
        <w:tc>
          <w:tcPr>
            <w:tcW w:w="1699" w:type="dxa"/>
          </w:tcPr>
          <w:p w14:paraId="457B3845" w14:textId="5602A6A1" w:rsidR="000E7C1C" w:rsidRPr="001C7CE5" w:rsidRDefault="00AA48F6" w:rsidP="000E7C1C">
            <w:pPr>
              <w:pStyle w:val="TableParagraph"/>
              <w:rPr>
                <w:rFonts w:cstheme="minorHAnsi"/>
                <w:sz w:val="24"/>
                <w:szCs w:val="24"/>
              </w:rPr>
            </w:pPr>
            <w:r w:rsidRPr="001C7CE5">
              <w:rPr>
                <w:rFonts w:cstheme="minorHAnsi"/>
                <w:sz w:val="24"/>
                <w:szCs w:val="24"/>
              </w:rPr>
              <w:t>£m in 2024-25 price base</w:t>
            </w:r>
          </w:p>
        </w:tc>
        <w:tc>
          <w:tcPr>
            <w:tcW w:w="2239" w:type="dxa"/>
          </w:tcPr>
          <w:p w14:paraId="50DC02C0" w14:textId="77777777" w:rsidR="00ED2B63" w:rsidRPr="001C7CE5" w:rsidRDefault="00ED2B63" w:rsidP="00ED2B63">
            <w:pPr>
              <w:pStyle w:val="TableParagraph"/>
              <w:rPr>
                <w:rFonts w:cstheme="minorHAnsi"/>
                <w:sz w:val="24"/>
                <w:szCs w:val="24"/>
              </w:rPr>
            </w:pPr>
          </w:p>
        </w:tc>
      </w:tr>
      <w:tr w:rsidR="000E7C1C" w:rsidRPr="00240E3D" w14:paraId="4FF14E26" w14:textId="66CD9BB4" w:rsidTr="00954233">
        <w:tc>
          <w:tcPr>
            <w:tcW w:w="1284" w:type="dxa"/>
          </w:tcPr>
          <w:p w14:paraId="41F6FE52" w14:textId="1A7E000B" w:rsidR="000E7C1C" w:rsidRPr="001C7CE5" w:rsidRDefault="00F52004" w:rsidP="000E7C1C">
            <w:pPr>
              <w:pStyle w:val="TableParagraph"/>
              <w:rPr>
                <w:rFonts w:cstheme="minorHAnsi"/>
                <w:sz w:val="24"/>
                <w:szCs w:val="24"/>
              </w:rPr>
            </w:pPr>
            <w:r>
              <w:rPr>
                <w:rFonts w:cstheme="minorHAnsi"/>
                <w:sz w:val="24"/>
                <w:szCs w:val="24"/>
              </w:rPr>
              <w:t>31</w:t>
            </w:r>
            <w:r w:rsidR="00A57679">
              <w:rPr>
                <w:rFonts w:cstheme="minorHAnsi"/>
                <w:sz w:val="24"/>
                <w:szCs w:val="24"/>
              </w:rPr>
              <w:t xml:space="preserve"> to 3</w:t>
            </w:r>
            <w:r w:rsidR="003A1E7C">
              <w:rPr>
                <w:rFonts w:cstheme="minorHAnsi"/>
                <w:sz w:val="24"/>
                <w:szCs w:val="24"/>
              </w:rPr>
              <w:t>3</w:t>
            </w:r>
          </w:p>
        </w:tc>
        <w:tc>
          <w:tcPr>
            <w:tcW w:w="2049" w:type="dxa"/>
          </w:tcPr>
          <w:p w14:paraId="5522B4B4" w14:textId="62DD62EF" w:rsidR="000E7C1C" w:rsidRPr="001C7CE5" w:rsidRDefault="00CB7D94" w:rsidP="000E7C1C">
            <w:pPr>
              <w:pStyle w:val="TableParagraph"/>
              <w:rPr>
                <w:rFonts w:cstheme="minorHAnsi"/>
                <w:sz w:val="24"/>
                <w:szCs w:val="24"/>
              </w:rPr>
            </w:pPr>
            <w:r w:rsidRPr="001C7CE5">
              <w:rPr>
                <w:rFonts w:cstheme="minorHAnsi"/>
                <w:sz w:val="24"/>
                <w:szCs w:val="24"/>
              </w:rPr>
              <w:t>SRC</w:t>
            </w:r>
            <w:r w:rsidR="004C44CF" w:rsidRPr="001C7CE5">
              <w:rPr>
                <w:rFonts w:cstheme="minorHAnsi"/>
                <w:sz w:val="24"/>
                <w:szCs w:val="24"/>
              </w:rPr>
              <w:t>33,</w:t>
            </w:r>
            <w:r w:rsidR="00ED2B63" w:rsidRPr="001C7CE5">
              <w:rPr>
                <w:rFonts w:cstheme="minorHAnsi"/>
                <w:sz w:val="24"/>
                <w:szCs w:val="24"/>
              </w:rPr>
              <w:t xml:space="preserve"> </w:t>
            </w:r>
            <w:r w:rsidR="00B85DC1">
              <w:rPr>
                <w:rFonts w:cstheme="minorHAnsi"/>
                <w:sz w:val="24"/>
                <w:szCs w:val="24"/>
              </w:rPr>
              <w:t>SRC</w:t>
            </w:r>
            <w:r w:rsidR="004C44CF" w:rsidRPr="001C7CE5">
              <w:rPr>
                <w:rFonts w:cstheme="minorHAnsi"/>
                <w:sz w:val="24"/>
                <w:szCs w:val="24"/>
              </w:rPr>
              <w:t>39,</w:t>
            </w:r>
            <w:r w:rsidR="00613D49" w:rsidRPr="001C7CE5">
              <w:rPr>
                <w:rFonts w:cstheme="minorHAnsi"/>
                <w:sz w:val="24"/>
                <w:szCs w:val="24"/>
              </w:rPr>
              <w:t xml:space="preserve"> and </w:t>
            </w:r>
            <w:r w:rsidR="00B85DC1">
              <w:rPr>
                <w:rFonts w:cstheme="minorHAnsi"/>
                <w:sz w:val="24"/>
                <w:szCs w:val="24"/>
              </w:rPr>
              <w:t>SRC</w:t>
            </w:r>
            <w:r w:rsidR="00613D49" w:rsidRPr="001C7CE5">
              <w:rPr>
                <w:rFonts w:cstheme="minorHAnsi"/>
                <w:sz w:val="24"/>
                <w:szCs w:val="24"/>
              </w:rPr>
              <w:t>45</w:t>
            </w:r>
          </w:p>
        </w:tc>
        <w:tc>
          <w:tcPr>
            <w:tcW w:w="7299" w:type="dxa"/>
          </w:tcPr>
          <w:p w14:paraId="2F7B3535" w14:textId="4D983102" w:rsidR="000E7C1C" w:rsidRPr="001C7CE5" w:rsidRDefault="00613D49" w:rsidP="000E7C1C">
            <w:pPr>
              <w:pStyle w:val="TableParagraph"/>
              <w:rPr>
                <w:rFonts w:cstheme="minorHAnsi"/>
                <w:sz w:val="24"/>
                <w:szCs w:val="24"/>
              </w:rPr>
            </w:pPr>
            <w:r w:rsidRPr="001C7CE5">
              <w:rPr>
                <w:rFonts w:cstheme="minorHAnsi"/>
                <w:sz w:val="24"/>
                <w:szCs w:val="24"/>
              </w:rPr>
              <w:t xml:space="preserve">The total </w:t>
            </w:r>
            <w:r w:rsidR="00F01963">
              <w:rPr>
                <w:rFonts w:cstheme="minorHAnsi"/>
                <w:sz w:val="24"/>
                <w:szCs w:val="24"/>
              </w:rPr>
              <w:t xml:space="preserve">post-efficiency </w:t>
            </w:r>
            <w:r w:rsidRPr="001C7CE5">
              <w:rPr>
                <w:rFonts w:cstheme="minorHAnsi"/>
                <w:sz w:val="24"/>
                <w:szCs w:val="24"/>
              </w:rPr>
              <w:t>capital expenditure over</w:t>
            </w:r>
            <w:r w:rsidR="00F01963">
              <w:rPr>
                <w:rFonts w:cstheme="minorHAnsi"/>
                <w:sz w:val="24"/>
                <w:szCs w:val="24"/>
              </w:rPr>
              <w:t xml:space="preserve"> </w:t>
            </w:r>
            <w:r w:rsidRPr="001C7CE5">
              <w:rPr>
                <w:rFonts w:cstheme="minorHAnsi"/>
                <w:sz w:val="24"/>
                <w:szCs w:val="24"/>
              </w:rPr>
              <w:t>each</w:t>
            </w:r>
            <w:r w:rsidR="00937B8C">
              <w:rPr>
                <w:rFonts w:cstheme="minorHAnsi"/>
                <w:sz w:val="24"/>
                <w:szCs w:val="24"/>
              </w:rPr>
              <w:t xml:space="preserve"> subsequent</w:t>
            </w:r>
            <w:r w:rsidRPr="001C7CE5">
              <w:rPr>
                <w:rFonts w:cstheme="minorHAnsi"/>
                <w:sz w:val="24"/>
                <w:szCs w:val="24"/>
              </w:rPr>
              <w:t xml:space="preserve"> </w:t>
            </w:r>
            <w:r w:rsidR="00937B8C">
              <w:rPr>
                <w:rFonts w:cstheme="minorHAnsi"/>
                <w:sz w:val="24"/>
                <w:szCs w:val="24"/>
              </w:rPr>
              <w:t>regulatory control period</w:t>
            </w:r>
            <w:r w:rsidRPr="001C7CE5">
              <w:rPr>
                <w:rFonts w:cstheme="minorHAnsi"/>
                <w:sz w:val="24"/>
                <w:szCs w:val="24"/>
              </w:rPr>
              <w:t xml:space="preserve"> </w:t>
            </w:r>
            <w:r w:rsidR="00E60186">
              <w:rPr>
                <w:rFonts w:cstheme="minorHAnsi"/>
                <w:sz w:val="24"/>
                <w:szCs w:val="24"/>
              </w:rPr>
              <w:t>after</w:t>
            </w:r>
            <w:r w:rsidR="00E60186" w:rsidRPr="001C7CE5">
              <w:rPr>
                <w:rFonts w:cstheme="minorHAnsi"/>
                <w:sz w:val="24"/>
                <w:szCs w:val="24"/>
              </w:rPr>
              <w:t xml:space="preserve"> </w:t>
            </w:r>
            <w:r w:rsidR="00C35739" w:rsidRPr="001C7CE5">
              <w:rPr>
                <w:rFonts w:cstheme="minorHAnsi"/>
                <w:sz w:val="24"/>
                <w:szCs w:val="24"/>
              </w:rPr>
              <w:t xml:space="preserve">SRC27 </w:t>
            </w:r>
            <w:r w:rsidRPr="001C7CE5">
              <w:rPr>
                <w:rFonts w:cstheme="minorHAnsi"/>
                <w:sz w:val="24"/>
                <w:szCs w:val="24"/>
              </w:rPr>
              <w:t xml:space="preserve">for </w:t>
            </w:r>
            <w:r w:rsidR="00E60186">
              <w:rPr>
                <w:rFonts w:cstheme="minorHAnsi"/>
                <w:sz w:val="24"/>
                <w:szCs w:val="24"/>
              </w:rPr>
              <w:t>the project or programme</w:t>
            </w:r>
            <w:r w:rsidR="00370E76">
              <w:rPr>
                <w:rFonts w:cstheme="minorHAnsi"/>
                <w:sz w:val="24"/>
                <w:szCs w:val="24"/>
              </w:rPr>
              <w:t>.</w:t>
            </w:r>
          </w:p>
        </w:tc>
        <w:tc>
          <w:tcPr>
            <w:tcW w:w="1699" w:type="dxa"/>
          </w:tcPr>
          <w:p w14:paraId="24B50799" w14:textId="62B781F2" w:rsidR="000E7C1C" w:rsidRPr="001C7CE5" w:rsidRDefault="00962E2C" w:rsidP="000E7C1C">
            <w:pPr>
              <w:pStyle w:val="TableParagraph"/>
              <w:rPr>
                <w:rFonts w:cstheme="minorHAnsi"/>
                <w:sz w:val="24"/>
                <w:szCs w:val="24"/>
              </w:rPr>
            </w:pPr>
            <w:r w:rsidRPr="001C7CE5">
              <w:rPr>
                <w:rFonts w:cstheme="minorHAnsi"/>
                <w:sz w:val="24"/>
                <w:szCs w:val="24"/>
              </w:rPr>
              <w:t>£m in 2024-25 price base</w:t>
            </w:r>
          </w:p>
        </w:tc>
        <w:tc>
          <w:tcPr>
            <w:tcW w:w="2239" w:type="dxa"/>
          </w:tcPr>
          <w:p w14:paraId="1673089A" w14:textId="7BE45861" w:rsidR="00A153B1" w:rsidRPr="001C7CE5" w:rsidRDefault="00A153B1" w:rsidP="00ED2B63">
            <w:pPr>
              <w:pStyle w:val="TableParagraph"/>
              <w:rPr>
                <w:rFonts w:cstheme="minorHAnsi"/>
                <w:sz w:val="24"/>
                <w:szCs w:val="24"/>
              </w:rPr>
            </w:pPr>
            <w:r w:rsidRPr="001C7CE5">
              <w:rPr>
                <w:rFonts w:cstheme="minorHAnsi"/>
                <w:sz w:val="24"/>
                <w:szCs w:val="24"/>
              </w:rPr>
              <w:t>74, 75, 7</w:t>
            </w:r>
            <w:r w:rsidR="00E27C90" w:rsidRPr="001C7CE5">
              <w:rPr>
                <w:rFonts w:cstheme="minorHAnsi"/>
                <w:sz w:val="24"/>
                <w:szCs w:val="24"/>
              </w:rPr>
              <w:t>6</w:t>
            </w:r>
          </w:p>
        </w:tc>
      </w:tr>
      <w:tr w:rsidR="00671097" w:rsidRPr="00240E3D" w14:paraId="1F9189FF" w14:textId="0DA9F045" w:rsidTr="00954233">
        <w:tc>
          <w:tcPr>
            <w:tcW w:w="1284" w:type="dxa"/>
          </w:tcPr>
          <w:p w14:paraId="7ED9B3BB" w14:textId="6ED47305" w:rsidR="00671097" w:rsidRPr="001C7CE5" w:rsidRDefault="0034101D" w:rsidP="000E7C1C">
            <w:pPr>
              <w:pStyle w:val="TableParagraph"/>
              <w:rPr>
                <w:rFonts w:cstheme="minorHAnsi"/>
                <w:sz w:val="24"/>
                <w:szCs w:val="24"/>
              </w:rPr>
            </w:pPr>
            <w:r>
              <w:rPr>
                <w:rFonts w:cstheme="minorHAnsi"/>
                <w:sz w:val="24"/>
                <w:szCs w:val="24"/>
              </w:rPr>
              <w:t>3</w:t>
            </w:r>
            <w:r w:rsidR="003A1E7C">
              <w:rPr>
                <w:rFonts w:cstheme="minorHAnsi"/>
                <w:sz w:val="24"/>
                <w:szCs w:val="24"/>
              </w:rPr>
              <w:t>4</w:t>
            </w:r>
          </w:p>
        </w:tc>
        <w:tc>
          <w:tcPr>
            <w:tcW w:w="2049" w:type="dxa"/>
          </w:tcPr>
          <w:p w14:paraId="6DF1F50B" w14:textId="2E99076B" w:rsidR="00671097" w:rsidRPr="001C7CE5" w:rsidRDefault="00C37812" w:rsidP="000E7C1C">
            <w:pPr>
              <w:pStyle w:val="TableParagraph"/>
              <w:rPr>
                <w:rFonts w:cstheme="minorHAnsi"/>
                <w:sz w:val="24"/>
                <w:szCs w:val="24"/>
              </w:rPr>
            </w:pPr>
            <w:r w:rsidRPr="001C7CE5">
              <w:rPr>
                <w:rFonts w:cstheme="minorHAnsi"/>
                <w:sz w:val="24"/>
                <w:szCs w:val="24"/>
              </w:rPr>
              <w:t>Total expenditure</w:t>
            </w:r>
          </w:p>
        </w:tc>
        <w:tc>
          <w:tcPr>
            <w:tcW w:w="7299" w:type="dxa"/>
          </w:tcPr>
          <w:p w14:paraId="7652A3D3" w14:textId="12A875F8" w:rsidR="00671097" w:rsidRPr="001C7CE5" w:rsidRDefault="00BD12FC" w:rsidP="000E7C1C">
            <w:pPr>
              <w:pStyle w:val="TableParagraph"/>
              <w:rPr>
                <w:rFonts w:cstheme="minorHAnsi"/>
                <w:sz w:val="24"/>
                <w:szCs w:val="24"/>
              </w:rPr>
            </w:pPr>
            <w:r w:rsidRPr="001C7CE5">
              <w:rPr>
                <w:rFonts w:cstheme="minorHAnsi"/>
                <w:sz w:val="24"/>
                <w:szCs w:val="24"/>
              </w:rPr>
              <w:t xml:space="preserve">The total </w:t>
            </w:r>
            <w:r w:rsidR="00E60186">
              <w:rPr>
                <w:rFonts w:cstheme="minorHAnsi"/>
                <w:sz w:val="24"/>
                <w:szCs w:val="24"/>
              </w:rPr>
              <w:t xml:space="preserve">post-efficiency </w:t>
            </w:r>
            <w:r w:rsidRPr="001C7CE5">
              <w:rPr>
                <w:rFonts w:cstheme="minorHAnsi"/>
                <w:sz w:val="24"/>
                <w:szCs w:val="24"/>
              </w:rPr>
              <w:t xml:space="preserve">capital expenditure </w:t>
            </w:r>
            <w:r w:rsidDel="009E5273">
              <w:rPr>
                <w:rFonts w:cstheme="minorHAnsi"/>
                <w:sz w:val="24"/>
                <w:szCs w:val="24"/>
              </w:rPr>
              <w:t>over</w:t>
            </w:r>
            <w:r w:rsidDel="00E60186">
              <w:rPr>
                <w:rFonts w:cstheme="minorHAnsi"/>
                <w:sz w:val="24"/>
                <w:szCs w:val="24"/>
              </w:rPr>
              <w:t xml:space="preserve"> </w:t>
            </w:r>
            <w:r w:rsidR="00DA34AF">
              <w:rPr>
                <w:rFonts w:cstheme="minorHAnsi"/>
                <w:sz w:val="24"/>
                <w:szCs w:val="24"/>
              </w:rPr>
              <w:t>the whole life of</w:t>
            </w:r>
            <w:r w:rsidR="009E5273">
              <w:rPr>
                <w:rFonts w:cstheme="minorHAnsi"/>
                <w:sz w:val="24"/>
                <w:szCs w:val="24"/>
              </w:rPr>
              <w:t xml:space="preserve"> the </w:t>
            </w:r>
            <w:r w:rsidR="00EB5475">
              <w:rPr>
                <w:rFonts w:cstheme="minorHAnsi"/>
                <w:sz w:val="24"/>
                <w:szCs w:val="24"/>
              </w:rPr>
              <w:t>project or programme</w:t>
            </w:r>
            <w:r w:rsidR="00370E76">
              <w:rPr>
                <w:rFonts w:cstheme="minorHAnsi"/>
                <w:sz w:val="24"/>
                <w:szCs w:val="24"/>
              </w:rPr>
              <w:t>.</w:t>
            </w:r>
          </w:p>
        </w:tc>
        <w:tc>
          <w:tcPr>
            <w:tcW w:w="1699" w:type="dxa"/>
          </w:tcPr>
          <w:p w14:paraId="5B63D28E" w14:textId="51D2BD54" w:rsidR="00671097" w:rsidRPr="001C7CE5" w:rsidRDefault="00F95F72" w:rsidP="000E7C1C">
            <w:pPr>
              <w:pStyle w:val="TableParagraph"/>
              <w:rPr>
                <w:rFonts w:cstheme="minorHAnsi"/>
                <w:sz w:val="24"/>
                <w:szCs w:val="24"/>
              </w:rPr>
            </w:pPr>
            <w:r w:rsidRPr="001C7CE5">
              <w:rPr>
                <w:rFonts w:cstheme="minorHAnsi"/>
                <w:sz w:val="24"/>
                <w:szCs w:val="24"/>
              </w:rPr>
              <w:t>£m in 2024-25 price base</w:t>
            </w:r>
          </w:p>
        </w:tc>
        <w:tc>
          <w:tcPr>
            <w:tcW w:w="2239" w:type="dxa"/>
          </w:tcPr>
          <w:p w14:paraId="3FD8A5F2" w14:textId="1B5BCCF2" w:rsidR="00E90F86" w:rsidRPr="001C7CE5" w:rsidRDefault="00E90F86" w:rsidP="00ED2B63">
            <w:pPr>
              <w:pStyle w:val="TableParagraph"/>
              <w:rPr>
                <w:rFonts w:cstheme="minorHAnsi"/>
                <w:sz w:val="24"/>
                <w:szCs w:val="24"/>
              </w:rPr>
            </w:pPr>
            <w:r w:rsidRPr="001C7CE5">
              <w:rPr>
                <w:rFonts w:cstheme="minorHAnsi"/>
                <w:sz w:val="24"/>
                <w:szCs w:val="24"/>
              </w:rPr>
              <w:t>78</w:t>
            </w:r>
          </w:p>
        </w:tc>
      </w:tr>
      <w:tr w:rsidR="00FC3988" w:rsidRPr="00240E3D" w14:paraId="07D90BFE" w14:textId="5297BC55" w:rsidTr="00954233">
        <w:tc>
          <w:tcPr>
            <w:tcW w:w="1284" w:type="dxa"/>
          </w:tcPr>
          <w:p w14:paraId="774FF246" w14:textId="674D7C87" w:rsidR="00FC3988" w:rsidRPr="001C7CE5" w:rsidRDefault="0034101D" w:rsidP="00FC3988">
            <w:pPr>
              <w:pStyle w:val="TableParagraph"/>
              <w:rPr>
                <w:rFonts w:cstheme="minorHAnsi"/>
                <w:sz w:val="24"/>
                <w:szCs w:val="24"/>
              </w:rPr>
            </w:pPr>
            <w:r>
              <w:rPr>
                <w:rFonts w:cstheme="minorHAnsi"/>
                <w:sz w:val="24"/>
                <w:szCs w:val="24"/>
              </w:rPr>
              <w:t>3</w:t>
            </w:r>
            <w:r w:rsidR="003A1E7C">
              <w:rPr>
                <w:rFonts w:cstheme="minorHAnsi"/>
                <w:sz w:val="24"/>
                <w:szCs w:val="24"/>
              </w:rPr>
              <w:t>5</w:t>
            </w:r>
          </w:p>
        </w:tc>
        <w:tc>
          <w:tcPr>
            <w:tcW w:w="2049" w:type="dxa"/>
          </w:tcPr>
          <w:p w14:paraId="314E5C27" w14:textId="05CAEFD9" w:rsidR="00FC3988" w:rsidRPr="001C7CE5" w:rsidRDefault="00FC3988" w:rsidP="00FC3988">
            <w:pPr>
              <w:pStyle w:val="TableParagraph"/>
              <w:rPr>
                <w:rFonts w:cstheme="minorHAnsi"/>
                <w:sz w:val="24"/>
                <w:szCs w:val="24"/>
              </w:rPr>
            </w:pPr>
            <w:r w:rsidRPr="001C7CE5">
              <w:rPr>
                <w:rFonts w:cstheme="minorHAnsi"/>
                <w:sz w:val="24"/>
                <w:szCs w:val="24"/>
              </w:rPr>
              <w:t>Total risk allowance</w:t>
            </w:r>
          </w:p>
        </w:tc>
        <w:tc>
          <w:tcPr>
            <w:tcW w:w="7299" w:type="dxa"/>
          </w:tcPr>
          <w:p w14:paraId="540D8BCB" w14:textId="77777777" w:rsidR="00FC3988" w:rsidRDefault="00FC3988" w:rsidP="00FC3988">
            <w:pPr>
              <w:pStyle w:val="TableParagraph"/>
              <w:rPr>
                <w:rFonts w:cstheme="minorHAnsi"/>
                <w:sz w:val="24"/>
                <w:szCs w:val="24"/>
              </w:rPr>
            </w:pPr>
            <w:r w:rsidRPr="001C7CE5">
              <w:rPr>
                <w:rFonts w:cstheme="minorHAnsi"/>
                <w:sz w:val="24"/>
                <w:szCs w:val="24"/>
              </w:rPr>
              <w:t>The project expenditure that relates to an allowance for risk</w:t>
            </w:r>
            <w:r w:rsidR="001A039D" w:rsidRPr="001C7CE5">
              <w:rPr>
                <w:rFonts w:cstheme="minorHAnsi"/>
                <w:sz w:val="24"/>
                <w:szCs w:val="24"/>
              </w:rPr>
              <w:t xml:space="preserve"> across all </w:t>
            </w:r>
            <w:r w:rsidR="00937B8C">
              <w:rPr>
                <w:rFonts w:cstheme="minorHAnsi"/>
                <w:sz w:val="24"/>
                <w:szCs w:val="24"/>
              </w:rPr>
              <w:t xml:space="preserve">regulatory control </w:t>
            </w:r>
            <w:r w:rsidR="001A039D" w:rsidRPr="001C7CE5">
              <w:rPr>
                <w:rFonts w:cstheme="minorHAnsi"/>
                <w:sz w:val="24"/>
                <w:szCs w:val="24"/>
              </w:rPr>
              <w:t>periods</w:t>
            </w:r>
            <w:r w:rsidR="005A751A" w:rsidRPr="001C7CE5">
              <w:rPr>
                <w:rFonts w:cstheme="minorHAnsi"/>
                <w:sz w:val="24"/>
                <w:szCs w:val="24"/>
              </w:rPr>
              <w:t xml:space="preserve"> (including SRC27 and prior)</w:t>
            </w:r>
            <w:r w:rsidRPr="001C7CE5">
              <w:rPr>
                <w:rFonts w:cstheme="minorHAnsi"/>
                <w:sz w:val="24"/>
                <w:szCs w:val="24"/>
              </w:rPr>
              <w:t xml:space="preserve">. This should </w:t>
            </w:r>
            <w:r w:rsidRPr="001C7CE5">
              <w:rPr>
                <w:rFonts w:cstheme="minorHAnsi"/>
                <w:sz w:val="24"/>
                <w:szCs w:val="24"/>
              </w:rPr>
              <w:lastRenderedPageBreak/>
              <w:t>include Scottish Water’s allowance for site-specific and programme</w:t>
            </w:r>
            <w:r w:rsidR="00B95C49">
              <w:rPr>
                <w:rFonts w:cstheme="minorHAnsi"/>
                <w:sz w:val="24"/>
                <w:szCs w:val="24"/>
              </w:rPr>
              <w:t>-</w:t>
            </w:r>
            <w:r w:rsidRPr="001C7CE5">
              <w:rPr>
                <w:rFonts w:cstheme="minorHAnsi"/>
                <w:sz w:val="24"/>
                <w:szCs w:val="24"/>
              </w:rPr>
              <w:t>wide uplift for risk</w:t>
            </w:r>
            <w:r w:rsidR="00370E76">
              <w:rPr>
                <w:rFonts w:cstheme="minorHAnsi"/>
                <w:sz w:val="24"/>
                <w:szCs w:val="24"/>
              </w:rPr>
              <w:t>.</w:t>
            </w:r>
          </w:p>
          <w:p w14:paraId="02309689" w14:textId="77777777" w:rsidR="002B0550" w:rsidRDefault="002B0550" w:rsidP="00FC3988">
            <w:pPr>
              <w:pStyle w:val="TableParagraph"/>
              <w:rPr>
                <w:rFonts w:cstheme="minorHAnsi"/>
                <w:sz w:val="24"/>
                <w:szCs w:val="24"/>
              </w:rPr>
            </w:pPr>
          </w:p>
          <w:p w14:paraId="263218D7" w14:textId="6D9F4574" w:rsidR="002B0550" w:rsidRPr="001C7CE5" w:rsidRDefault="002B0550" w:rsidP="00FC3988">
            <w:pPr>
              <w:pStyle w:val="TableParagraph"/>
              <w:rPr>
                <w:rFonts w:cstheme="minorHAnsi"/>
                <w:sz w:val="24"/>
                <w:szCs w:val="24"/>
              </w:rPr>
            </w:pPr>
            <w:r>
              <w:rPr>
                <w:rFonts w:cstheme="minorHAnsi"/>
                <w:sz w:val="24"/>
                <w:szCs w:val="24"/>
              </w:rPr>
              <w:t>For the avoidance of doubt, this column should show the risk allowance included in the expenditure in the previous columns.</w:t>
            </w:r>
          </w:p>
        </w:tc>
        <w:tc>
          <w:tcPr>
            <w:tcW w:w="1699" w:type="dxa"/>
          </w:tcPr>
          <w:p w14:paraId="6AEFAD52" w14:textId="4EAC65ED" w:rsidR="00FC3988" w:rsidRPr="001C7CE5" w:rsidRDefault="00FC3988" w:rsidP="00FC3988">
            <w:pPr>
              <w:pStyle w:val="TableParagraph"/>
              <w:rPr>
                <w:rFonts w:cstheme="minorHAnsi"/>
                <w:sz w:val="24"/>
                <w:szCs w:val="24"/>
              </w:rPr>
            </w:pPr>
            <w:r w:rsidRPr="001C7CE5">
              <w:rPr>
                <w:rFonts w:cstheme="minorHAnsi"/>
                <w:sz w:val="24"/>
                <w:szCs w:val="24"/>
              </w:rPr>
              <w:lastRenderedPageBreak/>
              <w:t>£m in 2024-25 price base</w:t>
            </w:r>
          </w:p>
        </w:tc>
        <w:tc>
          <w:tcPr>
            <w:tcW w:w="2239" w:type="dxa"/>
          </w:tcPr>
          <w:p w14:paraId="289E4444" w14:textId="77777777" w:rsidR="00ED2B63" w:rsidRPr="001C7CE5" w:rsidRDefault="00ED2B63" w:rsidP="00ED2B63">
            <w:pPr>
              <w:pStyle w:val="TableParagraph"/>
              <w:rPr>
                <w:rFonts w:cstheme="minorHAnsi"/>
                <w:sz w:val="24"/>
                <w:szCs w:val="24"/>
              </w:rPr>
            </w:pPr>
          </w:p>
        </w:tc>
      </w:tr>
    </w:tbl>
    <w:p w14:paraId="69277599" w14:textId="77777777" w:rsidR="002D3717" w:rsidRDefault="002D3717" w:rsidP="0074526B">
      <w:pPr>
        <w:pStyle w:val="TableParagraph"/>
        <w:rPr>
          <w:rFonts w:ascii="Calibri" w:hAnsi="Calibri" w:cs="Calibri"/>
          <w:b/>
          <w:color w:val="064276" w:themeColor="text2"/>
          <w:sz w:val="28"/>
          <w:szCs w:val="28"/>
        </w:rPr>
      </w:pPr>
    </w:p>
    <w:p w14:paraId="479B10AC" w14:textId="19944BAA" w:rsidR="004A3224" w:rsidRPr="00954233" w:rsidRDefault="002D3717" w:rsidP="00954233">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t>Block C: Capital Expenditure (£m; Outturn Prices)</w:t>
      </w:r>
      <w:r w:rsidRPr="00954233">
        <w:rPr>
          <w:rFonts w:ascii="Calibri" w:hAnsi="Calibri" w:cs="Calibri"/>
          <w:b/>
          <w:color w:val="064276" w:themeColor="text2"/>
          <w:sz w:val="28"/>
          <w:szCs w:val="28"/>
        </w:rPr>
        <w:tab/>
      </w:r>
    </w:p>
    <w:p w14:paraId="33BCFBA6" w14:textId="77777777" w:rsidR="0096143E" w:rsidRDefault="0096143E" w:rsidP="0096143E">
      <w:pPr>
        <w:pStyle w:val="TableParagraph"/>
        <w:rPr>
          <w:rFonts w:cstheme="minorHAnsi"/>
          <w:b/>
          <w:sz w:val="24"/>
          <w:szCs w:val="24"/>
        </w:rPr>
      </w:pPr>
    </w:p>
    <w:p w14:paraId="60776B73" w14:textId="38266778" w:rsidR="002D3717" w:rsidRDefault="0096143E">
      <w:r w:rsidRPr="00E44B42">
        <w:rPr>
          <w:rFonts w:cstheme="minorHAnsi"/>
          <w:szCs w:val="24"/>
        </w:rPr>
        <w:t>All lines for both projects and programmes</w:t>
      </w:r>
      <w:r>
        <w:rPr>
          <w:rFonts w:cstheme="minorHAnsi"/>
          <w:szCs w:val="24"/>
        </w:rPr>
        <w:t xml:space="preserve"> of works</w:t>
      </w:r>
      <w:r w:rsidRPr="00E44B42">
        <w:rPr>
          <w:rFonts w:cstheme="minorHAnsi"/>
          <w:szCs w:val="24"/>
        </w:rPr>
        <w:t xml:space="preserve"> should have the column for pre-SRC27 </w:t>
      </w:r>
      <w:r w:rsidR="0049435B">
        <w:rPr>
          <w:rFonts w:cstheme="minorHAnsi"/>
          <w:szCs w:val="24"/>
        </w:rPr>
        <w:t xml:space="preserve">and SRC27 </w:t>
      </w:r>
      <w:r w:rsidRPr="00E44B42">
        <w:rPr>
          <w:rFonts w:cstheme="minorHAnsi"/>
          <w:szCs w:val="24"/>
        </w:rPr>
        <w:t xml:space="preserve">expenditure </w:t>
      </w:r>
      <w:r w:rsidR="00CB3612">
        <w:rPr>
          <w:rFonts w:cstheme="minorHAnsi"/>
          <w:szCs w:val="24"/>
        </w:rPr>
        <w:t>populated</w:t>
      </w:r>
      <w:r w:rsidRPr="00E44B42">
        <w:rPr>
          <w:rFonts w:cstheme="minorHAnsi"/>
          <w:szCs w:val="24"/>
        </w:rPr>
        <w:t xml:space="preserve">. All lines for projects should have </w:t>
      </w:r>
      <w:r w:rsidR="006F3293" w:rsidRPr="00E44B42">
        <w:rPr>
          <w:rFonts w:cstheme="minorHAnsi"/>
          <w:szCs w:val="24"/>
        </w:rPr>
        <w:t>the column</w:t>
      </w:r>
      <w:r w:rsidR="006F3293">
        <w:rPr>
          <w:rFonts w:cstheme="minorHAnsi"/>
          <w:szCs w:val="24"/>
        </w:rPr>
        <w:t>s</w:t>
      </w:r>
      <w:r w:rsidR="006F3293" w:rsidRPr="00E44B42">
        <w:rPr>
          <w:rFonts w:cstheme="minorHAnsi"/>
          <w:szCs w:val="24"/>
        </w:rPr>
        <w:t xml:space="preserve"> for post-SRC27 expenditure </w:t>
      </w:r>
      <w:r w:rsidR="00CB3612">
        <w:rPr>
          <w:rFonts w:cstheme="minorHAnsi"/>
          <w:szCs w:val="24"/>
        </w:rPr>
        <w:t>populated</w:t>
      </w:r>
      <w:r w:rsidR="006F3293" w:rsidRPr="00E44B42">
        <w:rPr>
          <w:rFonts w:cstheme="minorHAnsi"/>
          <w:szCs w:val="24"/>
        </w:rPr>
        <w:t>, but lines for programmes</w:t>
      </w:r>
      <w:r w:rsidR="006F3293">
        <w:rPr>
          <w:rFonts w:cstheme="minorHAnsi"/>
          <w:szCs w:val="24"/>
        </w:rPr>
        <w:t xml:space="preserve"> of works</w:t>
      </w:r>
      <w:r w:rsidR="006F3293" w:rsidRPr="00E44B42">
        <w:rPr>
          <w:rFonts w:cstheme="minorHAnsi"/>
          <w:szCs w:val="24"/>
        </w:rPr>
        <w:t xml:space="preserve"> are not required to have </w:t>
      </w:r>
      <w:r w:rsidR="006F3293">
        <w:rPr>
          <w:rFonts w:cstheme="minorHAnsi"/>
          <w:szCs w:val="24"/>
        </w:rPr>
        <w:t>these columns</w:t>
      </w:r>
      <w:r w:rsidR="006F3293" w:rsidRPr="00E44B42">
        <w:rPr>
          <w:rFonts w:cstheme="minorHAnsi"/>
          <w:szCs w:val="24"/>
        </w:rPr>
        <w:t xml:space="preserve"> </w:t>
      </w:r>
      <w:r w:rsidR="0049435B">
        <w:rPr>
          <w:rFonts w:cstheme="minorHAnsi"/>
          <w:szCs w:val="24"/>
        </w:rPr>
        <w:t>populated</w:t>
      </w:r>
      <w:r w:rsidR="006F3293" w:rsidRPr="00E44B42">
        <w:rPr>
          <w:rFonts w:cstheme="minorHAnsi"/>
          <w:szCs w:val="24"/>
        </w:rPr>
        <w:t>.</w:t>
      </w:r>
    </w:p>
    <w:tbl>
      <w:tblPr>
        <w:tblStyle w:val="Blueline"/>
        <w:tblW w:w="0" w:type="auto"/>
        <w:tblLook w:val="04A0" w:firstRow="1" w:lastRow="0" w:firstColumn="1" w:lastColumn="0" w:noHBand="0" w:noVBand="1"/>
      </w:tblPr>
      <w:tblGrid>
        <w:gridCol w:w="1874"/>
        <w:gridCol w:w="1386"/>
        <w:gridCol w:w="9041"/>
        <w:gridCol w:w="2269"/>
      </w:tblGrid>
      <w:tr w:rsidR="007864B0" w:rsidRPr="00240E3D" w14:paraId="233EE735"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20C32C8B" w14:textId="0CE742DE" w:rsidR="007864B0" w:rsidRPr="00954233" w:rsidRDefault="00D04C95" w:rsidP="007864B0">
            <w:pPr>
              <w:pStyle w:val="TableParagraph"/>
              <w:rPr>
                <w:rFonts w:ascii="Calibri" w:hAnsi="Calibri" w:cs="Calibri"/>
                <w:sz w:val="24"/>
                <w:szCs w:val="24"/>
              </w:rPr>
            </w:pPr>
            <w:r w:rsidRPr="0074526B">
              <w:rPr>
                <w:rFonts w:ascii="Calibri" w:hAnsi="Calibri" w:cs="Calibri"/>
                <w:sz w:val="24"/>
                <w:szCs w:val="24"/>
              </w:rPr>
              <w:t>Column</w:t>
            </w:r>
            <w:r w:rsidR="00F462DF" w:rsidRPr="0074526B">
              <w:rPr>
                <w:rFonts w:ascii="Calibri" w:hAnsi="Calibri" w:cs="Calibri"/>
                <w:sz w:val="24"/>
                <w:szCs w:val="24"/>
              </w:rPr>
              <w:t xml:space="preserve"> </w:t>
            </w:r>
            <w:r w:rsidR="00CB5C83" w:rsidRPr="0074526B">
              <w:rPr>
                <w:rFonts w:ascii="Calibri" w:hAnsi="Calibri" w:cs="Calibri"/>
                <w:sz w:val="24"/>
                <w:szCs w:val="24"/>
              </w:rPr>
              <w:t>Reference</w:t>
            </w:r>
          </w:p>
        </w:tc>
        <w:tc>
          <w:tcPr>
            <w:tcW w:w="0" w:type="auto"/>
          </w:tcPr>
          <w:p w14:paraId="7A909B92" w14:textId="4D265FD4" w:rsidR="007864B0" w:rsidRPr="00954233" w:rsidRDefault="00CB5C83" w:rsidP="007864B0">
            <w:pPr>
              <w:pStyle w:val="TableParagraph"/>
              <w:rPr>
                <w:rFonts w:ascii="Calibri" w:hAnsi="Calibri" w:cs="Calibri"/>
                <w:sz w:val="24"/>
                <w:szCs w:val="24"/>
              </w:rPr>
            </w:pPr>
            <w:r w:rsidRPr="0074526B">
              <w:rPr>
                <w:rFonts w:ascii="Calibri" w:hAnsi="Calibri" w:cs="Calibri"/>
                <w:sz w:val="24"/>
                <w:szCs w:val="24"/>
              </w:rPr>
              <w:t>Column Title</w:t>
            </w:r>
          </w:p>
        </w:tc>
        <w:tc>
          <w:tcPr>
            <w:tcW w:w="0" w:type="auto"/>
          </w:tcPr>
          <w:p w14:paraId="18AD3065" w14:textId="64B5823A" w:rsidR="007864B0" w:rsidRPr="00954233" w:rsidRDefault="00CB5C83" w:rsidP="007864B0">
            <w:pPr>
              <w:pStyle w:val="TableParagraph"/>
              <w:rPr>
                <w:rFonts w:ascii="Calibri" w:hAnsi="Calibri" w:cs="Calibri"/>
                <w:sz w:val="24"/>
                <w:szCs w:val="24"/>
              </w:rPr>
            </w:pPr>
            <w:r w:rsidRPr="0074526B">
              <w:rPr>
                <w:rFonts w:ascii="Calibri" w:hAnsi="Calibri" w:cs="Calibri"/>
                <w:sz w:val="24"/>
                <w:szCs w:val="24"/>
              </w:rPr>
              <w:t>Description</w:t>
            </w:r>
          </w:p>
        </w:tc>
        <w:tc>
          <w:tcPr>
            <w:tcW w:w="0" w:type="auto"/>
          </w:tcPr>
          <w:p w14:paraId="47264C03" w14:textId="365DABEC" w:rsidR="007864B0" w:rsidRPr="00954233" w:rsidRDefault="00CB5C83" w:rsidP="007864B0">
            <w:pPr>
              <w:pStyle w:val="TableParagraph"/>
              <w:rPr>
                <w:rFonts w:ascii="Calibri" w:hAnsi="Calibri" w:cs="Calibri"/>
                <w:sz w:val="24"/>
                <w:szCs w:val="24"/>
              </w:rPr>
            </w:pPr>
            <w:r w:rsidRPr="0074526B">
              <w:rPr>
                <w:rFonts w:ascii="Calibri" w:hAnsi="Calibri" w:cs="Calibri"/>
                <w:sz w:val="24"/>
                <w:szCs w:val="24"/>
              </w:rPr>
              <w:t>Units</w:t>
            </w:r>
          </w:p>
        </w:tc>
      </w:tr>
      <w:tr w:rsidR="00FC3988" w:rsidRPr="00240E3D" w14:paraId="0321CF28" w14:textId="77777777" w:rsidTr="00954233">
        <w:tc>
          <w:tcPr>
            <w:tcW w:w="0" w:type="auto"/>
          </w:tcPr>
          <w:p w14:paraId="3F4DE3B8" w14:textId="11D65434" w:rsidR="00FC3988" w:rsidRPr="00240E3D" w:rsidRDefault="008A3141" w:rsidP="00FC3988">
            <w:pPr>
              <w:pStyle w:val="TableParagraph"/>
              <w:rPr>
                <w:rFonts w:ascii="Calibri" w:hAnsi="Calibri" w:cs="Calibri"/>
                <w:sz w:val="24"/>
                <w:szCs w:val="24"/>
              </w:rPr>
            </w:pPr>
            <w:r>
              <w:rPr>
                <w:rFonts w:ascii="Calibri" w:hAnsi="Calibri" w:cs="Calibri"/>
                <w:sz w:val="24"/>
                <w:szCs w:val="24"/>
              </w:rPr>
              <w:t>3</w:t>
            </w:r>
            <w:r w:rsidR="00487DBB">
              <w:rPr>
                <w:rFonts w:ascii="Calibri" w:hAnsi="Calibri" w:cs="Calibri"/>
                <w:sz w:val="24"/>
                <w:szCs w:val="24"/>
              </w:rPr>
              <w:t>6</w:t>
            </w:r>
            <w:r>
              <w:rPr>
                <w:rFonts w:ascii="Calibri" w:hAnsi="Calibri" w:cs="Calibri"/>
                <w:sz w:val="24"/>
                <w:szCs w:val="24"/>
              </w:rPr>
              <w:t xml:space="preserve"> to </w:t>
            </w:r>
            <w:r w:rsidR="007A1B63">
              <w:rPr>
                <w:rFonts w:ascii="Calibri" w:hAnsi="Calibri" w:cs="Calibri"/>
                <w:sz w:val="24"/>
                <w:szCs w:val="24"/>
              </w:rPr>
              <w:t>4</w:t>
            </w:r>
            <w:r w:rsidR="00487DBB">
              <w:rPr>
                <w:rFonts w:ascii="Calibri" w:hAnsi="Calibri" w:cs="Calibri"/>
                <w:sz w:val="24"/>
                <w:szCs w:val="24"/>
              </w:rPr>
              <w:t>9</w:t>
            </w:r>
          </w:p>
        </w:tc>
        <w:tc>
          <w:tcPr>
            <w:tcW w:w="0" w:type="auto"/>
          </w:tcPr>
          <w:p w14:paraId="0CCA2929" w14:textId="464FCDA4" w:rsidR="00FC3988" w:rsidRPr="001C7CE5" w:rsidRDefault="00A40758" w:rsidP="00FC3988">
            <w:pPr>
              <w:pStyle w:val="TableParagraph"/>
              <w:rPr>
                <w:rFonts w:ascii="Calibri" w:hAnsi="Calibri" w:cs="Calibri"/>
                <w:sz w:val="24"/>
                <w:szCs w:val="24"/>
              </w:rPr>
            </w:pPr>
            <w:r w:rsidRPr="001C7CE5">
              <w:rPr>
                <w:rFonts w:ascii="Calibri" w:hAnsi="Calibri" w:cs="Calibri"/>
                <w:sz w:val="24"/>
                <w:szCs w:val="24"/>
              </w:rPr>
              <w:t>All columns</w:t>
            </w:r>
          </w:p>
        </w:tc>
        <w:tc>
          <w:tcPr>
            <w:tcW w:w="0" w:type="auto"/>
          </w:tcPr>
          <w:p w14:paraId="4299C311" w14:textId="22CC44D1" w:rsidR="00FC3988" w:rsidRPr="001C7CE5" w:rsidRDefault="0008566B" w:rsidP="00FC3988">
            <w:pPr>
              <w:pStyle w:val="TableParagraph"/>
              <w:rPr>
                <w:rFonts w:ascii="Calibri" w:hAnsi="Calibri" w:cs="Calibri"/>
                <w:sz w:val="24"/>
                <w:szCs w:val="24"/>
              </w:rPr>
            </w:pPr>
            <w:r w:rsidRPr="001C7CE5">
              <w:rPr>
                <w:rFonts w:ascii="Calibri" w:hAnsi="Calibri" w:cs="Calibri"/>
                <w:sz w:val="24"/>
                <w:szCs w:val="24"/>
              </w:rPr>
              <w:t xml:space="preserve">Definitions as per </w:t>
            </w:r>
            <w:r w:rsidR="00317475" w:rsidRPr="004B0D4D">
              <w:rPr>
                <w:rFonts w:ascii="Calibri" w:hAnsi="Calibri" w:cs="Calibri"/>
                <w:sz w:val="24"/>
                <w:szCs w:val="24"/>
              </w:rPr>
              <w:t>Block</w:t>
            </w:r>
            <w:r w:rsidR="00B95C49" w:rsidRPr="004B0D4D">
              <w:rPr>
                <w:rFonts w:ascii="Calibri" w:hAnsi="Calibri" w:cs="Calibri"/>
                <w:sz w:val="24"/>
                <w:szCs w:val="24"/>
              </w:rPr>
              <w:t xml:space="preserve"> </w:t>
            </w:r>
            <w:r w:rsidR="00B95C49" w:rsidRPr="00B95C49">
              <w:rPr>
                <w:rFonts w:ascii="Calibri" w:hAnsi="Calibri" w:cs="Calibri"/>
                <w:sz w:val="24"/>
                <w:szCs w:val="24"/>
              </w:rPr>
              <w:t>B: Capital Expenditure (£m; 2024-25 Price Base)</w:t>
            </w:r>
            <w:r w:rsidR="00B95C49">
              <w:rPr>
                <w:rFonts w:ascii="Calibri" w:hAnsi="Calibri" w:cs="Calibri"/>
                <w:sz w:val="24"/>
                <w:szCs w:val="24"/>
              </w:rPr>
              <w:t xml:space="preserve"> </w:t>
            </w:r>
            <w:r w:rsidR="005C0B1A" w:rsidRPr="001C7CE5">
              <w:rPr>
                <w:rFonts w:ascii="Calibri" w:hAnsi="Calibri" w:cs="Calibri"/>
                <w:b/>
                <w:sz w:val="24"/>
                <w:szCs w:val="24"/>
              </w:rPr>
              <w:t xml:space="preserve">but values </w:t>
            </w:r>
            <w:r w:rsidR="00044282" w:rsidRPr="001C7CE5">
              <w:rPr>
                <w:rFonts w:ascii="Calibri" w:hAnsi="Calibri" w:cs="Calibri"/>
                <w:b/>
                <w:sz w:val="24"/>
                <w:szCs w:val="24"/>
              </w:rPr>
              <w:t>should be in outturn</w:t>
            </w:r>
            <w:r w:rsidR="00073032">
              <w:rPr>
                <w:rFonts w:ascii="Calibri" w:hAnsi="Calibri" w:cs="Calibri"/>
                <w:b/>
                <w:sz w:val="24"/>
                <w:szCs w:val="24"/>
              </w:rPr>
              <w:t xml:space="preserve"> </w:t>
            </w:r>
            <w:r w:rsidR="00073032" w:rsidRPr="001C7CE5">
              <w:rPr>
                <w:rFonts w:ascii="Calibri" w:hAnsi="Calibri" w:cs="Calibri"/>
                <w:b/>
                <w:sz w:val="24"/>
                <w:szCs w:val="24"/>
              </w:rPr>
              <w:t>prices</w:t>
            </w:r>
            <w:r w:rsidR="00073032">
              <w:rPr>
                <w:rFonts w:ascii="Calibri" w:hAnsi="Calibri" w:cs="Calibri"/>
                <w:sz w:val="24"/>
                <w:szCs w:val="24"/>
              </w:rPr>
              <w:t>.</w:t>
            </w:r>
          </w:p>
        </w:tc>
        <w:tc>
          <w:tcPr>
            <w:tcW w:w="0" w:type="auto"/>
          </w:tcPr>
          <w:p w14:paraId="1FDD2D5B" w14:textId="40498FC8" w:rsidR="00FC3988" w:rsidRPr="001C7CE5" w:rsidRDefault="004611EC" w:rsidP="00FC3988">
            <w:pPr>
              <w:pStyle w:val="TableParagraph"/>
              <w:rPr>
                <w:rFonts w:ascii="Calibri" w:hAnsi="Calibri" w:cs="Calibri"/>
                <w:sz w:val="24"/>
                <w:szCs w:val="24"/>
              </w:rPr>
            </w:pPr>
            <w:r w:rsidRPr="001C7CE5">
              <w:rPr>
                <w:rFonts w:ascii="Calibri" w:hAnsi="Calibri" w:cs="Calibri"/>
                <w:sz w:val="24"/>
                <w:szCs w:val="24"/>
              </w:rPr>
              <w:t xml:space="preserve">£m </w:t>
            </w:r>
            <w:r w:rsidR="00135486" w:rsidRPr="001C7CE5">
              <w:rPr>
                <w:rFonts w:ascii="Calibri" w:hAnsi="Calibri" w:cs="Calibri"/>
                <w:sz w:val="24"/>
                <w:szCs w:val="24"/>
              </w:rPr>
              <w:t xml:space="preserve">in </w:t>
            </w:r>
            <w:r w:rsidRPr="001C7CE5">
              <w:rPr>
                <w:rFonts w:ascii="Calibri" w:hAnsi="Calibri" w:cs="Calibri"/>
                <w:sz w:val="24"/>
                <w:szCs w:val="24"/>
              </w:rPr>
              <w:t>outturn</w:t>
            </w:r>
            <w:r w:rsidR="00135486" w:rsidRPr="001C7CE5">
              <w:rPr>
                <w:rFonts w:ascii="Calibri" w:hAnsi="Calibri" w:cs="Calibri"/>
                <w:sz w:val="24"/>
                <w:szCs w:val="24"/>
              </w:rPr>
              <w:t xml:space="preserve"> price base</w:t>
            </w:r>
          </w:p>
        </w:tc>
      </w:tr>
    </w:tbl>
    <w:p w14:paraId="0C1FCC65" w14:textId="77777777" w:rsidR="002D3717" w:rsidRDefault="002D3717" w:rsidP="0074526B">
      <w:pPr>
        <w:pStyle w:val="TableParagraph"/>
        <w:keepNext/>
        <w:keepLines/>
        <w:rPr>
          <w:rFonts w:ascii="Calibri" w:hAnsi="Calibri" w:cs="Calibri"/>
          <w:b/>
          <w:color w:val="064276" w:themeColor="text2"/>
          <w:sz w:val="28"/>
          <w:szCs w:val="28"/>
        </w:rPr>
      </w:pPr>
    </w:p>
    <w:p w14:paraId="726D8ADD" w14:textId="0ACA40AC" w:rsidR="004A3224" w:rsidRDefault="002D3717" w:rsidP="0074526B">
      <w:pPr>
        <w:pStyle w:val="TableParagraph"/>
        <w:keepNext/>
        <w:keepLines/>
        <w:rPr>
          <w:rFonts w:ascii="Calibri" w:hAnsi="Calibri" w:cs="Calibri"/>
          <w:b/>
          <w:color w:val="064276" w:themeColor="text2"/>
          <w:sz w:val="28"/>
          <w:szCs w:val="28"/>
        </w:rPr>
      </w:pPr>
      <w:r w:rsidRPr="00954233">
        <w:rPr>
          <w:rFonts w:ascii="Calibri" w:hAnsi="Calibri" w:cs="Calibri"/>
          <w:b/>
          <w:color w:val="064276" w:themeColor="text2"/>
          <w:sz w:val="28"/>
          <w:szCs w:val="28"/>
        </w:rPr>
        <w:t>Block D: Operating Expenditure (£m; 2024-25 Price Base)</w:t>
      </w:r>
    </w:p>
    <w:p w14:paraId="6AD6D2BD" w14:textId="77777777" w:rsidR="0096143E" w:rsidRDefault="0096143E" w:rsidP="0096143E">
      <w:pPr>
        <w:pStyle w:val="TableParagraph"/>
        <w:rPr>
          <w:rFonts w:cstheme="minorHAnsi"/>
          <w:b/>
          <w:sz w:val="24"/>
          <w:szCs w:val="24"/>
        </w:rPr>
      </w:pPr>
    </w:p>
    <w:p w14:paraId="68FD80EA" w14:textId="22076353" w:rsidR="002D3717" w:rsidRPr="00954233" w:rsidRDefault="0096143E" w:rsidP="00954233">
      <w:pPr>
        <w:pStyle w:val="TableParagraph"/>
        <w:keepNext/>
        <w:keepLines/>
        <w:rPr>
          <w:rFonts w:ascii="Calibri" w:hAnsi="Calibri" w:cs="Calibri"/>
          <w:color w:val="064276" w:themeColor="text2"/>
          <w:sz w:val="28"/>
          <w:szCs w:val="28"/>
        </w:rPr>
      </w:pPr>
      <w:r w:rsidRPr="00E44B42">
        <w:rPr>
          <w:rFonts w:cstheme="minorHAnsi"/>
          <w:sz w:val="24"/>
          <w:szCs w:val="24"/>
        </w:rPr>
        <w:lastRenderedPageBreak/>
        <w:t>All lines for both projects and programmes</w:t>
      </w:r>
      <w:r>
        <w:rPr>
          <w:rFonts w:cstheme="minorHAnsi"/>
          <w:sz w:val="24"/>
          <w:szCs w:val="24"/>
        </w:rPr>
        <w:t xml:space="preserve"> of works</w:t>
      </w:r>
      <w:r w:rsidRPr="00E44B42">
        <w:rPr>
          <w:rFonts w:cstheme="minorHAnsi"/>
          <w:sz w:val="24"/>
          <w:szCs w:val="24"/>
        </w:rPr>
        <w:t xml:space="preserve"> should have the column for pre-SRC27 </w:t>
      </w:r>
      <w:r w:rsidR="00F6248E">
        <w:rPr>
          <w:rFonts w:cstheme="minorHAnsi"/>
          <w:sz w:val="24"/>
          <w:szCs w:val="24"/>
        </w:rPr>
        <w:t>and SRC27</w:t>
      </w:r>
      <w:r w:rsidRPr="00E44B42">
        <w:rPr>
          <w:rFonts w:cstheme="minorHAnsi"/>
          <w:sz w:val="24"/>
          <w:szCs w:val="24"/>
        </w:rPr>
        <w:t xml:space="preserve"> expenditure </w:t>
      </w:r>
      <w:r w:rsidR="00A2369A">
        <w:rPr>
          <w:rFonts w:cstheme="minorHAnsi"/>
          <w:sz w:val="24"/>
          <w:szCs w:val="24"/>
        </w:rPr>
        <w:t>p</w:t>
      </w:r>
      <w:r w:rsidR="00F6248E">
        <w:rPr>
          <w:rFonts w:cstheme="minorHAnsi"/>
          <w:sz w:val="24"/>
          <w:szCs w:val="24"/>
        </w:rPr>
        <w:t>opulated</w:t>
      </w:r>
      <w:r w:rsidRPr="00E44B42">
        <w:rPr>
          <w:rFonts w:cstheme="minorHAnsi"/>
          <w:sz w:val="24"/>
          <w:szCs w:val="24"/>
        </w:rPr>
        <w:t>. All lines for projects should have the column</w:t>
      </w:r>
      <w:r w:rsidR="00540D5B">
        <w:rPr>
          <w:rFonts w:cstheme="minorHAnsi"/>
          <w:sz w:val="24"/>
          <w:szCs w:val="24"/>
        </w:rPr>
        <w:t>s</w:t>
      </w:r>
      <w:r w:rsidRPr="00E44B42">
        <w:rPr>
          <w:rFonts w:cstheme="minorHAnsi"/>
          <w:sz w:val="24"/>
          <w:szCs w:val="24"/>
        </w:rPr>
        <w:t xml:space="preserve"> for post-SRC27 expenditure </w:t>
      </w:r>
      <w:r w:rsidR="00F6248E">
        <w:rPr>
          <w:rFonts w:cstheme="minorHAnsi"/>
          <w:sz w:val="24"/>
          <w:szCs w:val="24"/>
        </w:rPr>
        <w:t>populated</w:t>
      </w:r>
      <w:r w:rsidRPr="00E44B42">
        <w:rPr>
          <w:rFonts w:cstheme="minorHAnsi"/>
          <w:sz w:val="24"/>
          <w:szCs w:val="24"/>
        </w:rPr>
        <w:t>, but lines for programmes</w:t>
      </w:r>
      <w:r>
        <w:rPr>
          <w:rFonts w:cstheme="minorHAnsi"/>
          <w:sz w:val="24"/>
          <w:szCs w:val="24"/>
        </w:rPr>
        <w:t xml:space="preserve"> of works</w:t>
      </w:r>
      <w:r w:rsidRPr="00E44B42">
        <w:rPr>
          <w:rFonts w:cstheme="minorHAnsi"/>
          <w:sz w:val="24"/>
          <w:szCs w:val="24"/>
        </w:rPr>
        <w:t xml:space="preserve"> are not required to have </w:t>
      </w:r>
      <w:r w:rsidR="006F3293">
        <w:rPr>
          <w:rFonts w:cstheme="minorHAnsi"/>
          <w:sz w:val="24"/>
          <w:szCs w:val="24"/>
        </w:rPr>
        <w:t>these columns</w:t>
      </w:r>
      <w:r w:rsidRPr="00E44B42">
        <w:rPr>
          <w:rFonts w:cstheme="minorHAnsi"/>
          <w:sz w:val="24"/>
          <w:szCs w:val="24"/>
        </w:rPr>
        <w:t xml:space="preserve"> </w:t>
      </w:r>
      <w:r w:rsidR="00F6248E">
        <w:rPr>
          <w:rFonts w:cstheme="minorHAnsi"/>
          <w:sz w:val="24"/>
          <w:szCs w:val="24"/>
        </w:rPr>
        <w:t>populated</w:t>
      </w:r>
      <w:r w:rsidRPr="00E44B42">
        <w:rPr>
          <w:rFonts w:cstheme="minorHAnsi"/>
          <w:sz w:val="24"/>
          <w:szCs w:val="24"/>
        </w:rPr>
        <w:t>.</w:t>
      </w:r>
    </w:p>
    <w:tbl>
      <w:tblPr>
        <w:tblStyle w:val="Blueline"/>
        <w:tblW w:w="0" w:type="auto"/>
        <w:tblLook w:val="04A0" w:firstRow="1" w:lastRow="0" w:firstColumn="1" w:lastColumn="0" w:noHBand="0" w:noVBand="1"/>
      </w:tblPr>
      <w:tblGrid>
        <w:gridCol w:w="1819"/>
        <w:gridCol w:w="1356"/>
        <w:gridCol w:w="9249"/>
        <w:gridCol w:w="2146"/>
      </w:tblGrid>
      <w:tr w:rsidR="00765323" w:rsidRPr="00DE19DC" w14:paraId="34E27DBE"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0791B07D" w14:textId="30648016" w:rsidR="00765323" w:rsidRPr="00240E3D" w:rsidRDefault="00D04C95" w:rsidP="00D9256F">
            <w:pPr>
              <w:pStyle w:val="TableParagraph"/>
              <w:keepNext/>
              <w:keepLines/>
              <w:rPr>
                <w:rFonts w:ascii="Calibri" w:hAnsi="Calibri" w:cs="Calibri"/>
                <w:sz w:val="24"/>
                <w:szCs w:val="24"/>
              </w:rPr>
            </w:pPr>
            <w:r w:rsidRPr="0074526B">
              <w:rPr>
                <w:rFonts w:ascii="Calibri" w:hAnsi="Calibri" w:cs="Calibri"/>
                <w:sz w:val="24"/>
                <w:szCs w:val="24"/>
              </w:rPr>
              <w:t>Column</w:t>
            </w:r>
            <w:r w:rsidR="00F462DF" w:rsidRPr="0074526B">
              <w:rPr>
                <w:rFonts w:ascii="Calibri" w:hAnsi="Calibri" w:cs="Calibri"/>
                <w:sz w:val="24"/>
                <w:szCs w:val="24"/>
              </w:rPr>
              <w:t xml:space="preserve"> </w:t>
            </w:r>
            <w:r w:rsidR="0050548F" w:rsidRPr="0074526B">
              <w:rPr>
                <w:rFonts w:ascii="Calibri" w:hAnsi="Calibri" w:cs="Calibri"/>
                <w:sz w:val="24"/>
                <w:szCs w:val="24"/>
              </w:rPr>
              <w:t>Reference</w:t>
            </w:r>
          </w:p>
        </w:tc>
        <w:tc>
          <w:tcPr>
            <w:tcW w:w="0" w:type="auto"/>
          </w:tcPr>
          <w:p w14:paraId="7B2C52F8" w14:textId="15788917" w:rsidR="00765323" w:rsidRPr="001C7CE5" w:rsidRDefault="0050548F" w:rsidP="00D9256F">
            <w:pPr>
              <w:pStyle w:val="TableParagraph"/>
              <w:keepNext/>
              <w:keepLines/>
              <w:rPr>
                <w:rFonts w:ascii="Calibri" w:hAnsi="Calibri" w:cs="Calibri"/>
                <w:sz w:val="24"/>
                <w:szCs w:val="24"/>
              </w:rPr>
            </w:pPr>
            <w:r w:rsidRPr="0074526B">
              <w:rPr>
                <w:rFonts w:ascii="Calibri" w:hAnsi="Calibri" w:cs="Calibri"/>
                <w:sz w:val="24"/>
                <w:szCs w:val="24"/>
              </w:rPr>
              <w:t>Column Title</w:t>
            </w:r>
          </w:p>
        </w:tc>
        <w:tc>
          <w:tcPr>
            <w:tcW w:w="0" w:type="auto"/>
          </w:tcPr>
          <w:p w14:paraId="6E77F0B2" w14:textId="4C2FF865" w:rsidR="00765323" w:rsidRPr="001C7CE5" w:rsidRDefault="0050548F" w:rsidP="00D9256F">
            <w:pPr>
              <w:pStyle w:val="TableParagraph"/>
              <w:keepNext/>
              <w:keepLines/>
              <w:rPr>
                <w:rFonts w:ascii="Calibri" w:hAnsi="Calibri" w:cs="Calibri"/>
                <w:sz w:val="24"/>
                <w:szCs w:val="24"/>
              </w:rPr>
            </w:pPr>
            <w:r w:rsidRPr="0074526B">
              <w:rPr>
                <w:rFonts w:ascii="Calibri" w:hAnsi="Calibri" w:cs="Calibri"/>
                <w:sz w:val="24"/>
                <w:szCs w:val="24"/>
              </w:rPr>
              <w:t>Description</w:t>
            </w:r>
          </w:p>
        </w:tc>
        <w:tc>
          <w:tcPr>
            <w:tcW w:w="0" w:type="auto"/>
          </w:tcPr>
          <w:p w14:paraId="0A59DF91" w14:textId="675907A4" w:rsidR="00765323" w:rsidRPr="001C7CE5" w:rsidRDefault="0050548F" w:rsidP="00D9256F">
            <w:pPr>
              <w:pStyle w:val="TableParagraph"/>
              <w:keepNext/>
              <w:keepLines/>
              <w:rPr>
                <w:rFonts w:ascii="Calibri" w:hAnsi="Calibri" w:cs="Calibri"/>
                <w:sz w:val="24"/>
                <w:szCs w:val="24"/>
              </w:rPr>
            </w:pPr>
            <w:r w:rsidRPr="0074526B">
              <w:rPr>
                <w:rFonts w:ascii="Calibri" w:hAnsi="Calibri" w:cs="Calibri"/>
                <w:sz w:val="24"/>
                <w:szCs w:val="24"/>
              </w:rPr>
              <w:t>Units</w:t>
            </w:r>
          </w:p>
        </w:tc>
      </w:tr>
      <w:tr w:rsidR="00FC3988" w:rsidRPr="00DE19DC" w14:paraId="0FA26C0F" w14:textId="77777777" w:rsidTr="00954233">
        <w:tc>
          <w:tcPr>
            <w:tcW w:w="0" w:type="auto"/>
          </w:tcPr>
          <w:p w14:paraId="4314F5DE" w14:textId="5ABF7504" w:rsidR="00FC3988" w:rsidRPr="00240E3D" w:rsidRDefault="00487DBB" w:rsidP="00D9256F">
            <w:pPr>
              <w:pStyle w:val="TableParagraph"/>
              <w:keepNext/>
              <w:keepLines/>
              <w:rPr>
                <w:rFonts w:ascii="Calibri" w:hAnsi="Calibri" w:cs="Calibri"/>
                <w:sz w:val="24"/>
                <w:szCs w:val="24"/>
              </w:rPr>
            </w:pPr>
            <w:r>
              <w:rPr>
                <w:rFonts w:ascii="Calibri" w:hAnsi="Calibri" w:cs="Calibri"/>
                <w:sz w:val="24"/>
                <w:szCs w:val="24"/>
              </w:rPr>
              <w:t>50</w:t>
            </w:r>
            <w:r w:rsidR="00FB0DD2">
              <w:rPr>
                <w:rFonts w:ascii="Calibri" w:hAnsi="Calibri" w:cs="Calibri"/>
                <w:sz w:val="24"/>
                <w:szCs w:val="24"/>
              </w:rPr>
              <w:t xml:space="preserve"> to </w:t>
            </w:r>
            <w:r w:rsidR="00223933">
              <w:rPr>
                <w:rFonts w:ascii="Calibri" w:hAnsi="Calibri" w:cs="Calibri"/>
                <w:sz w:val="24"/>
                <w:szCs w:val="24"/>
              </w:rPr>
              <w:t>6</w:t>
            </w:r>
            <w:r>
              <w:rPr>
                <w:rFonts w:ascii="Calibri" w:hAnsi="Calibri" w:cs="Calibri"/>
                <w:sz w:val="24"/>
                <w:szCs w:val="24"/>
              </w:rPr>
              <w:t>3</w:t>
            </w:r>
          </w:p>
        </w:tc>
        <w:tc>
          <w:tcPr>
            <w:tcW w:w="0" w:type="auto"/>
          </w:tcPr>
          <w:p w14:paraId="40AFFDD9" w14:textId="691A1D4D" w:rsidR="00FC3988" w:rsidRPr="001C7CE5" w:rsidRDefault="00A40758" w:rsidP="00D9256F">
            <w:pPr>
              <w:pStyle w:val="TableParagraph"/>
              <w:keepNext/>
              <w:keepLines/>
              <w:rPr>
                <w:rFonts w:ascii="Calibri" w:hAnsi="Calibri" w:cs="Calibri"/>
                <w:sz w:val="24"/>
                <w:szCs w:val="24"/>
              </w:rPr>
            </w:pPr>
            <w:r w:rsidRPr="001C7CE5">
              <w:rPr>
                <w:rFonts w:ascii="Calibri" w:hAnsi="Calibri" w:cs="Calibri"/>
                <w:sz w:val="24"/>
                <w:szCs w:val="24"/>
              </w:rPr>
              <w:t>All columns</w:t>
            </w:r>
          </w:p>
        </w:tc>
        <w:tc>
          <w:tcPr>
            <w:tcW w:w="0" w:type="auto"/>
          </w:tcPr>
          <w:p w14:paraId="3AAA3A8F" w14:textId="52C90CD3" w:rsidR="00FC3988" w:rsidRPr="001C7CE5" w:rsidRDefault="00FF491D" w:rsidP="00D9256F">
            <w:pPr>
              <w:pStyle w:val="TableParagraph"/>
              <w:keepNext/>
              <w:keepLines/>
              <w:rPr>
                <w:rFonts w:ascii="Calibri" w:hAnsi="Calibri" w:cs="Calibri"/>
                <w:sz w:val="24"/>
                <w:szCs w:val="24"/>
              </w:rPr>
            </w:pPr>
            <w:r w:rsidRPr="001C7CE5">
              <w:rPr>
                <w:rFonts w:ascii="Calibri" w:hAnsi="Calibri" w:cs="Calibri"/>
                <w:sz w:val="24"/>
                <w:szCs w:val="24"/>
              </w:rPr>
              <w:t xml:space="preserve">Definitions as per </w:t>
            </w:r>
            <w:r w:rsidR="00317475" w:rsidRPr="004B0D4D">
              <w:rPr>
                <w:rFonts w:ascii="Calibri" w:hAnsi="Calibri" w:cs="Calibri"/>
                <w:sz w:val="24"/>
                <w:szCs w:val="24"/>
              </w:rPr>
              <w:t>Block</w:t>
            </w:r>
            <w:r w:rsidR="00A64EBE" w:rsidRPr="004B0D4D">
              <w:rPr>
                <w:rFonts w:ascii="Calibri" w:hAnsi="Calibri" w:cs="Calibri"/>
                <w:sz w:val="24"/>
                <w:szCs w:val="24"/>
              </w:rPr>
              <w:t xml:space="preserve"> </w:t>
            </w:r>
            <w:r w:rsidR="00A64EBE" w:rsidRPr="00A64EBE">
              <w:rPr>
                <w:rFonts w:ascii="Calibri" w:hAnsi="Calibri" w:cs="Calibri"/>
                <w:sz w:val="24"/>
                <w:szCs w:val="24"/>
              </w:rPr>
              <w:t>B: Capital Expenditure (£m; 2024-25 Price Base)</w:t>
            </w:r>
            <w:r w:rsidR="00A64EBE">
              <w:rPr>
                <w:rFonts w:ascii="Calibri" w:hAnsi="Calibri" w:cs="Calibri"/>
                <w:sz w:val="24"/>
                <w:szCs w:val="24"/>
              </w:rPr>
              <w:t xml:space="preserve"> </w:t>
            </w:r>
            <w:r w:rsidRPr="001C7CE5">
              <w:rPr>
                <w:rFonts w:ascii="Calibri" w:hAnsi="Calibri" w:cs="Calibri"/>
                <w:b/>
                <w:sz w:val="24"/>
                <w:szCs w:val="24"/>
              </w:rPr>
              <w:t xml:space="preserve">but </w:t>
            </w:r>
            <w:r w:rsidR="00D94BBD">
              <w:rPr>
                <w:rFonts w:ascii="Calibri" w:hAnsi="Calibri" w:cs="Calibri"/>
                <w:b/>
                <w:sz w:val="24"/>
                <w:szCs w:val="24"/>
              </w:rPr>
              <w:t xml:space="preserve">expenditure </w:t>
            </w:r>
            <w:r w:rsidRPr="001C7CE5">
              <w:rPr>
                <w:rFonts w:ascii="Calibri" w:hAnsi="Calibri" w:cs="Calibri"/>
                <w:b/>
                <w:sz w:val="24"/>
                <w:szCs w:val="24"/>
              </w:rPr>
              <w:t>relates to operating expenditure</w:t>
            </w:r>
            <w:r w:rsidR="00370E76">
              <w:rPr>
                <w:rFonts w:ascii="Calibri" w:hAnsi="Calibri" w:cs="Calibri"/>
                <w:b/>
                <w:sz w:val="24"/>
                <w:szCs w:val="24"/>
              </w:rPr>
              <w:t>.</w:t>
            </w:r>
          </w:p>
        </w:tc>
        <w:tc>
          <w:tcPr>
            <w:tcW w:w="0" w:type="auto"/>
          </w:tcPr>
          <w:p w14:paraId="2F9559CA" w14:textId="146F96FE" w:rsidR="00FC3988" w:rsidRPr="001C7CE5" w:rsidRDefault="00FF491D" w:rsidP="00D9256F">
            <w:pPr>
              <w:pStyle w:val="TableParagraph"/>
              <w:keepNext/>
              <w:keepLines/>
              <w:rPr>
                <w:rFonts w:ascii="Calibri" w:hAnsi="Calibri" w:cs="Calibri"/>
                <w:sz w:val="24"/>
                <w:szCs w:val="24"/>
              </w:rPr>
            </w:pPr>
            <w:r w:rsidRPr="001C7CE5">
              <w:rPr>
                <w:rFonts w:ascii="Calibri" w:hAnsi="Calibri" w:cs="Calibri"/>
                <w:sz w:val="24"/>
                <w:szCs w:val="24"/>
              </w:rPr>
              <w:t>£m in 2024-25 price base</w:t>
            </w:r>
          </w:p>
        </w:tc>
      </w:tr>
    </w:tbl>
    <w:p w14:paraId="65E4A9DB" w14:textId="77777777" w:rsidR="00677C07" w:rsidRDefault="00677C07"/>
    <w:p w14:paraId="380349A9" w14:textId="77777777" w:rsidR="002250C6" w:rsidRDefault="002250C6"/>
    <w:p w14:paraId="2D5F8722" w14:textId="77777777" w:rsidR="002D3717" w:rsidRPr="00954233" w:rsidRDefault="002D3717" w:rsidP="002D3717">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t>Block E: Primary Benefits - Outputs or Interventions</w:t>
      </w:r>
    </w:p>
    <w:p w14:paraId="44CFF0C1" w14:textId="77777777" w:rsidR="002D3717" w:rsidRPr="001C7CE5" w:rsidRDefault="002D3717" w:rsidP="002D3717">
      <w:pPr>
        <w:pStyle w:val="TableParagraph"/>
        <w:rPr>
          <w:rFonts w:ascii="Calibri" w:hAnsi="Calibri" w:cs="Calibri"/>
          <w:b/>
          <w:sz w:val="24"/>
          <w:szCs w:val="24"/>
        </w:rPr>
      </w:pPr>
    </w:p>
    <w:p w14:paraId="7853E7F0" w14:textId="77777777" w:rsidR="002D3717" w:rsidRDefault="002D3717" w:rsidP="002D3717">
      <w:r w:rsidRPr="00954233">
        <w:t xml:space="preserve">The outputs in this table should be </w:t>
      </w:r>
      <w:r w:rsidRPr="00954233">
        <w:rPr>
          <w:b/>
        </w:rPr>
        <w:t>consistent with</w:t>
      </w:r>
      <w:r w:rsidRPr="00954233">
        <w:t xml:space="preserve"> those submitted in </w:t>
      </w:r>
      <w:r w:rsidRPr="00954233">
        <w:rPr>
          <w:b/>
        </w:rPr>
        <w:t>table 2</w:t>
      </w:r>
      <w:r w:rsidRPr="00954233">
        <w:t>.</w:t>
      </w:r>
    </w:p>
    <w:p w14:paraId="45F5DB7F" w14:textId="77777777" w:rsidR="002D3717" w:rsidRPr="00954233" w:rsidRDefault="002D3717" w:rsidP="002D3717"/>
    <w:p w14:paraId="03F273FA" w14:textId="77777777" w:rsidR="002D3717" w:rsidRPr="00954233" w:rsidRDefault="002D3717" w:rsidP="002D3717">
      <w:r w:rsidRPr="00954233">
        <w:t xml:space="preserve">An asset intervention relates to activity carried out by Scottish Water on an asset. The definition of intervention(s) depends on the type of investment. These definitions are: </w:t>
      </w:r>
    </w:p>
    <w:p w14:paraId="0757F353" w14:textId="77777777" w:rsidR="002D3717" w:rsidRPr="00954233" w:rsidRDefault="002D3717" w:rsidP="002D3717">
      <w:pPr>
        <w:pStyle w:val="Bullet1"/>
      </w:pPr>
      <w:r w:rsidRPr="00954233">
        <w:t xml:space="preserve">asset replacement: the number or length of assets replaced; </w:t>
      </w:r>
    </w:p>
    <w:p w14:paraId="541E5ECA" w14:textId="77777777" w:rsidR="002D3717" w:rsidRPr="00954233" w:rsidRDefault="002D3717" w:rsidP="002D3717">
      <w:pPr>
        <w:pStyle w:val="Bullet1"/>
      </w:pPr>
      <w:r w:rsidRPr="00954233">
        <w:t>asset refurbishment: the number of discrete refurbishments carried out on an asset; and</w:t>
      </w:r>
    </w:p>
    <w:p w14:paraId="2C274898" w14:textId="77777777" w:rsidR="002D3717" w:rsidRPr="00954233" w:rsidRDefault="002D3717" w:rsidP="002D3717">
      <w:pPr>
        <w:pStyle w:val="Bullet1"/>
      </w:pPr>
      <w:r w:rsidRPr="00954233">
        <w:t>asset repair: the number of discrete repairs carried out on an asset.</w:t>
      </w:r>
    </w:p>
    <w:p w14:paraId="7A18C78E" w14:textId="77777777" w:rsidR="002D3717" w:rsidRPr="00954233" w:rsidRDefault="002D3717" w:rsidP="00954233"/>
    <w:p w14:paraId="00D3AA60" w14:textId="22E80B2C" w:rsidR="002D3717" w:rsidRDefault="002D3717" w:rsidP="002D3717">
      <w:r w:rsidRPr="00954233">
        <w:t xml:space="preserve">An output represents a tangible deliverable that will be provided by an investment driven by legislative or other requirements and will contribute to meeting the investment driver. The output could also be a measurable contribution to an outcome that Scottish Water </w:t>
      </w:r>
      <w:r w:rsidR="008005AC">
        <w:t>contributes towards</w:t>
      </w:r>
      <w:r w:rsidRPr="00954233">
        <w:t xml:space="preserve"> achieving.</w:t>
      </w:r>
    </w:p>
    <w:p w14:paraId="608169EB" w14:textId="77777777" w:rsidR="002D3717" w:rsidRDefault="002D3717"/>
    <w:tbl>
      <w:tblPr>
        <w:tblStyle w:val="Blueline"/>
        <w:tblW w:w="0" w:type="auto"/>
        <w:tblLook w:val="04A0" w:firstRow="1" w:lastRow="0" w:firstColumn="1" w:lastColumn="0" w:noHBand="0" w:noVBand="1"/>
      </w:tblPr>
      <w:tblGrid>
        <w:gridCol w:w="1369"/>
        <w:gridCol w:w="2397"/>
        <w:gridCol w:w="7725"/>
        <w:gridCol w:w="1164"/>
        <w:gridCol w:w="1915"/>
      </w:tblGrid>
      <w:tr w:rsidR="00C66AB0" w:rsidRPr="008E2C7D" w14:paraId="4ABB81FB" w14:textId="2FFE3970"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3B074546" w14:textId="2C6B04A4" w:rsidR="00C66AB0" w:rsidRPr="008E2C7D" w:rsidRDefault="00D04C95" w:rsidP="006020B4">
            <w:pPr>
              <w:pStyle w:val="TableParagraph"/>
              <w:keepNext/>
              <w:rPr>
                <w:rFonts w:ascii="Calibri" w:hAnsi="Calibri" w:cs="Calibri"/>
                <w:sz w:val="24"/>
                <w:szCs w:val="24"/>
              </w:rPr>
            </w:pPr>
            <w:r w:rsidRPr="0074526B">
              <w:rPr>
                <w:rFonts w:ascii="Calibri" w:hAnsi="Calibri" w:cs="Calibri"/>
                <w:sz w:val="24"/>
                <w:szCs w:val="24"/>
              </w:rPr>
              <w:lastRenderedPageBreak/>
              <w:t>Column</w:t>
            </w:r>
            <w:r w:rsidR="00F462DF" w:rsidRPr="0074526B">
              <w:rPr>
                <w:rFonts w:ascii="Calibri" w:hAnsi="Calibri" w:cs="Calibri"/>
                <w:sz w:val="24"/>
                <w:szCs w:val="24"/>
              </w:rPr>
              <w:t xml:space="preserve"> </w:t>
            </w:r>
            <w:r w:rsidR="00B10815" w:rsidRPr="0074526B">
              <w:rPr>
                <w:rFonts w:ascii="Calibri" w:hAnsi="Calibri" w:cs="Calibri"/>
                <w:sz w:val="24"/>
                <w:szCs w:val="24"/>
              </w:rPr>
              <w:t>Reference</w:t>
            </w:r>
          </w:p>
        </w:tc>
        <w:tc>
          <w:tcPr>
            <w:tcW w:w="0" w:type="auto"/>
          </w:tcPr>
          <w:p w14:paraId="20F95E4E" w14:textId="72110A59" w:rsidR="00C66AB0" w:rsidRPr="00A402BD" w:rsidRDefault="00B10815" w:rsidP="006020B4">
            <w:pPr>
              <w:pStyle w:val="TableParagraph"/>
              <w:keepNext/>
              <w:rPr>
                <w:rFonts w:ascii="Calibri" w:hAnsi="Calibri" w:cs="Calibri"/>
                <w:sz w:val="24"/>
                <w:szCs w:val="24"/>
              </w:rPr>
            </w:pPr>
            <w:r w:rsidRPr="0074526B">
              <w:rPr>
                <w:rFonts w:ascii="Calibri" w:hAnsi="Calibri" w:cs="Calibri"/>
                <w:sz w:val="24"/>
                <w:szCs w:val="24"/>
              </w:rPr>
              <w:t>Column Title</w:t>
            </w:r>
          </w:p>
        </w:tc>
        <w:tc>
          <w:tcPr>
            <w:tcW w:w="0" w:type="auto"/>
          </w:tcPr>
          <w:p w14:paraId="19A3A1F1" w14:textId="12C6FA69" w:rsidR="00C66AB0" w:rsidRPr="00A402BD" w:rsidRDefault="00B10815" w:rsidP="006020B4">
            <w:pPr>
              <w:pStyle w:val="TableParagraph"/>
              <w:keepNext/>
              <w:rPr>
                <w:rFonts w:ascii="Calibri" w:hAnsi="Calibri" w:cs="Calibri"/>
                <w:sz w:val="24"/>
                <w:szCs w:val="24"/>
              </w:rPr>
            </w:pPr>
            <w:r w:rsidRPr="0074526B">
              <w:rPr>
                <w:rFonts w:ascii="Calibri" w:hAnsi="Calibri" w:cs="Calibri"/>
                <w:sz w:val="24"/>
                <w:szCs w:val="24"/>
              </w:rPr>
              <w:t>Description</w:t>
            </w:r>
          </w:p>
        </w:tc>
        <w:tc>
          <w:tcPr>
            <w:tcW w:w="0" w:type="auto"/>
          </w:tcPr>
          <w:p w14:paraId="35885898" w14:textId="76814E35" w:rsidR="00C66AB0" w:rsidRPr="00A402BD" w:rsidRDefault="00B10815" w:rsidP="006020B4">
            <w:pPr>
              <w:pStyle w:val="TableParagraph"/>
              <w:keepNext/>
              <w:rPr>
                <w:rFonts w:ascii="Calibri" w:hAnsi="Calibri" w:cs="Calibri"/>
                <w:sz w:val="24"/>
                <w:szCs w:val="24"/>
              </w:rPr>
            </w:pPr>
            <w:r w:rsidRPr="0074526B">
              <w:rPr>
                <w:rFonts w:ascii="Calibri" w:hAnsi="Calibri" w:cs="Calibri"/>
                <w:sz w:val="24"/>
                <w:szCs w:val="24"/>
              </w:rPr>
              <w:t>Units</w:t>
            </w:r>
          </w:p>
        </w:tc>
        <w:tc>
          <w:tcPr>
            <w:tcW w:w="0" w:type="auto"/>
          </w:tcPr>
          <w:p w14:paraId="78B7C09F" w14:textId="1CB09BC0" w:rsidR="008E1184" w:rsidRPr="00954233" w:rsidRDefault="008E1184" w:rsidP="006020B4">
            <w:pPr>
              <w:pStyle w:val="TableParagraph"/>
              <w:keepNext/>
              <w:rPr>
                <w:rFonts w:ascii="Calibri" w:hAnsi="Calibri" w:cs="Calibri"/>
                <w:sz w:val="24"/>
                <w:szCs w:val="24"/>
              </w:rPr>
            </w:pPr>
            <w:r w:rsidRPr="0074526B">
              <w:rPr>
                <w:rFonts w:ascii="Calibri" w:hAnsi="Calibri" w:cs="Calibri"/>
                <w:sz w:val="24"/>
                <w:szCs w:val="24"/>
              </w:rPr>
              <w:t xml:space="preserve">Annual Return 2023-24 Table </w:t>
            </w:r>
            <w:r w:rsidR="00544EAE" w:rsidRPr="0074526B">
              <w:rPr>
                <w:rFonts w:ascii="Calibri" w:hAnsi="Calibri" w:cs="Calibri"/>
                <w:sz w:val="24"/>
                <w:szCs w:val="24"/>
              </w:rPr>
              <w:t>G</w:t>
            </w:r>
            <w:r w:rsidRPr="0074526B">
              <w:rPr>
                <w:rFonts w:ascii="Calibri" w:hAnsi="Calibri" w:cs="Calibri"/>
                <w:sz w:val="24"/>
                <w:szCs w:val="24"/>
              </w:rPr>
              <w:t>6a column reference</w:t>
            </w:r>
          </w:p>
        </w:tc>
      </w:tr>
      <w:tr w:rsidR="00BD4976" w:rsidRPr="00241675" w14:paraId="4F7810E3" w14:textId="77777777" w:rsidTr="00954233">
        <w:tc>
          <w:tcPr>
            <w:tcW w:w="0" w:type="auto"/>
          </w:tcPr>
          <w:p w14:paraId="2506BCC5" w14:textId="7DF8FABC" w:rsidR="00BD4976" w:rsidRPr="00241675" w:rsidRDefault="00241675" w:rsidP="00241675">
            <w:pPr>
              <w:pStyle w:val="TableParagraph"/>
              <w:rPr>
                <w:rFonts w:ascii="Calibri" w:hAnsi="Calibri" w:cs="Calibri"/>
                <w:sz w:val="24"/>
                <w:szCs w:val="24"/>
              </w:rPr>
            </w:pPr>
            <w:r w:rsidRPr="00241675">
              <w:rPr>
                <w:rFonts w:ascii="Calibri" w:hAnsi="Calibri" w:cs="Calibri"/>
                <w:sz w:val="24"/>
                <w:szCs w:val="24"/>
              </w:rPr>
              <w:t>6</w:t>
            </w:r>
            <w:r w:rsidR="00A00250">
              <w:rPr>
                <w:rFonts w:ascii="Calibri" w:hAnsi="Calibri" w:cs="Calibri"/>
                <w:sz w:val="24"/>
                <w:szCs w:val="24"/>
              </w:rPr>
              <w:t>4</w:t>
            </w:r>
          </w:p>
        </w:tc>
        <w:tc>
          <w:tcPr>
            <w:tcW w:w="0" w:type="auto"/>
          </w:tcPr>
          <w:p w14:paraId="0E848BCA" w14:textId="2B21C8E7" w:rsidR="00BD4976" w:rsidRPr="00241675" w:rsidRDefault="00241675" w:rsidP="00241675">
            <w:pPr>
              <w:pStyle w:val="TableParagraph"/>
              <w:rPr>
                <w:rFonts w:ascii="Calibri" w:hAnsi="Calibri" w:cs="Calibri"/>
                <w:sz w:val="24"/>
                <w:szCs w:val="24"/>
              </w:rPr>
            </w:pPr>
            <w:r>
              <w:rPr>
                <w:rFonts w:ascii="Calibri" w:hAnsi="Calibri" w:cs="Calibri"/>
                <w:sz w:val="24"/>
                <w:szCs w:val="24"/>
              </w:rPr>
              <w:t>Output or intervention type</w:t>
            </w:r>
          </w:p>
        </w:tc>
        <w:tc>
          <w:tcPr>
            <w:tcW w:w="0" w:type="auto"/>
          </w:tcPr>
          <w:p w14:paraId="0DF37D08" w14:textId="716D0634" w:rsidR="00BD4976" w:rsidRPr="00241675" w:rsidRDefault="00241675" w:rsidP="008877CB">
            <w:pPr>
              <w:pStyle w:val="TableParagraph"/>
              <w:spacing w:after="60"/>
              <w:rPr>
                <w:rFonts w:ascii="Calibri" w:hAnsi="Calibri" w:cs="Calibri"/>
                <w:sz w:val="24"/>
                <w:szCs w:val="24"/>
              </w:rPr>
            </w:pPr>
            <w:r>
              <w:rPr>
                <w:rFonts w:ascii="Calibri" w:hAnsi="Calibri" w:cs="Calibri"/>
                <w:sz w:val="24"/>
                <w:szCs w:val="24"/>
              </w:rPr>
              <w:t>Drop-down menu. Options: Enhancement output, Growth output, Replacement intervention, Repair&amp;Refurb</w:t>
            </w:r>
            <w:r w:rsidR="008005AC">
              <w:rPr>
                <w:rFonts w:ascii="Calibri" w:hAnsi="Calibri" w:cs="Calibri"/>
                <w:sz w:val="24"/>
                <w:szCs w:val="24"/>
              </w:rPr>
              <w:t>(ishment)</w:t>
            </w:r>
            <w:r>
              <w:rPr>
                <w:rFonts w:ascii="Calibri" w:hAnsi="Calibri" w:cs="Calibri"/>
                <w:sz w:val="24"/>
                <w:szCs w:val="24"/>
              </w:rPr>
              <w:t xml:space="preserve"> intervention.</w:t>
            </w:r>
          </w:p>
        </w:tc>
        <w:tc>
          <w:tcPr>
            <w:tcW w:w="0" w:type="auto"/>
          </w:tcPr>
          <w:p w14:paraId="51105BAB" w14:textId="1258839C" w:rsidR="00BD4976" w:rsidRPr="00241675" w:rsidRDefault="00D97468" w:rsidP="00241675">
            <w:pPr>
              <w:pStyle w:val="TableParagraph"/>
              <w:rPr>
                <w:rFonts w:ascii="Calibri" w:hAnsi="Calibri" w:cs="Calibri"/>
                <w:sz w:val="24"/>
                <w:szCs w:val="24"/>
              </w:rPr>
            </w:pPr>
            <w:r>
              <w:rPr>
                <w:rFonts w:ascii="Calibri" w:hAnsi="Calibri" w:cs="Calibri"/>
                <w:sz w:val="24"/>
                <w:szCs w:val="24"/>
              </w:rPr>
              <w:t>N/A</w:t>
            </w:r>
          </w:p>
        </w:tc>
        <w:tc>
          <w:tcPr>
            <w:tcW w:w="0" w:type="auto"/>
          </w:tcPr>
          <w:p w14:paraId="7B999F10" w14:textId="77777777" w:rsidR="00BD4976" w:rsidRPr="00241675" w:rsidRDefault="00BD4976" w:rsidP="00241675">
            <w:pPr>
              <w:pStyle w:val="TableParagraph"/>
              <w:rPr>
                <w:rFonts w:ascii="Calibri" w:hAnsi="Calibri" w:cs="Calibri"/>
                <w:sz w:val="24"/>
                <w:szCs w:val="24"/>
              </w:rPr>
            </w:pPr>
          </w:p>
        </w:tc>
      </w:tr>
      <w:tr w:rsidR="00FC3988" w:rsidRPr="008E2C7D" w14:paraId="052C4ADF" w14:textId="62FA899A" w:rsidTr="00954233">
        <w:tc>
          <w:tcPr>
            <w:tcW w:w="0" w:type="auto"/>
          </w:tcPr>
          <w:p w14:paraId="65182E79" w14:textId="53B7E7CC" w:rsidR="00FC3988" w:rsidRPr="008E2C7D" w:rsidRDefault="001C194D" w:rsidP="00FC3988">
            <w:pPr>
              <w:pStyle w:val="TableParagraph"/>
              <w:rPr>
                <w:rFonts w:ascii="Calibri" w:hAnsi="Calibri" w:cs="Calibri"/>
                <w:sz w:val="24"/>
                <w:szCs w:val="24"/>
              </w:rPr>
            </w:pPr>
            <w:r>
              <w:rPr>
                <w:rFonts w:ascii="Calibri" w:hAnsi="Calibri" w:cs="Calibri"/>
                <w:sz w:val="24"/>
                <w:szCs w:val="24"/>
              </w:rPr>
              <w:t>6</w:t>
            </w:r>
            <w:r w:rsidR="00A00250">
              <w:rPr>
                <w:rFonts w:ascii="Calibri" w:hAnsi="Calibri" w:cs="Calibri"/>
                <w:sz w:val="24"/>
                <w:szCs w:val="24"/>
              </w:rPr>
              <w:t>5</w:t>
            </w:r>
          </w:p>
        </w:tc>
        <w:tc>
          <w:tcPr>
            <w:tcW w:w="0" w:type="auto"/>
          </w:tcPr>
          <w:p w14:paraId="1EA2E29D" w14:textId="2AA8C19E" w:rsidR="00FC3988" w:rsidRPr="003A3EB2" w:rsidRDefault="001232CE" w:rsidP="00FC3988">
            <w:pPr>
              <w:pStyle w:val="TableParagraph"/>
              <w:rPr>
                <w:rFonts w:ascii="Calibri" w:hAnsi="Calibri" w:cs="Calibri"/>
                <w:sz w:val="24"/>
                <w:szCs w:val="24"/>
              </w:rPr>
            </w:pPr>
            <w:r w:rsidRPr="003A3EB2">
              <w:rPr>
                <w:rFonts w:ascii="Calibri" w:hAnsi="Calibri" w:cs="Calibri"/>
                <w:sz w:val="24"/>
                <w:szCs w:val="24"/>
              </w:rPr>
              <w:t xml:space="preserve">Primary </w:t>
            </w:r>
            <w:r w:rsidR="00970E35">
              <w:rPr>
                <w:rFonts w:ascii="Calibri" w:hAnsi="Calibri" w:cs="Calibri"/>
                <w:sz w:val="24"/>
                <w:szCs w:val="24"/>
              </w:rPr>
              <w:t>o</w:t>
            </w:r>
            <w:r w:rsidRPr="003A3EB2">
              <w:rPr>
                <w:rFonts w:ascii="Calibri" w:hAnsi="Calibri" w:cs="Calibri"/>
                <w:sz w:val="24"/>
                <w:szCs w:val="24"/>
              </w:rPr>
              <w:t>utput</w:t>
            </w:r>
          </w:p>
        </w:tc>
        <w:tc>
          <w:tcPr>
            <w:tcW w:w="0" w:type="auto"/>
          </w:tcPr>
          <w:p w14:paraId="69DC6D16" w14:textId="13C646AA" w:rsidR="00FC3988" w:rsidRPr="003A3EB2" w:rsidRDefault="00CA19D0" w:rsidP="008877CB">
            <w:pPr>
              <w:pStyle w:val="TableParagraph"/>
              <w:spacing w:after="60"/>
              <w:rPr>
                <w:rFonts w:ascii="Calibri" w:hAnsi="Calibri" w:cs="Calibri"/>
                <w:sz w:val="24"/>
                <w:szCs w:val="24"/>
              </w:rPr>
            </w:pPr>
            <w:r w:rsidRPr="003A3EB2">
              <w:rPr>
                <w:rFonts w:ascii="Calibri" w:hAnsi="Calibri" w:cs="Calibri"/>
                <w:sz w:val="24"/>
                <w:szCs w:val="24"/>
              </w:rPr>
              <w:t>The primary tangible deliverable</w:t>
            </w:r>
            <w:r w:rsidR="007F406D">
              <w:rPr>
                <w:rFonts w:ascii="Calibri" w:hAnsi="Calibri" w:cs="Calibri"/>
                <w:sz w:val="24"/>
                <w:szCs w:val="24"/>
              </w:rPr>
              <w:t xml:space="preserve">. </w:t>
            </w:r>
            <w:r w:rsidR="00A02C23">
              <w:rPr>
                <w:rFonts w:ascii="Calibri" w:hAnsi="Calibri" w:cs="Calibri"/>
                <w:sz w:val="24"/>
                <w:szCs w:val="24"/>
              </w:rPr>
              <w:t>Scottish Water should input</w:t>
            </w:r>
            <w:r w:rsidR="0037522A">
              <w:rPr>
                <w:rFonts w:ascii="Calibri" w:hAnsi="Calibri" w:cs="Calibri"/>
                <w:sz w:val="24"/>
                <w:szCs w:val="24"/>
              </w:rPr>
              <w:t xml:space="preserve"> a value</w:t>
            </w:r>
            <w:r w:rsidR="00A02C23">
              <w:rPr>
                <w:rFonts w:ascii="Calibri" w:hAnsi="Calibri" w:cs="Calibri"/>
                <w:sz w:val="24"/>
                <w:szCs w:val="24"/>
              </w:rPr>
              <w:t xml:space="preserve"> in this column only if the </w:t>
            </w:r>
            <w:r w:rsidR="00483033">
              <w:rPr>
                <w:rFonts w:ascii="Calibri" w:hAnsi="Calibri" w:cs="Calibri"/>
                <w:sz w:val="24"/>
                <w:szCs w:val="24"/>
              </w:rPr>
              <w:t>project/pro</w:t>
            </w:r>
            <w:r w:rsidR="005A29F4">
              <w:rPr>
                <w:rFonts w:ascii="Calibri" w:hAnsi="Calibri" w:cs="Calibri"/>
                <w:sz w:val="24"/>
                <w:szCs w:val="24"/>
              </w:rPr>
              <w:t xml:space="preserve">gramme’s primary benefit relates to an enhancement or growth output as per column </w:t>
            </w:r>
            <w:r w:rsidR="00B710DA">
              <w:rPr>
                <w:rFonts w:ascii="Calibri" w:hAnsi="Calibri" w:cs="Calibri"/>
                <w:sz w:val="24"/>
                <w:szCs w:val="24"/>
              </w:rPr>
              <w:t>64</w:t>
            </w:r>
            <w:r w:rsidR="005A29F4">
              <w:rPr>
                <w:rFonts w:ascii="Calibri" w:hAnsi="Calibri" w:cs="Calibri"/>
                <w:sz w:val="24"/>
                <w:szCs w:val="24"/>
              </w:rPr>
              <w:t xml:space="preserve">. </w:t>
            </w:r>
            <w:r w:rsidR="007F406D">
              <w:rPr>
                <w:rFonts w:ascii="Calibri" w:hAnsi="Calibri" w:cs="Calibri"/>
                <w:sz w:val="24"/>
                <w:szCs w:val="24"/>
              </w:rPr>
              <w:t xml:space="preserve">Scottish Water should ensure </w:t>
            </w:r>
            <w:r w:rsidR="00DD5A0D">
              <w:rPr>
                <w:rFonts w:ascii="Calibri" w:hAnsi="Calibri" w:cs="Calibri"/>
                <w:sz w:val="24"/>
                <w:szCs w:val="24"/>
              </w:rPr>
              <w:t xml:space="preserve">the </w:t>
            </w:r>
            <w:r w:rsidR="00C92DA5">
              <w:rPr>
                <w:rFonts w:ascii="Calibri" w:hAnsi="Calibri" w:cs="Calibri"/>
                <w:sz w:val="24"/>
                <w:szCs w:val="24"/>
              </w:rPr>
              <w:t xml:space="preserve">text input reconciles with the list of </w:t>
            </w:r>
            <w:r w:rsidR="00633C5C">
              <w:rPr>
                <w:rFonts w:ascii="Calibri" w:hAnsi="Calibri" w:cs="Calibri"/>
                <w:sz w:val="24"/>
                <w:szCs w:val="24"/>
              </w:rPr>
              <w:t xml:space="preserve">outputs in </w:t>
            </w:r>
            <w:r w:rsidR="00633C5C" w:rsidDel="0037522A">
              <w:rPr>
                <w:rFonts w:ascii="Calibri" w:hAnsi="Calibri" w:cs="Calibri"/>
                <w:sz w:val="24"/>
                <w:szCs w:val="24"/>
              </w:rPr>
              <w:t xml:space="preserve">table 2 (unless it relates to </w:t>
            </w:r>
            <w:r w:rsidR="004D356A" w:rsidDel="0037522A">
              <w:rPr>
                <w:rFonts w:ascii="Calibri" w:hAnsi="Calibri" w:cs="Calibri"/>
                <w:sz w:val="24"/>
                <w:szCs w:val="24"/>
              </w:rPr>
              <w:t xml:space="preserve">output expenditure </w:t>
            </w:r>
            <w:r w:rsidR="00BB1E4C" w:rsidDel="0037522A">
              <w:rPr>
                <w:rFonts w:ascii="Calibri" w:hAnsi="Calibri" w:cs="Calibri"/>
                <w:sz w:val="24"/>
                <w:szCs w:val="24"/>
              </w:rPr>
              <w:t>included in lines 2.</w:t>
            </w:r>
            <w:r w:rsidR="00851F1C">
              <w:rPr>
                <w:rFonts w:ascii="Calibri" w:hAnsi="Calibri" w:cs="Calibri"/>
                <w:sz w:val="24"/>
                <w:szCs w:val="24"/>
              </w:rPr>
              <w:t>58</w:t>
            </w:r>
            <w:r w:rsidR="00851F1C" w:rsidDel="0037522A">
              <w:rPr>
                <w:rFonts w:ascii="Calibri" w:hAnsi="Calibri" w:cs="Calibri"/>
                <w:sz w:val="24"/>
                <w:szCs w:val="24"/>
              </w:rPr>
              <w:t xml:space="preserve"> </w:t>
            </w:r>
            <w:r w:rsidR="00BB1E4C" w:rsidDel="0037522A">
              <w:rPr>
                <w:rFonts w:ascii="Calibri" w:hAnsi="Calibri" w:cs="Calibri"/>
                <w:sz w:val="24"/>
                <w:szCs w:val="24"/>
              </w:rPr>
              <w:t>and 2.</w:t>
            </w:r>
            <w:r w:rsidR="00851F1C">
              <w:rPr>
                <w:rFonts w:ascii="Calibri" w:hAnsi="Calibri" w:cs="Calibri"/>
                <w:sz w:val="24"/>
                <w:szCs w:val="24"/>
              </w:rPr>
              <w:t>59</w:t>
            </w:r>
            <w:r w:rsidR="00851F1C" w:rsidDel="0037522A">
              <w:rPr>
                <w:rFonts w:ascii="Calibri" w:hAnsi="Calibri" w:cs="Calibri"/>
                <w:sz w:val="24"/>
                <w:szCs w:val="24"/>
              </w:rPr>
              <w:t xml:space="preserve"> </w:t>
            </w:r>
            <w:r w:rsidR="00BB1E4C" w:rsidDel="0037522A">
              <w:rPr>
                <w:rFonts w:ascii="Calibri" w:hAnsi="Calibri" w:cs="Calibri"/>
                <w:sz w:val="24"/>
                <w:szCs w:val="24"/>
              </w:rPr>
              <w:t xml:space="preserve">for “Other enhancement </w:t>
            </w:r>
            <w:r w:rsidR="0037522A">
              <w:rPr>
                <w:rFonts w:ascii="Calibri" w:hAnsi="Calibri" w:cs="Calibri"/>
                <w:sz w:val="24"/>
                <w:szCs w:val="24"/>
              </w:rPr>
              <w:t>expenditure” and “Other growth expenditure”,</w:t>
            </w:r>
            <w:r w:rsidR="00BB1E4C">
              <w:rPr>
                <w:rFonts w:ascii="Calibri" w:hAnsi="Calibri" w:cs="Calibri"/>
                <w:sz w:val="24"/>
                <w:szCs w:val="24"/>
              </w:rPr>
              <w:t xml:space="preserve"> respectively).</w:t>
            </w:r>
          </w:p>
        </w:tc>
        <w:tc>
          <w:tcPr>
            <w:tcW w:w="0" w:type="auto"/>
          </w:tcPr>
          <w:p w14:paraId="4851CCD8" w14:textId="15375F94" w:rsidR="00FC3988" w:rsidRPr="003A3EB2" w:rsidRDefault="00B10815" w:rsidP="00FC3988">
            <w:pPr>
              <w:pStyle w:val="TableParagraph"/>
              <w:rPr>
                <w:rFonts w:ascii="Calibri" w:hAnsi="Calibri" w:cs="Calibri"/>
                <w:sz w:val="24"/>
                <w:szCs w:val="24"/>
              </w:rPr>
            </w:pPr>
            <w:r w:rsidRPr="003A3EB2">
              <w:rPr>
                <w:rFonts w:ascii="Calibri" w:hAnsi="Calibri" w:cs="Calibri"/>
                <w:sz w:val="24"/>
                <w:szCs w:val="24"/>
              </w:rPr>
              <w:t xml:space="preserve">Text </w:t>
            </w:r>
          </w:p>
        </w:tc>
        <w:tc>
          <w:tcPr>
            <w:tcW w:w="0" w:type="auto"/>
          </w:tcPr>
          <w:p w14:paraId="5531D8D6" w14:textId="7D7380D5" w:rsidR="008E1184" w:rsidRPr="003A3EB2" w:rsidRDefault="008E1184" w:rsidP="008E1184">
            <w:pPr>
              <w:pStyle w:val="TableParagraph"/>
              <w:rPr>
                <w:rFonts w:ascii="Calibri" w:hAnsi="Calibri" w:cs="Calibri"/>
                <w:sz w:val="24"/>
                <w:szCs w:val="24"/>
              </w:rPr>
            </w:pPr>
            <w:r w:rsidRPr="003A3EB2">
              <w:rPr>
                <w:rFonts w:ascii="Calibri" w:hAnsi="Calibri" w:cs="Calibri"/>
                <w:sz w:val="24"/>
                <w:szCs w:val="24"/>
              </w:rPr>
              <w:t>41</w:t>
            </w:r>
          </w:p>
        </w:tc>
      </w:tr>
      <w:tr w:rsidR="00917A1B" w:rsidRPr="008E2C7D" w14:paraId="03AD948B" w14:textId="77777777" w:rsidTr="00954233">
        <w:tc>
          <w:tcPr>
            <w:tcW w:w="0" w:type="auto"/>
          </w:tcPr>
          <w:p w14:paraId="24AD7F0D" w14:textId="3891AC65" w:rsidR="00917A1B" w:rsidRPr="008E2C7D" w:rsidRDefault="00D97468" w:rsidP="00917A1B">
            <w:pPr>
              <w:pStyle w:val="TableParagraph"/>
              <w:rPr>
                <w:rFonts w:ascii="Calibri" w:hAnsi="Calibri" w:cs="Calibri"/>
                <w:sz w:val="24"/>
                <w:szCs w:val="24"/>
              </w:rPr>
            </w:pPr>
            <w:r>
              <w:rPr>
                <w:rFonts w:ascii="Calibri" w:hAnsi="Calibri" w:cs="Calibri"/>
                <w:sz w:val="24"/>
                <w:szCs w:val="24"/>
              </w:rPr>
              <w:t>6</w:t>
            </w:r>
            <w:r w:rsidR="00A00250">
              <w:rPr>
                <w:rFonts w:ascii="Calibri" w:hAnsi="Calibri" w:cs="Calibri"/>
                <w:sz w:val="24"/>
                <w:szCs w:val="24"/>
              </w:rPr>
              <w:t>6</w:t>
            </w:r>
          </w:p>
        </w:tc>
        <w:tc>
          <w:tcPr>
            <w:tcW w:w="0" w:type="auto"/>
          </w:tcPr>
          <w:p w14:paraId="2EEFCC46" w14:textId="0DD13341"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Functional </w:t>
            </w:r>
            <w:r>
              <w:rPr>
                <w:rFonts w:ascii="Calibri" w:hAnsi="Calibri" w:cs="Calibri"/>
                <w:sz w:val="24"/>
                <w:szCs w:val="24"/>
              </w:rPr>
              <w:t>a</w:t>
            </w:r>
            <w:r w:rsidRPr="00EB3611">
              <w:rPr>
                <w:rFonts w:ascii="Calibri" w:hAnsi="Calibri" w:cs="Calibri"/>
                <w:sz w:val="24"/>
                <w:szCs w:val="24"/>
              </w:rPr>
              <w:t>ctivity</w:t>
            </w:r>
          </w:p>
        </w:tc>
        <w:tc>
          <w:tcPr>
            <w:tcW w:w="0" w:type="auto"/>
          </w:tcPr>
          <w:p w14:paraId="407C55E6" w14:textId="16B54EF0" w:rsidR="00917A1B" w:rsidRPr="003E1247" w:rsidRDefault="00CC7A55"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input a value in this column if the project/programme’s primary benefit relates to a replacement or </w:t>
            </w:r>
            <w:r>
              <w:rPr>
                <w:rFonts w:ascii="Calibri" w:hAnsi="Calibri" w:cs="Calibri"/>
                <w:sz w:val="24"/>
                <w:szCs w:val="24"/>
              </w:rPr>
              <w:t>repair</w:t>
            </w:r>
            <w:r w:rsidR="00374246">
              <w:rPr>
                <w:rFonts w:ascii="Calibri" w:hAnsi="Calibri" w:cs="Calibri"/>
                <w:sz w:val="24"/>
                <w:szCs w:val="24"/>
              </w:rPr>
              <w:t>&amp;refurb</w:t>
            </w:r>
            <w:r w:rsidR="00494815">
              <w:rPr>
                <w:rFonts w:ascii="Calibri" w:hAnsi="Calibri" w:cs="Calibri"/>
                <w:sz w:val="24"/>
                <w:szCs w:val="24"/>
              </w:rPr>
              <w:t>(ishment)</w:t>
            </w:r>
            <w:r w:rsidR="00374246">
              <w:rPr>
                <w:rFonts w:ascii="Calibri" w:hAnsi="Calibri" w:cs="Calibri"/>
                <w:sz w:val="24"/>
                <w:szCs w:val="24"/>
              </w:rPr>
              <w:t xml:space="preserve"> intervention</w:t>
            </w:r>
            <w:r w:rsidR="00865B8C">
              <w:rPr>
                <w:rFonts w:ascii="Calibri" w:hAnsi="Calibri" w:cs="Calibri"/>
                <w:sz w:val="24"/>
                <w:szCs w:val="24"/>
              </w:rPr>
              <w:t xml:space="preserve"> as per column </w:t>
            </w:r>
            <w:r w:rsidR="00135F5D">
              <w:rPr>
                <w:rFonts w:ascii="Calibri" w:hAnsi="Calibri" w:cs="Calibri"/>
                <w:sz w:val="24"/>
                <w:szCs w:val="24"/>
              </w:rPr>
              <w:t>64</w:t>
            </w:r>
            <w:r w:rsidR="003E4408">
              <w:rPr>
                <w:rFonts w:ascii="Calibri" w:hAnsi="Calibri" w:cs="Calibri"/>
                <w:sz w:val="24"/>
                <w:szCs w:val="24"/>
              </w:rPr>
              <w:t>. Scottish Water should ensure the text input reconciles with the list of functional activities in table 3</w:t>
            </w:r>
            <w:r w:rsidR="000B4513">
              <w:rPr>
                <w:rFonts w:ascii="Calibri" w:hAnsi="Calibri" w:cs="Calibri"/>
                <w:sz w:val="24"/>
                <w:szCs w:val="24"/>
              </w:rPr>
              <w:t>a</w:t>
            </w:r>
            <w:r w:rsidR="003E4408">
              <w:rPr>
                <w:rFonts w:ascii="Calibri" w:hAnsi="Calibri" w:cs="Calibri"/>
                <w:sz w:val="24"/>
                <w:szCs w:val="24"/>
              </w:rPr>
              <w:t>, column “Functional activity”.</w:t>
            </w:r>
            <w:r w:rsidR="00917A1B" w:rsidRPr="00EB3611">
              <w:rPr>
                <w:rFonts w:ascii="Calibri" w:hAnsi="Calibri" w:cs="Calibri"/>
                <w:sz w:val="24"/>
                <w:szCs w:val="24"/>
              </w:rPr>
              <w:t xml:space="preserve"> </w:t>
            </w:r>
          </w:p>
        </w:tc>
        <w:tc>
          <w:tcPr>
            <w:tcW w:w="0" w:type="auto"/>
          </w:tcPr>
          <w:p w14:paraId="7CF8226E" w14:textId="13E07986"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564DD9E9" w14:textId="25A2D68F"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6</w:t>
            </w:r>
          </w:p>
        </w:tc>
      </w:tr>
      <w:tr w:rsidR="00917A1B" w:rsidRPr="008E2C7D" w14:paraId="2F817535" w14:textId="77777777" w:rsidTr="00954233">
        <w:tc>
          <w:tcPr>
            <w:tcW w:w="0" w:type="auto"/>
          </w:tcPr>
          <w:p w14:paraId="3DD27635" w14:textId="628373F1" w:rsidR="00917A1B" w:rsidRPr="008E2C7D" w:rsidRDefault="00865B8C" w:rsidP="00917A1B">
            <w:pPr>
              <w:pStyle w:val="TableParagraph"/>
              <w:rPr>
                <w:rFonts w:ascii="Calibri" w:hAnsi="Calibri" w:cs="Calibri"/>
                <w:sz w:val="24"/>
                <w:szCs w:val="24"/>
              </w:rPr>
            </w:pPr>
            <w:r>
              <w:rPr>
                <w:rFonts w:ascii="Calibri" w:hAnsi="Calibri" w:cs="Calibri"/>
                <w:sz w:val="24"/>
                <w:szCs w:val="24"/>
              </w:rPr>
              <w:t>6</w:t>
            </w:r>
            <w:r w:rsidR="00A00250">
              <w:rPr>
                <w:rFonts w:ascii="Calibri" w:hAnsi="Calibri" w:cs="Calibri"/>
                <w:sz w:val="24"/>
                <w:szCs w:val="24"/>
              </w:rPr>
              <w:t>7</w:t>
            </w:r>
          </w:p>
        </w:tc>
        <w:tc>
          <w:tcPr>
            <w:tcW w:w="0" w:type="auto"/>
          </w:tcPr>
          <w:p w14:paraId="4E0DABB7" w14:textId="730DED5C"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Asset category </w:t>
            </w:r>
          </w:p>
        </w:tc>
        <w:tc>
          <w:tcPr>
            <w:tcW w:w="0" w:type="auto"/>
          </w:tcPr>
          <w:p w14:paraId="7D816ADC" w14:textId="2E9413D9" w:rsidR="00917A1B" w:rsidRPr="003E1247" w:rsidRDefault="00E30757"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input a value in this column if the project/programme’s primary benefit relates to a replacement or </w:t>
            </w:r>
            <w:r>
              <w:rPr>
                <w:rFonts w:ascii="Calibri" w:hAnsi="Calibri" w:cs="Calibri"/>
                <w:sz w:val="24"/>
                <w:szCs w:val="24"/>
              </w:rPr>
              <w:t>repair&amp;refurb</w:t>
            </w:r>
            <w:r w:rsidR="00CA7C25">
              <w:rPr>
                <w:rFonts w:ascii="Calibri" w:hAnsi="Calibri" w:cs="Calibri"/>
                <w:sz w:val="24"/>
                <w:szCs w:val="24"/>
              </w:rPr>
              <w:t>(ishment)</w:t>
            </w:r>
            <w:r>
              <w:rPr>
                <w:rFonts w:ascii="Calibri" w:hAnsi="Calibri" w:cs="Calibri"/>
                <w:sz w:val="24"/>
                <w:szCs w:val="24"/>
              </w:rPr>
              <w:t xml:space="preserve"> intervention</w:t>
            </w:r>
            <w:r w:rsidR="00865B8C">
              <w:rPr>
                <w:rFonts w:ascii="Calibri" w:hAnsi="Calibri" w:cs="Calibri"/>
                <w:sz w:val="24"/>
                <w:szCs w:val="24"/>
              </w:rPr>
              <w:t xml:space="preserve"> as per column </w:t>
            </w:r>
            <w:r w:rsidR="00290F06">
              <w:rPr>
                <w:rFonts w:ascii="Calibri" w:hAnsi="Calibri" w:cs="Calibri"/>
                <w:sz w:val="24"/>
                <w:szCs w:val="24"/>
              </w:rPr>
              <w:t>64</w:t>
            </w:r>
            <w:r>
              <w:rPr>
                <w:rFonts w:ascii="Calibri" w:hAnsi="Calibri" w:cs="Calibri"/>
                <w:sz w:val="24"/>
                <w:szCs w:val="24"/>
              </w:rPr>
              <w:t xml:space="preserve">. Scottish Water should ensure the text input reconciles with the list of asset categories in </w:t>
            </w:r>
            <w:r w:rsidR="00917A1B">
              <w:rPr>
                <w:rFonts w:ascii="Calibri" w:hAnsi="Calibri" w:cs="Calibri"/>
                <w:sz w:val="24"/>
                <w:szCs w:val="24"/>
              </w:rPr>
              <w:t>table 3</w:t>
            </w:r>
            <w:r w:rsidR="000B4513">
              <w:rPr>
                <w:rFonts w:ascii="Calibri" w:hAnsi="Calibri" w:cs="Calibri"/>
                <w:sz w:val="24"/>
                <w:szCs w:val="24"/>
              </w:rPr>
              <w:t>a</w:t>
            </w:r>
            <w:r w:rsidR="00917A1B">
              <w:rPr>
                <w:rFonts w:ascii="Calibri" w:hAnsi="Calibri" w:cs="Calibri"/>
                <w:sz w:val="24"/>
                <w:szCs w:val="24"/>
              </w:rPr>
              <w:t>, column “Asset category”.</w:t>
            </w:r>
          </w:p>
        </w:tc>
        <w:tc>
          <w:tcPr>
            <w:tcW w:w="0" w:type="auto"/>
          </w:tcPr>
          <w:p w14:paraId="68ED82E3" w14:textId="5C28621E"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7AC3402A" w14:textId="14490686"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4</w:t>
            </w:r>
          </w:p>
        </w:tc>
      </w:tr>
      <w:tr w:rsidR="00917A1B" w:rsidRPr="008E2C7D" w14:paraId="770F138C" w14:textId="77777777" w:rsidTr="00954233">
        <w:tc>
          <w:tcPr>
            <w:tcW w:w="0" w:type="auto"/>
          </w:tcPr>
          <w:p w14:paraId="1A9EC6F6" w14:textId="2C6A9521" w:rsidR="00917A1B" w:rsidRPr="008E2C7D" w:rsidRDefault="00865B8C" w:rsidP="00917A1B">
            <w:pPr>
              <w:pStyle w:val="TableParagraph"/>
              <w:rPr>
                <w:rFonts w:ascii="Calibri" w:hAnsi="Calibri" w:cs="Calibri"/>
                <w:sz w:val="24"/>
                <w:szCs w:val="24"/>
              </w:rPr>
            </w:pPr>
            <w:r>
              <w:rPr>
                <w:rFonts w:ascii="Calibri" w:hAnsi="Calibri" w:cs="Calibri"/>
                <w:sz w:val="24"/>
                <w:szCs w:val="24"/>
              </w:rPr>
              <w:t>6</w:t>
            </w:r>
            <w:r w:rsidR="00A00250">
              <w:rPr>
                <w:rFonts w:ascii="Calibri" w:hAnsi="Calibri" w:cs="Calibri"/>
                <w:sz w:val="24"/>
                <w:szCs w:val="24"/>
              </w:rPr>
              <w:t>8</w:t>
            </w:r>
          </w:p>
        </w:tc>
        <w:tc>
          <w:tcPr>
            <w:tcW w:w="0" w:type="auto"/>
          </w:tcPr>
          <w:p w14:paraId="584397B8" w14:textId="508BEC30"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Sub asset category </w:t>
            </w:r>
          </w:p>
        </w:tc>
        <w:tc>
          <w:tcPr>
            <w:tcW w:w="0" w:type="auto"/>
          </w:tcPr>
          <w:p w14:paraId="34204B35" w14:textId="29D40604" w:rsidR="00917A1B" w:rsidRPr="003E1247" w:rsidRDefault="00E30757"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input a value in this column if the project/programme’s primary benefit relates to a replacement or </w:t>
            </w:r>
            <w:r>
              <w:rPr>
                <w:rFonts w:ascii="Calibri" w:hAnsi="Calibri" w:cs="Calibri"/>
                <w:sz w:val="24"/>
                <w:szCs w:val="24"/>
              </w:rPr>
              <w:t>repair&amp;refurb</w:t>
            </w:r>
            <w:r w:rsidR="00CA7C25">
              <w:rPr>
                <w:rFonts w:ascii="Calibri" w:hAnsi="Calibri" w:cs="Calibri"/>
                <w:sz w:val="24"/>
                <w:szCs w:val="24"/>
              </w:rPr>
              <w:t>(ishment)</w:t>
            </w:r>
            <w:r>
              <w:rPr>
                <w:rFonts w:ascii="Calibri" w:hAnsi="Calibri" w:cs="Calibri"/>
                <w:sz w:val="24"/>
                <w:szCs w:val="24"/>
              </w:rPr>
              <w:t xml:space="preserve"> intervention</w:t>
            </w:r>
            <w:r w:rsidR="00865B8C">
              <w:rPr>
                <w:rFonts w:ascii="Calibri" w:hAnsi="Calibri" w:cs="Calibri"/>
                <w:sz w:val="24"/>
                <w:szCs w:val="24"/>
              </w:rPr>
              <w:t xml:space="preserve"> as per column </w:t>
            </w:r>
            <w:r w:rsidR="00290F06">
              <w:rPr>
                <w:rFonts w:ascii="Calibri" w:hAnsi="Calibri" w:cs="Calibri"/>
                <w:sz w:val="24"/>
                <w:szCs w:val="24"/>
              </w:rPr>
              <w:t>64</w:t>
            </w:r>
            <w:r>
              <w:rPr>
                <w:rFonts w:ascii="Calibri" w:hAnsi="Calibri" w:cs="Calibri"/>
                <w:sz w:val="24"/>
                <w:szCs w:val="24"/>
              </w:rPr>
              <w:t xml:space="preserve">. Scottish Water should ensure the text input reconciles with the list of sub asset categories </w:t>
            </w:r>
            <w:r>
              <w:rPr>
                <w:rFonts w:ascii="Calibri" w:hAnsi="Calibri" w:cs="Calibri"/>
                <w:sz w:val="24"/>
                <w:szCs w:val="24"/>
              </w:rPr>
              <w:lastRenderedPageBreak/>
              <w:t xml:space="preserve">in </w:t>
            </w:r>
            <w:r w:rsidR="00917A1B">
              <w:rPr>
                <w:rFonts w:ascii="Calibri" w:hAnsi="Calibri" w:cs="Calibri"/>
                <w:sz w:val="24"/>
                <w:szCs w:val="24"/>
              </w:rPr>
              <w:t>table 3</w:t>
            </w:r>
            <w:r w:rsidR="000B4513">
              <w:rPr>
                <w:rFonts w:ascii="Calibri" w:hAnsi="Calibri" w:cs="Calibri"/>
                <w:sz w:val="24"/>
                <w:szCs w:val="24"/>
              </w:rPr>
              <w:t>a</w:t>
            </w:r>
            <w:r w:rsidR="00917A1B">
              <w:rPr>
                <w:rFonts w:ascii="Calibri" w:hAnsi="Calibri" w:cs="Calibri"/>
                <w:sz w:val="24"/>
                <w:szCs w:val="24"/>
              </w:rPr>
              <w:t>, column “Sub asset category”.</w:t>
            </w:r>
          </w:p>
        </w:tc>
        <w:tc>
          <w:tcPr>
            <w:tcW w:w="0" w:type="auto"/>
          </w:tcPr>
          <w:p w14:paraId="55F1F02B" w14:textId="0DB756D3"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lastRenderedPageBreak/>
              <w:t>N/A</w:t>
            </w:r>
          </w:p>
        </w:tc>
        <w:tc>
          <w:tcPr>
            <w:tcW w:w="0" w:type="auto"/>
          </w:tcPr>
          <w:p w14:paraId="3D977923" w14:textId="4D8A9F6A"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5</w:t>
            </w:r>
          </w:p>
        </w:tc>
      </w:tr>
      <w:tr w:rsidR="00917A1B" w:rsidRPr="008E2C7D" w14:paraId="1E10C39F" w14:textId="77777777" w:rsidTr="00954233">
        <w:tc>
          <w:tcPr>
            <w:tcW w:w="0" w:type="auto"/>
          </w:tcPr>
          <w:p w14:paraId="6212CC2D" w14:textId="51D3FEC0" w:rsidR="00917A1B" w:rsidRPr="008E2C7D" w:rsidRDefault="00192959" w:rsidP="00917A1B">
            <w:pPr>
              <w:pStyle w:val="TableParagraph"/>
              <w:rPr>
                <w:rFonts w:ascii="Calibri" w:hAnsi="Calibri" w:cs="Calibri"/>
                <w:sz w:val="24"/>
                <w:szCs w:val="24"/>
              </w:rPr>
            </w:pPr>
            <w:r>
              <w:rPr>
                <w:rFonts w:ascii="Calibri" w:hAnsi="Calibri" w:cs="Calibri"/>
                <w:sz w:val="24"/>
                <w:szCs w:val="24"/>
              </w:rPr>
              <w:t>6</w:t>
            </w:r>
            <w:r w:rsidR="00A00250">
              <w:rPr>
                <w:rFonts w:ascii="Calibri" w:hAnsi="Calibri" w:cs="Calibri"/>
                <w:sz w:val="24"/>
                <w:szCs w:val="24"/>
              </w:rPr>
              <w:t>9</w:t>
            </w:r>
          </w:p>
        </w:tc>
        <w:tc>
          <w:tcPr>
            <w:tcW w:w="0" w:type="auto"/>
          </w:tcPr>
          <w:p w14:paraId="062FCBB8" w14:textId="7566DA02" w:rsidR="00917A1B" w:rsidRPr="003E1247" w:rsidRDefault="009504F1" w:rsidP="00917A1B">
            <w:pPr>
              <w:pStyle w:val="TableParagraph"/>
              <w:rPr>
                <w:rFonts w:ascii="Calibri" w:hAnsi="Calibri" w:cs="Calibri"/>
                <w:sz w:val="24"/>
                <w:szCs w:val="24"/>
              </w:rPr>
            </w:pPr>
            <w:r w:rsidRPr="009504F1">
              <w:rPr>
                <w:rFonts w:ascii="Calibri" w:hAnsi="Calibri" w:cs="Calibri"/>
                <w:sz w:val="24"/>
                <w:szCs w:val="24"/>
              </w:rPr>
              <w:t>Total number of assets in the sub asset category as at 31 March 2025</w:t>
            </w:r>
          </w:p>
        </w:tc>
        <w:tc>
          <w:tcPr>
            <w:tcW w:w="0" w:type="auto"/>
          </w:tcPr>
          <w:p w14:paraId="659E1F20" w14:textId="4CE0FA0B" w:rsidR="008877CB" w:rsidRDefault="008877CB" w:rsidP="008877CB">
            <w:pPr>
              <w:pStyle w:val="TableParagraph"/>
              <w:spacing w:after="60"/>
              <w:rPr>
                <w:rFonts w:ascii="Calibri" w:hAnsi="Calibri" w:cs="Calibri"/>
                <w:sz w:val="24"/>
                <w:szCs w:val="24"/>
              </w:rPr>
            </w:pPr>
            <w:r w:rsidRPr="008877CB">
              <w:rPr>
                <w:rFonts w:ascii="Calibri" w:hAnsi="Calibri" w:cs="Calibri"/>
                <w:sz w:val="24"/>
                <w:szCs w:val="24"/>
              </w:rPr>
              <w:t xml:space="preserve">Total number of assets in the </w:t>
            </w:r>
            <w:r w:rsidRPr="008877CB" w:rsidDel="00A97B92">
              <w:rPr>
                <w:rFonts w:ascii="Calibri" w:hAnsi="Calibri" w:cs="Calibri"/>
                <w:sz w:val="24"/>
                <w:szCs w:val="24"/>
              </w:rPr>
              <w:t>sub</w:t>
            </w:r>
            <w:r w:rsidR="00A97B92">
              <w:rPr>
                <w:rFonts w:ascii="Calibri" w:hAnsi="Calibri" w:cs="Calibri"/>
                <w:sz w:val="24"/>
                <w:szCs w:val="24"/>
              </w:rPr>
              <w:t>-</w:t>
            </w:r>
            <w:r w:rsidRPr="008877CB">
              <w:rPr>
                <w:rFonts w:ascii="Calibri" w:hAnsi="Calibri" w:cs="Calibri"/>
                <w:sz w:val="24"/>
                <w:szCs w:val="24"/>
              </w:rPr>
              <w:t xml:space="preserve">asset category </w:t>
            </w:r>
            <w:r>
              <w:rPr>
                <w:rFonts w:ascii="Calibri" w:hAnsi="Calibri" w:cs="Calibri"/>
                <w:sz w:val="24"/>
                <w:szCs w:val="24"/>
              </w:rPr>
              <w:t xml:space="preserve">identified in column </w:t>
            </w:r>
            <w:r w:rsidR="006E61D9">
              <w:rPr>
                <w:rFonts w:ascii="Calibri" w:hAnsi="Calibri" w:cs="Calibri"/>
                <w:sz w:val="24"/>
                <w:szCs w:val="24"/>
              </w:rPr>
              <w:t xml:space="preserve">68 </w:t>
            </w:r>
            <w:r w:rsidRPr="008877CB">
              <w:rPr>
                <w:rFonts w:ascii="Calibri" w:hAnsi="Calibri" w:cs="Calibri"/>
                <w:sz w:val="24"/>
                <w:szCs w:val="24"/>
              </w:rPr>
              <w:t>as at 31 March 2025</w:t>
            </w:r>
            <w:r>
              <w:rPr>
                <w:rFonts w:ascii="Calibri" w:hAnsi="Calibri" w:cs="Calibri"/>
                <w:sz w:val="24"/>
                <w:szCs w:val="24"/>
              </w:rPr>
              <w:t>.</w:t>
            </w:r>
            <w:r w:rsidR="00F87979">
              <w:rPr>
                <w:rFonts w:ascii="Calibri" w:hAnsi="Calibri" w:cs="Calibri"/>
                <w:sz w:val="24"/>
                <w:szCs w:val="24"/>
              </w:rPr>
              <w:t xml:space="preserve"> This should reconcile with the value for the relevant </w:t>
            </w:r>
            <w:r w:rsidR="00F87979" w:rsidDel="00A97B92">
              <w:rPr>
                <w:rFonts w:ascii="Calibri" w:hAnsi="Calibri" w:cs="Calibri"/>
                <w:sz w:val="24"/>
                <w:szCs w:val="24"/>
              </w:rPr>
              <w:t>sub</w:t>
            </w:r>
            <w:r w:rsidR="00A97B92">
              <w:rPr>
                <w:rFonts w:ascii="Calibri" w:hAnsi="Calibri" w:cs="Calibri"/>
                <w:sz w:val="24"/>
                <w:szCs w:val="24"/>
              </w:rPr>
              <w:t>-asset</w:t>
            </w:r>
            <w:r w:rsidR="00F87979">
              <w:rPr>
                <w:rFonts w:ascii="Calibri" w:hAnsi="Calibri" w:cs="Calibri"/>
                <w:sz w:val="24"/>
                <w:szCs w:val="24"/>
              </w:rPr>
              <w:t xml:space="preserve"> category reporte</w:t>
            </w:r>
            <w:r w:rsidR="00AC68F6">
              <w:rPr>
                <w:rFonts w:ascii="Calibri" w:hAnsi="Calibri" w:cs="Calibri"/>
                <w:sz w:val="24"/>
                <w:szCs w:val="24"/>
              </w:rPr>
              <w:t xml:space="preserve">d </w:t>
            </w:r>
            <w:r w:rsidR="00F87979">
              <w:rPr>
                <w:rFonts w:ascii="Calibri" w:hAnsi="Calibri" w:cs="Calibri"/>
                <w:sz w:val="24"/>
                <w:szCs w:val="24"/>
              </w:rPr>
              <w:t>in</w:t>
            </w:r>
            <w:r w:rsidR="00AC68F6">
              <w:rPr>
                <w:rFonts w:ascii="Calibri" w:hAnsi="Calibri" w:cs="Calibri"/>
                <w:sz w:val="24"/>
                <w:szCs w:val="24"/>
              </w:rPr>
              <w:t xml:space="preserve"> table 3</w:t>
            </w:r>
            <w:r w:rsidR="000B4513">
              <w:rPr>
                <w:rFonts w:ascii="Calibri" w:hAnsi="Calibri" w:cs="Calibri"/>
                <w:sz w:val="24"/>
                <w:szCs w:val="24"/>
              </w:rPr>
              <w:t>a</w:t>
            </w:r>
            <w:r w:rsidR="00AC68F6">
              <w:rPr>
                <w:rFonts w:ascii="Calibri" w:hAnsi="Calibri" w:cs="Calibri"/>
                <w:sz w:val="24"/>
                <w:szCs w:val="24"/>
              </w:rPr>
              <w:t>,</w:t>
            </w:r>
            <w:r w:rsidR="00F87979">
              <w:rPr>
                <w:rFonts w:ascii="Calibri" w:hAnsi="Calibri" w:cs="Calibri"/>
                <w:sz w:val="24"/>
                <w:szCs w:val="24"/>
              </w:rPr>
              <w:t xml:space="preserve"> column </w:t>
            </w:r>
            <w:r w:rsidR="00AC68F6">
              <w:rPr>
                <w:rFonts w:ascii="Calibri" w:hAnsi="Calibri" w:cs="Calibri"/>
                <w:sz w:val="24"/>
                <w:szCs w:val="24"/>
              </w:rPr>
              <w:t>15</w:t>
            </w:r>
            <w:r w:rsidR="006E61D9">
              <w:rPr>
                <w:rFonts w:ascii="Calibri" w:hAnsi="Calibri" w:cs="Calibri"/>
                <w:sz w:val="24"/>
                <w:szCs w:val="24"/>
              </w:rPr>
              <w:t>.</w:t>
            </w:r>
          </w:p>
          <w:p w14:paraId="72A6FE80" w14:textId="79589D29" w:rsidR="00917A1B" w:rsidRPr="003E1247" w:rsidRDefault="003F2485" w:rsidP="008877CB">
            <w:pPr>
              <w:pStyle w:val="TableParagraph"/>
              <w:spacing w:after="60"/>
              <w:rPr>
                <w:rFonts w:ascii="Calibri" w:hAnsi="Calibri" w:cs="Calibri"/>
                <w:sz w:val="24"/>
                <w:szCs w:val="24"/>
              </w:rPr>
            </w:pPr>
            <w:r>
              <w:rPr>
                <w:rFonts w:ascii="Calibri" w:hAnsi="Calibri" w:cs="Calibri"/>
                <w:sz w:val="24"/>
                <w:szCs w:val="24"/>
              </w:rPr>
              <w:t>Scottish Water should provide input in this column only if the project/programme’s primary benefit relates to a replacement or a repair&amp;refurb</w:t>
            </w:r>
            <w:r w:rsidR="00025D0A">
              <w:rPr>
                <w:rFonts w:ascii="Calibri" w:hAnsi="Calibri" w:cs="Calibri"/>
                <w:sz w:val="24"/>
                <w:szCs w:val="24"/>
              </w:rPr>
              <w:t>(ishment)</w:t>
            </w:r>
            <w:r>
              <w:rPr>
                <w:rFonts w:ascii="Calibri" w:hAnsi="Calibri" w:cs="Calibri"/>
                <w:sz w:val="24"/>
                <w:szCs w:val="24"/>
              </w:rPr>
              <w:t xml:space="preserve"> intervention as per column </w:t>
            </w:r>
            <w:r w:rsidR="006E61D9">
              <w:rPr>
                <w:rFonts w:ascii="Calibri" w:hAnsi="Calibri" w:cs="Calibri"/>
                <w:sz w:val="24"/>
                <w:szCs w:val="24"/>
              </w:rPr>
              <w:t>64</w:t>
            </w:r>
            <w:r>
              <w:rPr>
                <w:rFonts w:ascii="Calibri" w:hAnsi="Calibri" w:cs="Calibri"/>
                <w:sz w:val="24"/>
                <w:szCs w:val="24"/>
              </w:rPr>
              <w:t>.</w:t>
            </w:r>
            <w:r w:rsidR="00C73688">
              <w:rPr>
                <w:rFonts w:ascii="Calibri" w:hAnsi="Calibri" w:cs="Calibri"/>
                <w:sz w:val="24"/>
                <w:szCs w:val="24"/>
              </w:rPr>
              <w:t xml:space="preserve"> </w:t>
            </w:r>
          </w:p>
        </w:tc>
        <w:tc>
          <w:tcPr>
            <w:tcW w:w="0" w:type="auto"/>
          </w:tcPr>
          <w:p w14:paraId="0B7E583C" w14:textId="127EBD9D" w:rsidR="00917A1B" w:rsidRPr="003E1247" w:rsidRDefault="00917A1B" w:rsidP="00917A1B">
            <w:pPr>
              <w:pStyle w:val="TableParagraph"/>
              <w:rPr>
                <w:rFonts w:ascii="Calibri" w:hAnsi="Calibri" w:cs="Calibri"/>
                <w:sz w:val="24"/>
                <w:szCs w:val="24"/>
              </w:rPr>
            </w:pPr>
            <w:r w:rsidRPr="00330283">
              <w:rPr>
                <w:rFonts w:ascii="Calibri" w:hAnsi="Calibri" w:cs="Calibri"/>
                <w:sz w:val="24"/>
                <w:szCs w:val="24"/>
              </w:rPr>
              <w:t>Number</w:t>
            </w:r>
          </w:p>
        </w:tc>
        <w:tc>
          <w:tcPr>
            <w:tcW w:w="0" w:type="auto"/>
          </w:tcPr>
          <w:p w14:paraId="090BA049" w14:textId="3052B9AD" w:rsidR="00917A1B" w:rsidRPr="003E1247" w:rsidRDefault="00917A1B" w:rsidP="00917A1B">
            <w:pPr>
              <w:pStyle w:val="TableParagraph"/>
              <w:rPr>
                <w:rFonts w:ascii="Calibri" w:hAnsi="Calibri" w:cs="Calibri"/>
                <w:sz w:val="24"/>
                <w:szCs w:val="24"/>
              </w:rPr>
            </w:pPr>
          </w:p>
        </w:tc>
      </w:tr>
      <w:tr w:rsidR="00917A1B" w:rsidRPr="008E2C7D" w14:paraId="28F6B246" w14:textId="77777777" w:rsidTr="00954233">
        <w:tc>
          <w:tcPr>
            <w:tcW w:w="0" w:type="auto"/>
          </w:tcPr>
          <w:p w14:paraId="506E331C" w14:textId="13A93796" w:rsidR="00917A1B" w:rsidRPr="008E2C7D" w:rsidRDefault="00A00250" w:rsidP="00917A1B">
            <w:pPr>
              <w:pStyle w:val="TableParagraph"/>
              <w:rPr>
                <w:rFonts w:ascii="Calibri" w:hAnsi="Calibri" w:cs="Calibri"/>
                <w:sz w:val="24"/>
                <w:szCs w:val="24"/>
              </w:rPr>
            </w:pPr>
            <w:r>
              <w:rPr>
                <w:rFonts w:ascii="Calibri" w:hAnsi="Calibri" w:cs="Calibri"/>
                <w:sz w:val="24"/>
                <w:szCs w:val="24"/>
              </w:rPr>
              <w:t>70</w:t>
            </w:r>
          </w:p>
        </w:tc>
        <w:tc>
          <w:tcPr>
            <w:tcW w:w="0" w:type="auto"/>
          </w:tcPr>
          <w:p w14:paraId="2EAB9C61" w14:textId="7166F077" w:rsidR="00917A1B" w:rsidRPr="003E1247" w:rsidRDefault="00917A1B" w:rsidP="00917A1B">
            <w:pPr>
              <w:pStyle w:val="TableParagraph"/>
              <w:rPr>
                <w:rFonts w:ascii="Calibri" w:hAnsi="Calibri" w:cs="Calibri"/>
                <w:sz w:val="24"/>
                <w:szCs w:val="24"/>
              </w:rPr>
            </w:pPr>
            <w:r w:rsidRPr="00330283">
              <w:rPr>
                <w:sz w:val="24"/>
                <w:szCs w:val="24"/>
              </w:rPr>
              <w:t>Expected asset lifetime</w:t>
            </w:r>
          </w:p>
        </w:tc>
        <w:tc>
          <w:tcPr>
            <w:tcW w:w="0" w:type="auto"/>
          </w:tcPr>
          <w:p w14:paraId="7E1B8021" w14:textId="77777777" w:rsidR="00917A1B" w:rsidRDefault="00917A1B" w:rsidP="008877CB">
            <w:pPr>
              <w:pStyle w:val="TableParagraph"/>
              <w:spacing w:after="60"/>
              <w:rPr>
                <w:rFonts w:ascii="Calibri" w:hAnsi="Calibri" w:cs="Calibri"/>
                <w:sz w:val="24"/>
                <w:szCs w:val="24"/>
              </w:rPr>
            </w:pPr>
            <w:r>
              <w:rPr>
                <w:rFonts w:ascii="Calibri" w:hAnsi="Calibri" w:cs="Calibri"/>
                <w:sz w:val="24"/>
                <w:szCs w:val="24"/>
              </w:rPr>
              <w:t>The assumed lifetime of the assets impacted by the project or programme. Asset lifetime is defined as t</w:t>
            </w:r>
            <w:r w:rsidRPr="00C101E9">
              <w:rPr>
                <w:rFonts w:ascii="Calibri" w:hAnsi="Calibri" w:cs="Calibri"/>
                <w:sz w:val="24"/>
                <w:szCs w:val="24"/>
              </w:rPr>
              <w:t>he amount of time (measured in years) that elapses from installation to the end of the asset’s useful life (the point at which the asset is decommissioned and replaced with an alternative means of providing the service)</w:t>
            </w:r>
            <w:r>
              <w:rPr>
                <w:rFonts w:ascii="Calibri" w:hAnsi="Calibri" w:cs="Calibri"/>
                <w:sz w:val="24"/>
                <w:szCs w:val="24"/>
              </w:rPr>
              <w:t>.</w:t>
            </w:r>
          </w:p>
          <w:p w14:paraId="089AFB9A" w14:textId="5C149FE2" w:rsidR="00917A1B" w:rsidRPr="003E1247" w:rsidRDefault="003D0AE3" w:rsidP="008877CB">
            <w:pPr>
              <w:pStyle w:val="TableParagraph"/>
              <w:spacing w:after="60"/>
              <w:rPr>
                <w:rFonts w:ascii="Calibri" w:hAnsi="Calibri" w:cs="Calibri"/>
                <w:sz w:val="24"/>
                <w:szCs w:val="24"/>
              </w:rPr>
            </w:pPr>
            <w:r>
              <w:rPr>
                <w:rFonts w:ascii="Calibri" w:hAnsi="Calibri" w:cs="Calibri"/>
                <w:sz w:val="24"/>
                <w:szCs w:val="24"/>
              </w:rPr>
              <w:t>Scottish Water should provide input in this column only if the project/programme’s primary benefit relates to a replacement or a repair&amp;refurb</w:t>
            </w:r>
            <w:r w:rsidR="00122C19">
              <w:rPr>
                <w:rFonts w:ascii="Calibri" w:hAnsi="Calibri" w:cs="Calibri"/>
                <w:sz w:val="24"/>
                <w:szCs w:val="24"/>
              </w:rPr>
              <w:t>(ishment)</w:t>
            </w:r>
            <w:r>
              <w:rPr>
                <w:rFonts w:ascii="Calibri" w:hAnsi="Calibri" w:cs="Calibri"/>
                <w:sz w:val="24"/>
                <w:szCs w:val="24"/>
              </w:rPr>
              <w:t xml:space="preserve"> intervention as per column </w:t>
            </w:r>
            <w:r w:rsidR="001D5008">
              <w:rPr>
                <w:rFonts w:ascii="Calibri" w:hAnsi="Calibri" w:cs="Calibri"/>
                <w:sz w:val="24"/>
                <w:szCs w:val="24"/>
              </w:rPr>
              <w:t>64</w:t>
            </w:r>
            <w:r>
              <w:rPr>
                <w:rFonts w:ascii="Calibri" w:hAnsi="Calibri" w:cs="Calibri"/>
                <w:sz w:val="24"/>
                <w:szCs w:val="24"/>
              </w:rPr>
              <w:t>.</w:t>
            </w:r>
          </w:p>
        </w:tc>
        <w:tc>
          <w:tcPr>
            <w:tcW w:w="0" w:type="auto"/>
          </w:tcPr>
          <w:p w14:paraId="3CB2E590" w14:textId="22C5FB81" w:rsidR="00917A1B" w:rsidRPr="003E1247" w:rsidRDefault="00917A1B" w:rsidP="00917A1B">
            <w:pPr>
              <w:pStyle w:val="TableParagraph"/>
              <w:rPr>
                <w:rFonts w:ascii="Calibri" w:hAnsi="Calibri" w:cs="Calibri"/>
                <w:sz w:val="24"/>
                <w:szCs w:val="24"/>
              </w:rPr>
            </w:pPr>
            <w:r w:rsidRPr="00330283">
              <w:rPr>
                <w:rFonts w:ascii="Calibri" w:hAnsi="Calibri" w:cs="Calibri"/>
                <w:sz w:val="24"/>
                <w:szCs w:val="24"/>
              </w:rPr>
              <w:t>Number of years</w:t>
            </w:r>
          </w:p>
        </w:tc>
        <w:tc>
          <w:tcPr>
            <w:tcW w:w="0" w:type="auto"/>
          </w:tcPr>
          <w:p w14:paraId="361D9C01" w14:textId="77777777" w:rsidR="00917A1B" w:rsidRPr="003E1247" w:rsidRDefault="00917A1B" w:rsidP="00917A1B">
            <w:pPr>
              <w:pStyle w:val="TableParagraph"/>
              <w:rPr>
                <w:rFonts w:ascii="Calibri" w:hAnsi="Calibri" w:cs="Calibri"/>
                <w:sz w:val="24"/>
                <w:szCs w:val="24"/>
              </w:rPr>
            </w:pPr>
          </w:p>
        </w:tc>
      </w:tr>
      <w:tr w:rsidR="00FC3988" w:rsidRPr="008E2C7D" w14:paraId="5E7BE07F" w14:textId="5D72A479" w:rsidTr="00954233">
        <w:tc>
          <w:tcPr>
            <w:tcW w:w="0" w:type="auto"/>
          </w:tcPr>
          <w:p w14:paraId="0F40FCAB" w14:textId="183AEB75" w:rsidR="00FC3988" w:rsidRPr="008E2C7D" w:rsidRDefault="00A00250" w:rsidP="00FC3988">
            <w:pPr>
              <w:pStyle w:val="TableParagraph"/>
              <w:rPr>
                <w:rFonts w:ascii="Calibri" w:hAnsi="Calibri" w:cs="Calibri"/>
                <w:sz w:val="24"/>
                <w:szCs w:val="24"/>
              </w:rPr>
            </w:pPr>
            <w:r>
              <w:rPr>
                <w:rFonts w:ascii="Calibri" w:hAnsi="Calibri" w:cs="Calibri"/>
                <w:sz w:val="24"/>
                <w:szCs w:val="24"/>
              </w:rPr>
              <w:t>71</w:t>
            </w:r>
          </w:p>
        </w:tc>
        <w:tc>
          <w:tcPr>
            <w:tcW w:w="0" w:type="auto"/>
          </w:tcPr>
          <w:p w14:paraId="23761F99" w14:textId="0C3CB983" w:rsidR="00FC3988" w:rsidRPr="003E1247" w:rsidRDefault="00AE265C" w:rsidP="00FC3988">
            <w:pPr>
              <w:pStyle w:val="TableParagraph"/>
              <w:rPr>
                <w:rFonts w:ascii="Calibri" w:hAnsi="Calibri" w:cs="Calibri"/>
                <w:sz w:val="24"/>
                <w:szCs w:val="24"/>
              </w:rPr>
            </w:pPr>
            <w:r w:rsidRPr="003E1247">
              <w:rPr>
                <w:rFonts w:ascii="Calibri" w:hAnsi="Calibri" w:cs="Calibri"/>
                <w:sz w:val="24"/>
                <w:szCs w:val="24"/>
              </w:rPr>
              <w:t>Units</w:t>
            </w:r>
          </w:p>
        </w:tc>
        <w:tc>
          <w:tcPr>
            <w:tcW w:w="0" w:type="auto"/>
          </w:tcPr>
          <w:p w14:paraId="05A6EBB4" w14:textId="5A3CB62E" w:rsidR="00FC3988" w:rsidRPr="003E1247" w:rsidRDefault="00AE265C" w:rsidP="008877CB">
            <w:pPr>
              <w:pStyle w:val="TableParagraph"/>
              <w:spacing w:after="60"/>
              <w:rPr>
                <w:rFonts w:ascii="Calibri" w:hAnsi="Calibri" w:cs="Calibri"/>
                <w:sz w:val="24"/>
                <w:szCs w:val="24"/>
              </w:rPr>
            </w:pPr>
            <w:r w:rsidRPr="003E1247">
              <w:rPr>
                <w:rFonts w:ascii="Calibri" w:hAnsi="Calibri" w:cs="Calibri"/>
                <w:sz w:val="24"/>
                <w:szCs w:val="24"/>
              </w:rPr>
              <w:t>The units in which deliverables can be measured</w:t>
            </w:r>
            <w:r w:rsidR="00FB25F5">
              <w:rPr>
                <w:rFonts w:ascii="Calibri" w:hAnsi="Calibri" w:cs="Calibri"/>
                <w:sz w:val="24"/>
                <w:szCs w:val="24"/>
              </w:rPr>
              <w:t>.</w:t>
            </w:r>
          </w:p>
        </w:tc>
        <w:tc>
          <w:tcPr>
            <w:tcW w:w="0" w:type="auto"/>
          </w:tcPr>
          <w:p w14:paraId="6FAD17ED" w14:textId="33AF3432" w:rsidR="00FC3988" w:rsidRPr="003E1247" w:rsidRDefault="00AE265C" w:rsidP="00FC3988">
            <w:pPr>
              <w:pStyle w:val="TableParagraph"/>
              <w:rPr>
                <w:rFonts w:ascii="Calibri" w:hAnsi="Calibri" w:cs="Calibri"/>
                <w:sz w:val="24"/>
                <w:szCs w:val="24"/>
              </w:rPr>
            </w:pPr>
            <w:r w:rsidRPr="003E1247">
              <w:rPr>
                <w:rFonts w:ascii="Calibri" w:hAnsi="Calibri" w:cs="Calibri"/>
                <w:sz w:val="24"/>
                <w:szCs w:val="24"/>
              </w:rPr>
              <w:t>e.g</w:t>
            </w:r>
            <w:r w:rsidR="00862329" w:rsidRPr="003E1247">
              <w:rPr>
                <w:rFonts w:ascii="Calibri" w:hAnsi="Calibri" w:cs="Calibri"/>
                <w:sz w:val="24"/>
                <w:szCs w:val="24"/>
              </w:rPr>
              <w:t>.</w:t>
            </w:r>
            <w:r w:rsidRPr="003E1247">
              <w:rPr>
                <w:rFonts w:ascii="Calibri" w:hAnsi="Calibri" w:cs="Calibri"/>
                <w:sz w:val="24"/>
                <w:szCs w:val="24"/>
              </w:rPr>
              <w:t xml:space="preserve"> Km </w:t>
            </w:r>
          </w:p>
        </w:tc>
        <w:tc>
          <w:tcPr>
            <w:tcW w:w="0" w:type="auto"/>
          </w:tcPr>
          <w:p w14:paraId="32E9F52E" w14:textId="6F6F1309" w:rsidR="0052255C" w:rsidRPr="003E1247" w:rsidRDefault="0052255C" w:rsidP="008E1184">
            <w:pPr>
              <w:pStyle w:val="TableParagraph"/>
              <w:rPr>
                <w:rFonts w:ascii="Calibri" w:hAnsi="Calibri" w:cs="Calibri"/>
                <w:sz w:val="24"/>
                <w:szCs w:val="24"/>
              </w:rPr>
            </w:pPr>
            <w:r w:rsidRPr="003E1247">
              <w:rPr>
                <w:rFonts w:ascii="Calibri" w:hAnsi="Calibri" w:cs="Calibri"/>
                <w:sz w:val="24"/>
                <w:szCs w:val="24"/>
              </w:rPr>
              <w:t>43</w:t>
            </w:r>
          </w:p>
        </w:tc>
      </w:tr>
      <w:tr w:rsidR="00147EA6" w:rsidRPr="008E2C7D" w14:paraId="21AEC7C1" w14:textId="77777777" w:rsidTr="00954233">
        <w:tc>
          <w:tcPr>
            <w:tcW w:w="0" w:type="auto"/>
          </w:tcPr>
          <w:p w14:paraId="35D20686" w14:textId="2767930A" w:rsidR="00147EA6" w:rsidRDefault="00A00250" w:rsidP="00FC3988">
            <w:pPr>
              <w:pStyle w:val="TableParagraph"/>
              <w:rPr>
                <w:rFonts w:ascii="Calibri" w:hAnsi="Calibri" w:cs="Calibri"/>
                <w:sz w:val="24"/>
                <w:szCs w:val="24"/>
              </w:rPr>
            </w:pPr>
            <w:r>
              <w:rPr>
                <w:rFonts w:ascii="Calibri" w:hAnsi="Calibri" w:cs="Calibri"/>
                <w:sz w:val="24"/>
                <w:szCs w:val="24"/>
              </w:rPr>
              <w:t>72</w:t>
            </w:r>
          </w:p>
        </w:tc>
        <w:tc>
          <w:tcPr>
            <w:tcW w:w="0" w:type="auto"/>
          </w:tcPr>
          <w:p w14:paraId="55511241" w14:textId="52D8AAED" w:rsidR="00147EA6" w:rsidRPr="003E1247" w:rsidRDefault="00973E7D" w:rsidP="00FC3988">
            <w:pPr>
              <w:pStyle w:val="TableParagraph"/>
              <w:rPr>
                <w:rFonts w:ascii="Calibri" w:hAnsi="Calibri" w:cs="Calibri"/>
                <w:sz w:val="24"/>
                <w:szCs w:val="24"/>
              </w:rPr>
            </w:pPr>
            <w:r w:rsidRPr="00973E7D">
              <w:rPr>
                <w:rFonts w:ascii="Calibri" w:hAnsi="Calibri" w:cs="Calibri"/>
                <w:sz w:val="24"/>
                <w:szCs w:val="24"/>
              </w:rPr>
              <w:t>Allocation of expenditure to output/ intervention (%)</w:t>
            </w:r>
          </w:p>
        </w:tc>
        <w:tc>
          <w:tcPr>
            <w:tcW w:w="0" w:type="auto"/>
          </w:tcPr>
          <w:p w14:paraId="2236292C" w14:textId="22B5B28A" w:rsidR="00147EA6" w:rsidRPr="003E1247" w:rsidRDefault="00596392" w:rsidP="008877CB">
            <w:pPr>
              <w:pStyle w:val="TableParagraph"/>
              <w:spacing w:after="60"/>
              <w:rPr>
                <w:rFonts w:ascii="Calibri" w:hAnsi="Calibri" w:cs="Calibri"/>
                <w:sz w:val="24"/>
                <w:szCs w:val="24"/>
              </w:rPr>
            </w:pPr>
            <w:r>
              <w:rPr>
                <w:rFonts w:ascii="Calibri" w:hAnsi="Calibri" w:cs="Calibri"/>
                <w:sz w:val="24"/>
                <w:szCs w:val="24"/>
              </w:rPr>
              <w:t xml:space="preserve">The percentage of </w:t>
            </w:r>
            <w:r w:rsidR="003D64BE">
              <w:rPr>
                <w:rFonts w:ascii="Calibri" w:hAnsi="Calibri" w:cs="Calibri"/>
                <w:sz w:val="24"/>
                <w:szCs w:val="24"/>
              </w:rPr>
              <w:t>the</w:t>
            </w:r>
            <w:r>
              <w:rPr>
                <w:rFonts w:ascii="Calibri" w:hAnsi="Calibri" w:cs="Calibri"/>
                <w:sz w:val="24"/>
                <w:szCs w:val="24"/>
              </w:rPr>
              <w:t xml:space="preserve"> expenditure </w:t>
            </w:r>
            <w:r w:rsidR="003D64BE">
              <w:rPr>
                <w:rFonts w:ascii="Calibri" w:hAnsi="Calibri" w:cs="Calibri"/>
                <w:sz w:val="24"/>
                <w:szCs w:val="24"/>
              </w:rPr>
              <w:t xml:space="preserve">reported in column </w:t>
            </w:r>
            <w:r w:rsidR="00E27CA3">
              <w:rPr>
                <w:rFonts w:ascii="Calibri" w:hAnsi="Calibri" w:cs="Calibri"/>
                <w:sz w:val="24"/>
                <w:szCs w:val="24"/>
              </w:rPr>
              <w:t>34</w:t>
            </w:r>
            <w:r w:rsidR="00EB53E1">
              <w:rPr>
                <w:rFonts w:ascii="Calibri" w:hAnsi="Calibri" w:cs="Calibri"/>
                <w:sz w:val="24"/>
                <w:szCs w:val="24"/>
              </w:rPr>
              <w:t xml:space="preserve"> “Total </w:t>
            </w:r>
            <w:r w:rsidR="008418DE">
              <w:rPr>
                <w:rFonts w:ascii="Calibri" w:hAnsi="Calibri" w:cs="Calibri"/>
                <w:sz w:val="24"/>
                <w:szCs w:val="24"/>
              </w:rPr>
              <w:t>expenditure</w:t>
            </w:r>
            <w:r w:rsidR="00EB53E1">
              <w:rPr>
                <w:rFonts w:ascii="Calibri" w:hAnsi="Calibri" w:cs="Calibri"/>
                <w:sz w:val="24"/>
                <w:szCs w:val="24"/>
              </w:rPr>
              <w:t>”</w:t>
            </w:r>
            <w:r>
              <w:rPr>
                <w:rFonts w:ascii="Calibri" w:hAnsi="Calibri" w:cs="Calibri"/>
                <w:sz w:val="24"/>
                <w:szCs w:val="24"/>
              </w:rPr>
              <w:t xml:space="preserve"> </w:t>
            </w:r>
            <w:r w:rsidR="0041472C">
              <w:rPr>
                <w:rFonts w:ascii="Calibri" w:hAnsi="Calibri" w:cs="Calibri"/>
                <w:sz w:val="24"/>
                <w:szCs w:val="24"/>
              </w:rPr>
              <w:t>allocated</w:t>
            </w:r>
            <w:r>
              <w:rPr>
                <w:rFonts w:ascii="Calibri" w:hAnsi="Calibri" w:cs="Calibri"/>
                <w:sz w:val="24"/>
                <w:szCs w:val="24"/>
              </w:rPr>
              <w:t xml:space="preserve"> to the primary output or intervention.</w:t>
            </w:r>
          </w:p>
        </w:tc>
        <w:tc>
          <w:tcPr>
            <w:tcW w:w="0" w:type="auto"/>
          </w:tcPr>
          <w:p w14:paraId="12D6437F" w14:textId="1231C34A" w:rsidR="00147EA6" w:rsidRPr="003E1247" w:rsidRDefault="00973E7D" w:rsidP="00FC3988">
            <w:pPr>
              <w:pStyle w:val="TableParagraph"/>
              <w:rPr>
                <w:rFonts w:ascii="Calibri" w:hAnsi="Calibri" w:cs="Calibri"/>
                <w:sz w:val="24"/>
                <w:szCs w:val="24"/>
              </w:rPr>
            </w:pPr>
            <w:r>
              <w:rPr>
                <w:rFonts w:ascii="Calibri" w:hAnsi="Calibri" w:cs="Calibri"/>
                <w:sz w:val="24"/>
                <w:szCs w:val="24"/>
              </w:rPr>
              <w:t>%</w:t>
            </w:r>
          </w:p>
        </w:tc>
        <w:tc>
          <w:tcPr>
            <w:tcW w:w="0" w:type="auto"/>
          </w:tcPr>
          <w:p w14:paraId="40E80FB1" w14:textId="77777777" w:rsidR="00147EA6" w:rsidRPr="003E1247" w:rsidRDefault="00147EA6" w:rsidP="008E1184">
            <w:pPr>
              <w:pStyle w:val="TableParagraph"/>
              <w:rPr>
                <w:rFonts w:ascii="Calibri" w:hAnsi="Calibri" w:cs="Calibri"/>
                <w:sz w:val="24"/>
                <w:szCs w:val="24"/>
              </w:rPr>
            </w:pPr>
          </w:p>
        </w:tc>
      </w:tr>
      <w:tr w:rsidR="00A64EFD" w:rsidRPr="008E2C7D" w14:paraId="652DB5E6" w14:textId="5A551C54" w:rsidTr="00954233">
        <w:tc>
          <w:tcPr>
            <w:tcW w:w="0" w:type="auto"/>
          </w:tcPr>
          <w:p w14:paraId="78684498" w14:textId="218BA581" w:rsidR="00A64EFD" w:rsidRPr="008E2C7D" w:rsidRDefault="00D87C55" w:rsidP="00B10815">
            <w:pPr>
              <w:pStyle w:val="TableParagraph"/>
              <w:rPr>
                <w:rFonts w:ascii="Calibri" w:hAnsi="Calibri" w:cs="Calibri"/>
                <w:sz w:val="24"/>
                <w:szCs w:val="24"/>
              </w:rPr>
            </w:pPr>
            <w:r>
              <w:rPr>
                <w:rFonts w:ascii="Calibri" w:hAnsi="Calibri" w:cs="Calibri"/>
                <w:sz w:val="24"/>
                <w:szCs w:val="24"/>
              </w:rPr>
              <w:t>7</w:t>
            </w:r>
            <w:r w:rsidR="00A00250">
              <w:rPr>
                <w:rFonts w:ascii="Calibri" w:hAnsi="Calibri" w:cs="Calibri"/>
                <w:sz w:val="24"/>
                <w:szCs w:val="24"/>
              </w:rPr>
              <w:t>3</w:t>
            </w:r>
            <w:r>
              <w:rPr>
                <w:rFonts w:ascii="Calibri" w:hAnsi="Calibri" w:cs="Calibri"/>
                <w:sz w:val="24"/>
                <w:szCs w:val="24"/>
              </w:rPr>
              <w:t>-7</w:t>
            </w:r>
            <w:r w:rsidR="00A00250">
              <w:rPr>
                <w:rFonts w:ascii="Calibri" w:hAnsi="Calibri" w:cs="Calibri"/>
                <w:sz w:val="24"/>
                <w:szCs w:val="24"/>
              </w:rPr>
              <w:t>8</w:t>
            </w:r>
          </w:p>
        </w:tc>
        <w:tc>
          <w:tcPr>
            <w:tcW w:w="0" w:type="auto"/>
          </w:tcPr>
          <w:p w14:paraId="531C7E1E" w14:textId="72DF9A00" w:rsidR="00A64EFD" w:rsidRPr="00AC1D90" w:rsidRDefault="0049382F" w:rsidP="00B10815">
            <w:pPr>
              <w:pStyle w:val="TableParagraph"/>
              <w:rPr>
                <w:rFonts w:ascii="Calibri" w:hAnsi="Calibri" w:cs="Calibri"/>
                <w:sz w:val="24"/>
                <w:szCs w:val="24"/>
              </w:rPr>
            </w:pPr>
            <w:r w:rsidRPr="00AC1D90">
              <w:rPr>
                <w:rFonts w:ascii="Calibri" w:hAnsi="Calibri" w:cs="Calibri"/>
                <w:sz w:val="24"/>
                <w:szCs w:val="24"/>
              </w:rPr>
              <w:t>Y</w:t>
            </w:r>
            <w:r w:rsidR="00970E35">
              <w:rPr>
                <w:rFonts w:ascii="Calibri" w:hAnsi="Calibri" w:cs="Calibri"/>
                <w:sz w:val="24"/>
                <w:szCs w:val="24"/>
              </w:rPr>
              <w:t xml:space="preserve">ear </w:t>
            </w:r>
            <w:r w:rsidRPr="00AC1D90">
              <w:rPr>
                <w:rFonts w:ascii="Calibri" w:hAnsi="Calibri" w:cs="Calibri"/>
                <w:sz w:val="24"/>
                <w:szCs w:val="24"/>
              </w:rPr>
              <w:t>1</w:t>
            </w:r>
            <w:r w:rsidR="00970E35">
              <w:rPr>
                <w:rFonts w:ascii="Calibri" w:hAnsi="Calibri" w:cs="Calibri"/>
                <w:sz w:val="24"/>
                <w:szCs w:val="24"/>
              </w:rPr>
              <w:t xml:space="preserve"> to </w:t>
            </w:r>
            <w:r w:rsidRPr="00AC1D90">
              <w:rPr>
                <w:rFonts w:ascii="Calibri" w:hAnsi="Calibri" w:cs="Calibri"/>
                <w:sz w:val="24"/>
                <w:szCs w:val="24"/>
              </w:rPr>
              <w:t>6</w:t>
            </w:r>
          </w:p>
        </w:tc>
        <w:tc>
          <w:tcPr>
            <w:tcW w:w="0" w:type="auto"/>
          </w:tcPr>
          <w:p w14:paraId="6EE146E0" w14:textId="05590F4C" w:rsidR="00A500C3" w:rsidRDefault="00197421" w:rsidP="00A500C3">
            <w:pPr>
              <w:pStyle w:val="TableParagraph"/>
              <w:spacing w:after="60"/>
              <w:rPr>
                <w:rFonts w:ascii="Calibri" w:hAnsi="Calibri" w:cs="Calibri"/>
                <w:sz w:val="24"/>
                <w:szCs w:val="24"/>
              </w:rPr>
            </w:pPr>
            <w:r>
              <w:rPr>
                <w:rFonts w:ascii="Calibri" w:hAnsi="Calibri" w:cs="Calibri"/>
                <w:sz w:val="24"/>
                <w:szCs w:val="24"/>
              </w:rPr>
              <w:t xml:space="preserve">For enhancement or growth outputs (as </w:t>
            </w:r>
            <w:r w:rsidR="00730441">
              <w:rPr>
                <w:rFonts w:ascii="Calibri" w:hAnsi="Calibri" w:cs="Calibri"/>
                <w:sz w:val="24"/>
                <w:szCs w:val="24"/>
              </w:rPr>
              <w:t xml:space="preserve">per input in column </w:t>
            </w:r>
            <w:r w:rsidR="00BD190B">
              <w:rPr>
                <w:rFonts w:ascii="Calibri" w:hAnsi="Calibri" w:cs="Calibri"/>
                <w:sz w:val="24"/>
                <w:szCs w:val="24"/>
              </w:rPr>
              <w:t>64</w:t>
            </w:r>
            <w:r w:rsidR="00730441">
              <w:rPr>
                <w:rFonts w:ascii="Calibri" w:hAnsi="Calibri" w:cs="Calibri"/>
                <w:sz w:val="24"/>
                <w:szCs w:val="24"/>
              </w:rPr>
              <w:t xml:space="preserve">), this is the </w:t>
            </w:r>
            <w:r w:rsidR="00730441">
              <w:rPr>
                <w:rFonts w:ascii="Calibri" w:hAnsi="Calibri" w:cs="Calibri"/>
                <w:sz w:val="24"/>
                <w:szCs w:val="24"/>
              </w:rPr>
              <w:lastRenderedPageBreak/>
              <w:t>number of outputs</w:t>
            </w:r>
            <w:r w:rsidR="00A500C3">
              <w:rPr>
                <w:rFonts w:ascii="Calibri" w:hAnsi="Calibri" w:cs="Calibri"/>
                <w:sz w:val="24"/>
                <w:szCs w:val="24"/>
              </w:rPr>
              <w:t xml:space="preserve"> forecast to be</w:t>
            </w:r>
            <w:r w:rsidR="00A500C3" w:rsidRPr="00AC1D90">
              <w:rPr>
                <w:rFonts w:ascii="Calibri" w:hAnsi="Calibri" w:cs="Calibri"/>
                <w:sz w:val="24"/>
                <w:szCs w:val="24"/>
              </w:rPr>
              <w:t xml:space="preserve"> delivered in each year</w:t>
            </w:r>
            <w:r w:rsidR="00A500C3">
              <w:rPr>
                <w:rFonts w:ascii="Calibri" w:hAnsi="Calibri" w:cs="Calibri"/>
                <w:sz w:val="24"/>
                <w:szCs w:val="24"/>
              </w:rPr>
              <w:t xml:space="preserve"> of the SRC27 period.</w:t>
            </w:r>
          </w:p>
          <w:p w14:paraId="071F2B54" w14:textId="66844F6E" w:rsidR="00A64EFD" w:rsidRPr="00AC1D90" w:rsidRDefault="00A500C3" w:rsidP="008877CB">
            <w:pPr>
              <w:pStyle w:val="TableParagraph"/>
              <w:spacing w:after="60"/>
              <w:rPr>
                <w:rFonts w:ascii="Calibri" w:hAnsi="Calibri" w:cs="Calibri"/>
                <w:sz w:val="24"/>
                <w:szCs w:val="24"/>
              </w:rPr>
            </w:pPr>
            <w:r>
              <w:rPr>
                <w:rFonts w:ascii="Calibri" w:hAnsi="Calibri" w:cs="Calibri"/>
                <w:sz w:val="24"/>
                <w:szCs w:val="24"/>
              </w:rPr>
              <w:t>For replacement or repair&amp;refurb</w:t>
            </w:r>
            <w:r w:rsidR="00E21EA3">
              <w:rPr>
                <w:rFonts w:ascii="Calibri" w:hAnsi="Calibri" w:cs="Calibri"/>
                <w:sz w:val="24"/>
                <w:szCs w:val="24"/>
              </w:rPr>
              <w:t>(ishment)</w:t>
            </w:r>
            <w:r>
              <w:rPr>
                <w:rFonts w:ascii="Calibri" w:hAnsi="Calibri" w:cs="Calibri"/>
                <w:sz w:val="24"/>
                <w:szCs w:val="24"/>
              </w:rPr>
              <w:t xml:space="preserve"> interventions (as per column </w:t>
            </w:r>
            <w:r w:rsidR="00BD190B">
              <w:rPr>
                <w:rFonts w:ascii="Calibri" w:hAnsi="Calibri" w:cs="Calibri"/>
                <w:sz w:val="24"/>
                <w:szCs w:val="24"/>
              </w:rPr>
              <w:t>64</w:t>
            </w:r>
            <w:r>
              <w:rPr>
                <w:rFonts w:ascii="Calibri" w:hAnsi="Calibri" w:cs="Calibri"/>
                <w:sz w:val="24"/>
                <w:szCs w:val="24"/>
              </w:rPr>
              <w:t>)</w:t>
            </w:r>
            <w:r w:rsidR="00187822">
              <w:rPr>
                <w:rFonts w:ascii="Calibri" w:hAnsi="Calibri" w:cs="Calibri"/>
                <w:sz w:val="24"/>
                <w:szCs w:val="24"/>
              </w:rPr>
              <w:t xml:space="preserve">, this is the </w:t>
            </w:r>
            <w:r w:rsidR="00197421">
              <w:rPr>
                <w:rFonts w:ascii="Calibri" w:hAnsi="Calibri" w:cs="Calibri"/>
                <w:sz w:val="24"/>
                <w:szCs w:val="24"/>
              </w:rPr>
              <w:t>number</w:t>
            </w:r>
            <w:r w:rsidR="00187822">
              <w:rPr>
                <w:rFonts w:ascii="Calibri" w:hAnsi="Calibri" w:cs="Calibri"/>
                <w:sz w:val="24"/>
                <w:szCs w:val="24"/>
              </w:rPr>
              <w:t xml:space="preserve"> or </w:t>
            </w:r>
            <w:r w:rsidR="00197421">
              <w:rPr>
                <w:rFonts w:ascii="Calibri" w:hAnsi="Calibri" w:cs="Calibri"/>
                <w:sz w:val="24"/>
                <w:szCs w:val="24"/>
              </w:rPr>
              <w:t xml:space="preserve">length of </w:t>
            </w:r>
            <w:r w:rsidR="00DE3120">
              <w:rPr>
                <w:rFonts w:ascii="Calibri" w:hAnsi="Calibri" w:cs="Calibri"/>
                <w:sz w:val="24"/>
                <w:szCs w:val="24"/>
              </w:rPr>
              <w:t xml:space="preserve">interventions </w:t>
            </w:r>
            <w:r w:rsidR="00217467">
              <w:rPr>
                <w:rFonts w:ascii="Calibri" w:hAnsi="Calibri" w:cs="Calibri"/>
                <w:sz w:val="24"/>
                <w:szCs w:val="24"/>
              </w:rPr>
              <w:t>forecast to be</w:t>
            </w:r>
            <w:r w:rsidR="00652CE4" w:rsidRPr="00AC1D90">
              <w:rPr>
                <w:rFonts w:ascii="Calibri" w:hAnsi="Calibri" w:cs="Calibri"/>
                <w:sz w:val="24"/>
                <w:szCs w:val="24"/>
              </w:rPr>
              <w:t xml:space="preserve"> </w:t>
            </w:r>
            <w:r w:rsidR="00073441" w:rsidRPr="00AC1D90">
              <w:rPr>
                <w:rFonts w:ascii="Calibri" w:hAnsi="Calibri" w:cs="Calibri"/>
                <w:sz w:val="24"/>
                <w:szCs w:val="24"/>
              </w:rPr>
              <w:t>delivered</w:t>
            </w:r>
            <w:r w:rsidR="0067704F" w:rsidRPr="00AC1D90">
              <w:rPr>
                <w:rFonts w:ascii="Calibri" w:hAnsi="Calibri" w:cs="Calibri"/>
                <w:sz w:val="24"/>
                <w:szCs w:val="24"/>
              </w:rPr>
              <w:t xml:space="preserve"> in each year</w:t>
            </w:r>
            <w:r w:rsidR="00A40AB3">
              <w:rPr>
                <w:rFonts w:ascii="Calibri" w:hAnsi="Calibri" w:cs="Calibri"/>
                <w:sz w:val="24"/>
                <w:szCs w:val="24"/>
              </w:rPr>
              <w:t xml:space="preserve"> of the SRC27 period.</w:t>
            </w:r>
          </w:p>
        </w:tc>
        <w:tc>
          <w:tcPr>
            <w:tcW w:w="0" w:type="auto"/>
          </w:tcPr>
          <w:p w14:paraId="51CDF49B" w14:textId="5399E3BA" w:rsidR="00A64EFD" w:rsidRPr="00AC1D90" w:rsidRDefault="00652CE4" w:rsidP="00B10815">
            <w:pPr>
              <w:pStyle w:val="TableParagraph"/>
              <w:rPr>
                <w:rFonts w:ascii="Calibri" w:hAnsi="Calibri" w:cs="Calibri"/>
                <w:sz w:val="24"/>
                <w:szCs w:val="24"/>
              </w:rPr>
            </w:pPr>
            <w:r>
              <w:rPr>
                <w:rFonts w:ascii="Calibri" w:hAnsi="Calibri" w:cs="Calibri"/>
                <w:sz w:val="24"/>
                <w:szCs w:val="24"/>
              </w:rPr>
              <w:lastRenderedPageBreak/>
              <w:t>N</w:t>
            </w:r>
            <w:r w:rsidR="00073441" w:rsidRPr="00AC1D90">
              <w:rPr>
                <w:rFonts w:ascii="Calibri" w:hAnsi="Calibri" w:cs="Calibri"/>
                <w:sz w:val="24"/>
                <w:szCs w:val="24"/>
              </w:rPr>
              <w:t>umber</w:t>
            </w:r>
          </w:p>
        </w:tc>
        <w:tc>
          <w:tcPr>
            <w:tcW w:w="0" w:type="auto"/>
          </w:tcPr>
          <w:p w14:paraId="4C72DB65" w14:textId="63915D44" w:rsidR="00B4395E" w:rsidRPr="00AC1D90" w:rsidRDefault="005D1637" w:rsidP="008E1184">
            <w:pPr>
              <w:pStyle w:val="TableParagraph"/>
              <w:rPr>
                <w:rFonts w:ascii="Calibri" w:hAnsi="Calibri" w:cs="Calibri"/>
                <w:sz w:val="24"/>
                <w:szCs w:val="24"/>
              </w:rPr>
            </w:pPr>
            <w:r>
              <w:rPr>
                <w:rFonts w:ascii="Calibri" w:hAnsi="Calibri" w:cs="Calibri"/>
                <w:sz w:val="24"/>
                <w:szCs w:val="24"/>
              </w:rPr>
              <w:t xml:space="preserve">32-37 and </w:t>
            </w:r>
            <w:r w:rsidR="00B4395E" w:rsidRPr="00AC1D90">
              <w:rPr>
                <w:rFonts w:ascii="Calibri" w:hAnsi="Calibri" w:cs="Calibri"/>
                <w:sz w:val="24"/>
                <w:szCs w:val="24"/>
              </w:rPr>
              <w:t>45-50</w:t>
            </w:r>
          </w:p>
        </w:tc>
      </w:tr>
      <w:tr w:rsidR="00A64EFD" w:rsidRPr="008E2C7D" w14:paraId="435E9BF0" w14:textId="716D665B" w:rsidTr="00954233">
        <w:tc>
          <w:tcPr>
            <w:tcW w:w="0" w:type="auto"/>
          </w:tcPr>
          <w:p w14:paraId="71B08718" w14:textId="2A45BF26" w:rsidR="00A64EFD" w:rsidRPr="008E2C7D" w:rsidRDefault="00D87C55" w:rsidP="00B10815">
            <w:pPr>
              <w:pStyle w:val="TableParagraph"/>
              <w:rPr>
                <w:rFonts w:ascii="Calibri" w:hAnsi="Calibri" w:cs="Calibri"/>
                <w:sz w:val="24"/>
                <w:szCs w:val="24"/>
              </w:rPr>
            </w:pPr>
            <w:r>
              <w:rPr>
                <w:rFonts w:ascii="Calibri" w:hAnsi="Calibri" w:cs="Calibri"/>
                <w:sz w:val="24"/>
                <w:szCs w:val="24"/>
              </w:rPr>
              <w:t>7</w:t>
            </w:r>
            <w:r w:rsidR="00A00250">
              <w:rPr>
                <w:rFonts w:ascii="Calibri" w:hAnsi="Calibri" w:cs="Calibri"/>
                <w:sz w:val="24"/>
                <w:szCs w:val="24"/>
              </w:rPr>
              <w:t>9</w:t>
            </w:r>
          </w:p>
        </w:tc>
        <w:tc>
          <w:tcPr>
            <w:tcW w:w="0" w:type="auto"/>
          </w:tcPr>
          <w:p w14:paraId="1C3BA4F9" w14:textId="30D7A55B" w:rsidR="00A64EFD" w:rsidRPr="00AC1D90" w:rsidRDefault="00970E35" w:rsidP="00B10815">
            <w:pPr>
              <w:pStyle w:val="TableParagraph"/>
              <w:rPr>
                <w:rFonts w:ascii="Calibri" w:hAnsi="Calibri" w:cs="Calibri"/>
                <w:sz w:val="24"/>
                <w:szCs w:val="24"/>
              </w:rPr>
            </w:pPr>
            <w:r>
              <w:rPr>
                <w:rFonts w:ascii="Calibri" w:hAnsi="Calibri" w:cs="Calibri"/>
                <w:sz w:val="24"/>
                <w:szCs w:val="24"/>
              </w:rPr>
              <w:t>Total in SRC27</w:t>
            </w:r>
          </w:p>
        </w:tc>
        <w:tc>
          <w:tcPr>
            <w:tcW w:w="0" w:type="auto"/>
          </w:tcPr>
          <w:p w14:paraId="3734A4AC" w14:textId="29DB465A" w:rsidR="00A64EFD" w:rsidRPr="00AC1D90" w:rsidRDefault="00994EEB" w:rsidP="008877CB">
            <w:pPr>
              <w:pStyle w:val="TableParagraph"/>
              <w:spacing w:after="60"/>
              <w:rPr>
                <w:rFonts w:ascii="Calibri" w:hAnsi="Calibri" w:cs="Calibri"/>
                <w:sz w:val="24"/>
                <w:szCs w:val="24"/>
              </w:rPr>
            </w:pPr>
            <w:r>
              <w:rPr>
                <w:rFonts w:ascii="Calibri" w:hAnsi="Calibri" w:cs="Calibri"/>
                <w:sz w:val="24"/>
                <w:szCs w:val="24"/>
              </w:rPr>
              <w:t xml:space="preserve">Calculated column: </w:t>
            </w:r>
            <w:r w:rsidR="00507342" w:rsidRPr="00AC1D90">
              <w:rPr>
                <w:rFonts w:ascii="Calibri" w:hAnsi="Calibri" w:cs="Calibri"/>
                <w:sz w:val="24"/>
                <w:szCs w:val="24"/>
              </w:rPr>
              <w:t>S</w:t>
            </w:r>
            <w:r w:rsidR="00365476" w:rsidRPr="00AC1D90">
              <w:rPr>
                <w:rFonts w:ascii="Calibri" w:hAnsi="Calibri" w:cs="Calibri"/>
                <w:sz w:val="24"/>
                <w:szCs w:val="24"/>
              </w:rPr>
              <w:t xml:space="preserve">um of </w:t>
            </w:r>
            <w:r>
              <w:rPr>
                <w:rFonts w:ascii="Calibri" w:hAnsi="Calibri" w:cs="Calibri"/>
                <w:sz w:val="24"/>
                <w:szCs w:val="24"/>
              </w:rPr>
              <w:t>year 1 to 6</w:t>
            </w:r>
            <w:r w:rsidR="00FB25F5">
              <w:rPr>
                <w:rFonts w:ascii="Calibri" w:hAnsi="Calibri" w:cs="Calibri"/>
                <w:sz w:val="24"/>
                <w:szCs w:val="24"/>
              </w:rPr>
              <w:t>.</w:t>
            </w:r>
          </w:p>
        </w:tc>
        <w:tc>
          <w:tcPr>
            <w:tcW w:w="0" w:type="auto"/>
          </w:tcPr>
          <w:p w14:paraId="799E2782" w14:textId="538C2004" w:rsidR="00A64EFD" w:rsidRPr="009651E7" w:rsidRDefault="00652CE4" w:rsidP="00B10815">
            <w:pPr>
              <w:pStyle w:val="TableParagraph"/>
              <w:rPr>
                <w:rFonts w:ascii="Calibri" w:hAnsi="Calibri" w:cs="Calibri"/>
                <w:sz w:val="24"/>
                <w:szCs w:val="24"/>
              </w:rPr>
            </w:pPr>
            <w:r>
              <w:rPr>
                <w:rFonts w:ascii="Calibri" w:hAnsi="Calibri" w:cs="Calibri"/>
                <w:sz w:val="24"/>
                <w:szCs w:val="24"/>
              </w:rPr>
              <w:t>N</w:t>
            </w:r>
            <w:r w:rsidR="00073441" w:rsidRPr="009651E7">
              <w:rPr>
                <w:rFonts w:ascii="Calibri" w:hAnsi="Calibri" w:cs="Calibri"/>
                <w:sz w:val="24"/>
                <w:szCs w:val="24"/>
              </w:rPr>
              <w:t>umber</w:t>
            </w:r>
          </w:p>
        </w:tc>
        <w:tc>
          <w:tcPr>
            <w:tcW w:w="0" w:type="auto"/>
          </w:tcPr>
          <w:p w14:paraId="5432BEF4" w14:textId="77777777" w:rsidR="008E1184" w:rsidRPr="009651E7" w:rsidRDefault="008E1184" w:rsidP="008E1184">
            <w:pPr>
              <w:pStyle w:val="TableParagraph"/>
              <w:rPr>
                <w:rFonts w:ascii="Calibri" w:hAnsi="Calibri" w:cs="Calibri"/>
                <w:sz w:val="24"/>
                <w:szCs w:val="24"/>
              </w:rPr>
            </w:pPr>
          </w:p>
        </w:tc>
      </w:tr>
    </w:tbl>
    <w:p w14:paraId="7E52CFDC" w14:textId="77777777" w:rsidR="00E45B59" w:rsidRDefault="00E45B59"/>
    <w:p w14:paraId="5753833E" w14:textId="77777777" w:rsidR="002D3717" w:rsidRPr="00954233" w:rsidRDefault="002D3717" w:rsidP="002D3717">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t>Block F: Primary Benefits - Outcomes</w:t>
      </w:r>
    </w:p>
    <w:p w14:paraId="20C791B4" w14:textId="77777777" w:rsidR="002D3717" w:rsidRDefault="002D3717">
      <w:pPr>
        <w:rPr>
          <w:rFonts w:ascii="Calibri" w:hAnsi="Calibri" w:cs="Calibri"/>
          <w:b/>
          <w:szCs w:val="24"/>
        </w:rPr>
      </w:pPr>
    </w:p>
    <w:p w14:paraId="634E301E" w14:textId="3E044C0A" w:rsidR="00B03568" w:rsidRDefault="002D3717">
      <w:r w:rsidRPr="00954233">
        <w:rPr>
          <w:rFonts w:ascii="Calibri" w:hAnsi="Calibri" w:cs="Calibri"/>
          <w:szCs w:val="24"/>
        </w:rPr>
        <w:t>The outcomes in this table should be</w:t>
      </w:r>
      <w:r w:rsidRPr="00653F41">
        <w:rPr>
          <w:rFonts w:ascii="Calibri" w:hAnsi="Calibri" w:cs="Calibri"/>
          <w:b/>
          <w:szCs w:val="24"/>
        </w:rPr>
        <w:t xml:space="preserve"> </w:t>
      </w:r>
      <w:r w:rsidRPr="00954233">
        <w:rPr>
          <w:rFonts w:ascii="Calibri" w:hAnsi="Calibri" w:cs="Calibri"/>
          <w:b/>
          <w:szCs w:val="24"/>
        </w:rPr>
        <w:t>consistent with</w:t>
      </w:r>
      <w:r w:rsidRPr="00653F41">
        <w:rPr>
          <w:rFonts w:ascii="Calibri" w:hAnsi="Calibri" w:cs="Calibri"/>
          <w:b/>
          <w:szCs w:val="24"/>
        </w:rPr>
        <w:t xml:space="preserve"> </w:t>
      </w:r>
      <w:r w:rsidRPr="00954233">
        <w:rPr>
          <w:rFonts w:ascii="Calibri" w:hAnsi="Calibri" w:cs="Calibri"/>
          <w:szCs w:val="24"/>
        </w:rPr>
        <w:t>those submitted</w:t>
      </w:r>
      <w:r w:rsidRPr="00653F41">
        <w:rPr>
          <w:rFonts w:ascii="Calibri" w:hAnsi="Calibri" w:cs="Calibri"/>
          <w:b/>
          <w:szCs w:val="24"/>
        </w:rPr>
        <w:t xml:space="preserve"> </w:t>
      </w:r>
      <w:r w:rsidRPr="00954233">
        <w:rPr>
          <w:rFonts w:ascii="Calibri" w:hAnsi="Calibri" w:cs="Calibri"/>
          <w:szCs w:val="24"/>
        </w:rPr>
        <w:t>in</w:t>
      </w:r>
      <w:r w:rsidRPr="00653F41">
        <w:rPr>
          <w:rFonts w:ascii="Calibri" w:hAnsi="Calibri" w:cs="Calibri"/>
          <w:b/>
          <w:szCs w:val="24"/>
        </w:rPr>
        <w:t xml:space="preserve"> </w:t>
      </w:r>
      <w:r w:rsidRPr="00954233">
        <w:rPr>
          <w:rFonts w:ascii="Calibri" w:hAnsi="Calibri" w:cs="Calibri"/>
          <w:b/>
          <w:szCs w:val="24"/>
        </w:rPr>
        <w:t>table 1</w:t>
      </w:r>
      <w:r w:rsidRPr="00653F41">
        <w:rPr>
          <w:rFonts w:ascii="Calibri" w:hAnsi="Calibri" w:cs="Calibri"/>
          <w:b/>
          <w:szCs w:val="24"/>
        </w:rPr>
        <w:t>.</w:t>
      </w:r>
      <w:r w:rsidR="00A7545A">
        <w:rPr>
          <w:rFonts w:ascii="Calibri" w:hAnsi="Calibri" w:cs="Calibri"/>
          <w:b/>
          <w:szCs w:val="24"/>
        </w:rPr>
        <w:t xml:space="preserve"> </w:t>
      </w:r>
      <w:r w:rsidR="00A7545A">
        <w:rPr>
          <w:rFonts w:ascii="Calibri" w:hAnsi="Calibri" w:cs="Calibri"/>
          <w:bCs/>
          <w:szCs w:val="24"/>
        </w:rPr>
        <w:t xml:space="preserve">The columns in this block should be completed even </w:t>
      </w:r>
      <w:r w:rsidR="00CF03CA">
        <w:rPr>
          <w:rFonts w:ascii="Calibri" w:hAnsi="Calibri" w:cs="Calibri"/>
          <w:bCs/>
          <w:szCs w:val="24"/>
        </w:rPr>
        <w:t xml:space="preserve">when Primary </w:t>
      </w:r>
      <w:r w:rsidR="00FA5E5A">
        <w:rPr>
          <w:rFonts w:ascii="Calibri" w:hAnsi="Calibri" w:cs="Calibri"/>
          <w:bCs/>
          <w:szCs w:val="24"/>
        </w:rPr>
        <w:t xml:space="preserve">Benefits – Outcomes are the same as </w:t>
      </w:r>
      <w:r w:rsidR="00FA5E5A" w:rsidRPr="00FA5E5A">
        <w:rPr>
          <w:rFonts w:ascii="Calibri" w:hAnsi="Calibri" w:cs="Calibri"/>
          <w:bCs/>
          <w:szCs w:val="24"/>
        </w:rPr>
        <w:t>Primary Benefits - Outputs or Interventions</w:t>
      </w:r>
      <w:r w:rsidR="002A768F">
        <w:rPr>
          <w:rFonts w:ascii="Calibri" w:hAnsi="Calibri" w:cs="Calibri"/>
          <w:bCs/>
          <w:szCs w:val="24"/>
        </w:rPr>
        <w:t xml:space="preserve"> reported in </w:t>
      </w:r>
      <w:r w:rsidR="00E72CCE">
        <w:rPr>
          <w:rFonts w:ascii="Calibri" w:hAnsi="Calibri" w:cs="Calibri"/>
          <w:bCs/>
          <w:szCs w:val="24"/>
        </w:rPr>
        <w:t>Block E.</w:t>
      </w:r>
    </w:p>
    <w:tbl>
      <w:tblPr>
        <w:tblStyle w:val="Blueline"/>
        <w:tblW w:w="0" w:type="auto"/>
        <w:tblLook w:val="04A0" w:firstRow="1" w:lastRow="0" w:firstColumn="1" w:lastColumn="0" w:noHBand="0" w:noVBand="1"/>
      </w:tblPr>
      <w:tblGrid>
        <w:gridCol w:w="1693"/>
        <w:gridCol w:w="1554"/>
        <w:gridCol w:w="9346"/>
        <w:gridCol w:w="1977"/>
      </w:tblGrid>
      <w:tr w:rsidR="00734E1E" w:rsidRPr="008E2C7D" w14:paraId="1F95B118"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103129EA" w14:textId="7AA08741" w:rsidR="00FC3988" w:rsidRPr="008E2C7D" w:rsidRDefault="00D04C95" w:rsidP="00FC3988">
            <w:pPr>
              <w:pStyle w:val="TableParagraph"/>
              <w:rPr>
                <w:rFonts w:ascii="Calibri" w:hAnsi="Calibri" w:cs="Calibri"/>
                <w:sz w:val="24"/>
                <w:szCs w:val="24"/>
              </w:rPr>
            </w:pPr>
            <w:r w:rsidRPr="0074526B">
              <w:rPr>
                <w:rFonts w:ascii="Calibri" w:hAnsi="Calibri" w:cs="Calibri"/>
                <w:sz w:val="24"/>
                <w:szCs w:val="24"/>
              </w:rPr>
              <w:t>Column</w:t>
            </w:r>
            <w:r w:rsidR="00015683" w:rsidRPr="0074526B">
              <w:rPr>
                <w:rFonts w:ascii="Calibri" w:hAnsi="Calibri" w:cs="Calibri"/>
                <w:sz w:val="24"/>
                <w:szCs w:val="24"/>
              </w:rPr>
              <w:t xml:space="preserve"> Reference</w:t>
            </w:r>
          </w:p>
        </w:tc>
        <w:tc>
          <w:tcPr>
            <w:tcW w:w="0" w:type="auto"/>
          </w:tcPr>
          <w:p w14:paraId="2A6FF73B" w14:textId="6B99F702" w:rsidR="00FC3988" w:rsidRPr="00653F41" w:rsidRDefault="00015683" w:rsidP="00FC3988">
            <w:pPr>
              <w:pStyle w:val="TableParagraph"/>
              <w:rPr>
                <w:rFonts w:ascii="Calibri" w:hAnsi="Calibri" w:cs="Calibri"/>
                <w:sz w:val="24"/>
                <w:szCs w:val="24"/>
              </w:rPr>
            </w:pPr>
            <w:r w:rsidRPr="0074526B">
              <w:rPr>
                <w:rFonts w:ascii="Calibri" w:hAnsi="Calibri" w:cs="Calibri"/>
                <w:sz w:val="24"/>
                <w:szCs w:val="24"/>
              </w:rPr>
              <w:t>Column Title</w:t>
            </w:r>
          </w:p>
        </w:tc>
        <w:tc>
          <w:tcPr>
            <w:tcW w:w="0" w:type="auto"/>
          </w:tcPr>
          <w:p w14:paraId="246C5AF7" w14:textId="0CA60413" w:rsidR="00FC3988" w:rsidRPr="00653F41" w:rsidRDefault="00015683" w:rsidP="00FC3988">
            <w:pPr>
              <w:pStyle w:val="TableParagraph"/>
              <w:rPr>
                <w:rFonts w:ascii="Calibri" w:hAnsi="Calibri" w:cs="Calibri"/>
                <w:sz w:val="24"/>
                <w:szCs w:val="24"/>
              </w:rPr>
            </w:pPr>
            <w:r w:rsidRPr="0074526B">
              <w:rPr>
                <w:rFonts w:ascii="Calibri" w:hAnsi="Calibri" w:cs="Calibri"/>
                <w:sz w:val="24"/>
                <w:szCs w:val="24"/>
              </w:rPr>
              <w:t>Description</w:t>
            </w:r>
          </w:p>
        </w:tc>
        <w:tc>
          <w:tcPr>
            <w:tcW w:w="0" w:type="auto"/>
          </w:tcPr>
          <w:p w14:paraId="6BEA88F9" w14:textId="57F6FDD4" w:rsidR="00FC3988" w:rsidRPr="00653F41" w:rsidRDefault="00015683" w:rsidP="00FC3988">
            <w:pPr>
              <w:pStyle w:val="TableParagraph"/>
              <w:rPr>
                <w:rFonts w:ascii="Calibri" w:hAnsi="Calibri" w:cs="Calibri"/>
                <w:sz w:val="24"/>
                <w:szCs w:val="24"/>
              </w:rPr>
            </w:pPr>
            <w:r w:rsidRPr="0074526B">
              <w:rPr>
                <w:rFonts w:ascii="Calibri" w:hAnsi="Calibri" w:cs="Calibri"/>
                <w:sz w:val="24"/>
                <w:szCs w:val="24"/>
              </w:rPr>
              <w:t>Units</w:t>
            </w:r>
          </w:p>
        </w:tc>
      </w:tr>
      <w:tr w:rsidR="00734E1E" w:rsidRPr="008E2C7D" w14:paraId="04E516F7" w14:textId="77777777" w:rsidTr="00954233">
        <w:tc>
          <w:tcPr>
            <w:tcW w:w="0" w:type="auto"/>
          </w:tcPr>
          <w:p w14:paraId="4CB7AA47" w14:textId="50C2DDB6" w:rsidR="00FC3988" w:rsidRPr="008E2C7D" w:rsidRDefault="000B5817" w:rsidP="00FC3988">
            <w:pPr>
              <w:pStyle w:val="TableParagraph"/>
              <w:rPr>
                <w:rFonts w:ascii="Calibri" w:hAnsi="Calibri" w:cs="Calibri"/>
                <w:sz w:val="24"/>
                <w:szCs w:val="24"/>
              </w:rPr>
            </w:pPr>
            <w:r>
              <w:rPr>
                <w:rFonts w:ascii="Calibri" w:hAnsi="Calibri" w:cs="Calibri"/>
                <w:sz w:val="24"/>
                <w:szCs w:val="24"/>
              </w:rPr>
              <w:t>80</w:t>
            </w:r>
          </w:p>
        </w:tc>
        <w:tc>
          <w:tcPr>
            <w:tcW w:w="0" w:type="auto"/>
          </w:tcPr>
          <w:p w14:paraId="1B1A0E35" w14:textId="6133B967"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Primary </w:t>
            </w:r>
            <w:r w:rsidR="00087D23">
              <w:rPr>
                <w:rFonts w:ascii="Calibri" w:hAnsi="Calibri" w:cs="Calibri"/>
                <w:sz w:val="24"/>
                <w:szCs w:val="24"/>
              </w:rPr>
              <w:t>o</w:t>
            </w:r>
            <w:r w:rsidRPr="00653F41">
              <w:rPr>
                <w:rFonts w:ascii="Calibri" w:hAnsi="Calibri" w:cs="Calibri"/>
                <w:sz w:val="24"/>
                <w:szCs w:val="24"/>
              </w:rPr>
              <w:t>utcome</w:t>
            </w:r>
          </w:p>
        </w:tc>
        <w:tc>
          <w:tcPr>
            <w:tcW w:w="0" w:type="auto"/>
          </w:tcPr>
          <w:p w14:paraId="519FB7CF" w14:textId="583F8C9B"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The primary </w:t>
            </w:r>
            <w:r w:rsidR="009B0204" w:rsidRPr="00653F41">
              <w:rPr>
                <w:rFonts w:ascii="Calibri" w:hAnsi="Calibri" w:cs="Calibri"/>
                <w:sz w:val="24"/>
                <w:szCs w:val="24"/>
              </w:rPr>
              <w:t xml:space="preserve">measure </w:t>
            </w:r>
            <w:r w:rsidR="00A431A2" w:rsidRPr="00653F41">
              <w:rPr>
                <w:rFonts w:ascii="Calibri" w:hAnsi="Calibri" w:cs="Calibri"/>
                <w:sz w:val="24"/>
                <w:szCs w:val="24"/>
              </w:rPr>
              <w:t xml:space="preserve">of </w:t>
            </w:r>
            <w:r w:rsidR="009B0204" w:rsidRPr="00653F41">
              <w:rPr>
                <w:rFonts w:ascii="Calibri" w:hAnsi="Calibri" w:cs="Calibri"/>
                <w:sz w:val="24"/>
                <w:szCs w:val="24"/>
              </w:rPr>
              <w:t xml:space="preserve">the long-term effects of </w:t>
            </w:r>
            <w:r w:rsidR="00A431A2" w:rsidRPr="00653F41">
              <w:rPr>
                <w:rFonts w:ascii="Calibri" w:hAnsi="Calibri" w:cs="Calibri"/>
                <w:sz w:val="24"/>
                <w:szCs w:val="24"/>
              </w:rPr>
              <w:t>the</w:t>
            </w:r>
            <w:r w:rsidR="00472938" w:rsidRPr="00653F41">
              <w:rPr>
                <w:rFonts w:ascii="Calibri" w:hAnsi="Calibri" w:cs="Calibri"/>
                <w:sz w:val="24"/>
                <w:szCs w:val="24"/>
              </w:rPr>
              <w:t xml:space="preserve"> </w:t>
            </w:r>
            <w:r w:rsidR="00643EC5" w:rsidRPr="00653F41">
              <w:rPr>
                <w:rFonts w:ascii="Calibri" w:hAnsi="Calibri" w:cs="Calibri"/>
                <w:sz w:val="24"/>
                <w:szCs w:val="24"/>
              </w:rPr>
              <w:t>investment</w:t>
            </w:r>
            <w:r w:rsidR="00924F5B">
              <w:rPr>
                <w:rFonts w:ascii="Calibri" w:hAnsi="Calibri" w:cs="Calibri"/>
                <w:sz w:val="24"/>
                <w:szCs w:val="24"/>
              </w:rPr>
              <w:t>. Scottish Water should ensure the text input reconciles with the list of outcomes in table 1.</w:t>
            </w:r>
          </w:p>
        </w:tc>
        <w:tc>
          <w:tcPr>
            <w:tcW w:w="0" w:type="auto"/>
          </w:tcPr>
          <w:p w14:paraId="775B4EA5" w14:textId="635EC8F8"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Text</w:t>
            </w:r>
          </w:p>
        </w:tc>
      </w:tr>
      <w:tr w:rsidR="00734E1E" w:rsidRPr="008E2C7D" w14:paraId="73B57FB9" w14:textId="77777777" w:rsidTr="00954233">
        <w:tc>
          <w:tcPr>
            <w:tcW w:w="0" w:type="auto"/>
          </w:tcPr>
          <w:p w14:paraId="63AEC17E" w14:textId="5EC05ED7" w:rsidR="00FC3988" w:rsidRPr="008E2C7D" w:rsidRDefault="00026B06" w:rsidP="00FC3988">
            <w:pPr>
              <w:pStyle w:val="TableParagraph"/>
              <w:rPr>
                <w:rFonts w:ascii="Calibri" w:hAnsi="Calibri" w:cs="Calibri"/>
                <w:sz w:val="24"/>
                <w:szCs w:val="24"/>
              </w:rPr>
            </w:pPr>
            <w:r>
              <w:rPr>
                <w:rFonts w:ascii="Calibri" w:hAnsi="Calibri" w:cs="Calibri"/>
                <w:sz w:val="24"/>
                <w:szCs w:val="24"/>
              </w:rPr>
              <w:t>8</w:t>
            </w:r>
            <w:r w:rsidR="000B5817">
              <w:rPr>
                <w:rFonts w:ascii="Calibri" w:hAnsi="Calibri" w:cs="Calibri"/>
                <w:sz w:val="24"/>
                <w:szCs w:val="24"/>
              </w:rPr>
              <w:t>1</w:t>
            </w:r>
          </w:p>
        </w:tc>
        <w:tc>
          <w:tcPr>
            <w:tcW w:w="0" w:type="auto"/>
          </w:tcPr>
          <w:p w14:paraId="766FCA8E" w14:textId="33A10D2F"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Units</w:t>
            </w:r>
          </w:p>
        </w:tc>
        <w:tc>
          <w:tcPr>
            <w:tcW w:w="0" w:type="auto"/>
          </w:tcPr>
          <w:p w14:paraId="39BA8EE4" w14:textId="5AC161BB"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The units in which </w:t>
            </w:r>
            <w:r w:rsidR="00BA200A">
              <w:rPr>
                <w:rFonts w:ascii="Calibri" w:hAnsi="Calibri" w:cs="Calibri"/>
                <w:sz w:val="24"/>
                <w:szCs w:val="24"/>
              </w:rPr>
              <w:t xml:space="preserve">the </w:t>
            </w:r>
            <w:r w:rsidR="0078507D" w:rsidRPr="00653F41">
              <w:rPr>
                <w:rFonts w:ascii="Calibri" w:hAnsi="Calibri" w:cs="Calibri"/>
                <w:sz w:val="24"/>
                <w:szCs w:val="24"/>
              </w:rPr>
              <w:t>outcome</w:t>
            </w:r>
            <w:r w:rsidR="00222345" w:rsidRPr="00653F41">
              <w:rPr>
                <w:rFonts w:ascii="Calibri" w:hAnsi="Calibri" w:cs="Calibri"/>
                <w:sz w:val="24"/>
                <w:szCs w:val="24"/>
              </w:rPr>
              <w:t xml:space="preserve"> can</w:t>
            </w:r>
            <w:r w:rsidRPr="00653F41">
              <w:rPr>
                <w:rFonts w:ascii="Calibri" w:hAnsi="Calibri" w:cs="Calibri"/>
                <w:sz w:val="24"/>
                <w:szCs w:val="24"/>
              </w:rPr>
              <w:t xml:space="preserve"> be measured</w:t>
            </w:r>
            <w:r w:rsidR="00FB25F5">
              <w:rPr>
                <w:rFonts w:ascii="Calibri" w:hAnsi="Calibri" w:cs="Calibri"/>
                <w:sz w:val="24"/>
                <w:szCs w:val="24"/>
              </w:rPr>
              <w:t>.</w:t>
            </w:r>
          </w:p>
        </w:tc>
        <w:tc>
          <w:tcPr>
            <w:tcW w:w="0" w:type="auto"/>
          </w:tcPr>
          <w:p w14:paraId="45088A7C" w14:textId="165A118B"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e.g.</w:t>
            </w:r>
            <w:r w:rsidR="00222345" w:rsidRPr="00653F41">
              <w:rPr>
                <w:rFonts w:ascii="Calibri" w:hAnsi="Calibri" w:cs="Calibri"/>
                <w:sz w:val="24"/>
                <w:szCs w:val="24"/>
              </w:rPr>
              <w:t xml:space="preserve"> leakage reduction %</w:t>
            </w:r>
          </w:p>
        </w:tc>
      </w:tr>
      <w:tr w:rsidR="00734E1E" w:rsidRPr="008E2C7D" w14:paraId="3E04A77F" w14:textId="77777777" w:rsidTr="00954233">
        <w:tc>
          <w:tcPr>
            <w:tcW w:w="0" w:type="auto"/>
          </w:tcPr>
          <w:p w14:paraId="3000E7A3" w14:textId="390CFF00" w:rsidR="0085279E" w:rsidRPr="008E2C7D" w:rsidRDefault="000B5817" w:rsidP="0085279E">
            <w:pPr>
              <w:pStyle w:val="TableParagraph"/>
              <w:rPr>
                <w:rFonts w:ascii="Calibri" w:hAnsi="Calibri" w:cs="Calibri"/>
                <w:sz w:val="24"/>
                <w:szCs w:val="24"/>
              </w:rPr>
            </w:pPr>
            <w:r>
              <w:rPr>
                <w:rFonts w:ascii="Calibri" w:hAnsi="Calibri" w:cs="Calibri"/>
                <w:sz w:val="24"/>
                <w:szCs w:val="24"/>
              </w:rPr>
              <w:t xml:space="preserve">82 </w:t>
            </w:r>
            <w:r w:rsidR="00C81CAD">
              <w:rPr>
                <w:rFonts w:ascii="Calibri" w:hAnsi="Calibri" w:cs="Calibri"/>
                <w:sz w:val="24"/>
                <w:szCs w:val="24"/>
              </w:rPr>
              <w:t xml:space="preserve">to </w:t>
            </w:r>
            <w:r w:rsidR="00656551">
              <w:rPr>
                <w:rFonts w:ascii="Calibri" w:hAnsi="Calibri" w:cs="Calibri"/>
                <w:sz w:val="24"/>
                <w:szCs w:val="24"/>
              </w:rPr>
              <w:t>8</w:t>
            </w:r>
            <w:r>
              <w:rPr>
                <w:rFonts w:ascii="Calibri" w:hAnsi="Calibri" w:cs="Calibri"/>
                <w:sz w:val="24"/>
                <w:szCs w:val="24"/>
              </w:rPr>
              <w:t>7</w:t>
            </w:r>
          </w:p>
        </w:tc>
        <w:tc>
          <w:tcPr>
            <w:tcW w:w="0" w:type="auto"/>
          </w:tcPr>
          <w:p w14:paraId="2DC332A8" w14:textId="00E69435" w:rsidR="0085279E" w:rsidRPr="00824069" w:rsidRDefault="0085279E" w:rsidP="0085279E">
            <w:pPr>
              <w:pStyle w:val="TableParagraph"/>
              <w:rPr>
                <w:rFonts w:ascii="Calibri" w:hAnsi="Calibri" w:cs="Calibri"/>
                <w:sz w:val="24"/>
                <w:szCs w:val="24"/>
              </w:rPr>
            </w:pPr>
            <w:r w:rsidRPr="00824069">
              <w:rPr>
                <w:rFonts w:ascii="Calibri" w:hAnsi="Calibri" w:cs="Calibri"/>
                <w:sz w:val="24"/>
                <w:szCs w:val="24"/>
              </w:rPr>
              <w:t>Y</w:t>
            </w:r>
            <w:r w:rsidR="00087D23">
              <w:rPr>
                <w:rFonts w:ascii="Calibri" w:hAnsi="Calibri" w:cs="Calibri"/>
                <w:sz w:val="24"/>
                <w:szCs w:val="24"/>
              </w:rPr>
              <w:t xml:space="preserve">ear </w:t>
            </w:r>
            <w:r w:rsidRPr="00824069">
              <w:rPr>
                <w:rFonts w:ascii="Calibri" w:hAnsi="Calibri" w:cs="Calibri"/>
                <w:sz w:val="24"/>
                <w:szCs w:val="24"/>
              </w:rPr>
              <w:t>1</w:t>
            </w:r>
            <w:r w:rsidR="00087D23">
              <w:rPr>
                <w:rFonts w:ascii="Calibri" w:hAnsi="Calibri" w:cs="Calibri"/>
                <w:sz w:val="24"/>
                <w:szCs w:val="24"/>
              </w:rPr>
              <w:t xml:space="preserve"> to </w:t>
            </w:r>
            <w:r w:rsidRPr="00824069">
              <w:rPr>
                <w:rFonts w:ascii="Calibri" w:hAnsi="Calibri" w:cs="Calibri"/>
                <w:sz w:val="24"/>
                <w:szCs w:val="24"/>
              </w:rPr>
              <w:t>6</w:t>
            </w:r>
          </w:p>
        </w:tc>
        <w:tc>
          <w:tcPr>
            <w:tcW w:w="0" w:type="auto"/>
          </w:tcPr>
          <w:p w14:paraId="347B13B9" w14:textId="4CD09274" w:rsidR="0085279E" w:rsidRPr="00824069" w:rsidRDefault="0085279E" w:rsidP="0085279E">
            <w:pPr>
              <w:pStyle w:val="TableParagraph"/>
              <w:rPr>
                <w:rFonts w:ascii="Calibri" w:hAnsi="Calibri" w:cs="Calibri"/>
                <w:sz w:val="24"/>
                <w:szCs w:val="24"/>
              </w:rPr>
            </w:pPr>
            <w:r w:rsidRPr="00824069">
              <w:rPr>
                <w:rFonts w:ascii="Calibri" w:hAnsi="Calibri" w:cs="Calibri"/>
                <w:sz w:val="24"/>
                <w:szCs w:val="24"/>
              </w:rPr>
              <w:t xml:space="preserve">Number of </w:t>
            </w:r>
            <w:r w:rsidR="003D56F7">
              <w:rPr>
                <w:rFonts w:ascii="Calibri" w:hAnsi="Calibri" w:cs="Calibri"/>
                <w:sz w:val="24"/>
                <w:szCs w:val="24"/>
              </w:rPr>
              <w:t>outcomes</w:t>
            </w:r>
            <w:r w:rsidR="003D56F7" w:rsidRPr="00824069">
              <w:rPr>
                <w:rFonts w:ascii="Calibri" w:hAnsi="Calibri" w:cs="Calibri"/>
                <w:sz w:val="24"/>
                <w:szCs w:val="24"/>
              </w:rPr>
              <w:t xml:space="preserve"> </w:t>
            </w:r>
            <w:r w:rsidRPr="00824069">
              <w:rPr>
                <w:rFonts w:ascii="Calibri" w:hAnsi="Calibri" w:cs="Calibri"/>
                <w:sz w:val="24"/>
                <w:szCs w:val="24"/>
              </w:rPr>
              <w:t>delivered</w:t>
            </w:r>
            <w:r w:rsidR="0067704F" w:rsidRPr="00824069">
              <w:rPr>
                <w:rFonts w:ascii="Calibri" w:hAnsi="Calibri" w:cs="Calibri"/>
                <w:sz w:val="24"/>
                <w:szCs w:val="24"/>
              </w:rPr>
              <w:t xml:space="preserve"> in each year</w:t>
            </w:r>
            <w:r w:rsidR="00FB25F5">
              <w:rPr>
                <w:rFonts w:ascii="Calibri" w:hAnsi="Calibri" w:cs="Calibri"/>
                <w:sz w:val="24"/>
                <w:szCs w:val="24"/>
              </w:rPr>
              <w:t>.</w:t>
            </w:r>
          </w:p>
        </w:tc>
        <w:tc>
          <w:tcPr>
            <w:tcW w:w="0" w:type="auto"/>
          </w:tcPr>
          <w:p w14:paraId="70B07EFD" w14:textId="103CD5C4" w:rsidR="0085279E" w:rsidRPr="00824069" w:rsidRDefault="003D56F7" w:rsidP="0085279E">
            <w:pPr>
              <w:pStyle w:val="TableParagraph"/>
              <w:rPr>
                <w:rFonts w:ascii="Calibri" w:hAnsi="Calibri" w:cs="Calibri"/>
                <w:sz w:val="24"/>
                <w:szCs w:val="24"/>
              </w:rPr>
            </w:pPr>
            <w:r>
              <w:rPr>
                <w:rFonts w:ascii="Calibri" w:hAnsi="Calibri" w:cs="Calibri"/>
                <w:sz w:val="24"/>
                <w:szCs w:val="24"/>
              </w:rPr>
              <w:t>N</w:t>
            </w:r>
            <w:r w:rsidR="0085279E" w:rsidRPr="00824069">
              <w:rPr>
                <w:rFonts w:ascii="Calibri" w:hAnsi="Calibri" w:cs="Calibri"/>
                <w:sz w:val="24"/>
                <w:szCs w:val="24"/>
              </w:rPr>
              <w:t>umber</w:t>
            </w:r>
          </w:p>
        </w:tc>
      </w:tr>
      <w:tr w:rsidR="00734E1E" w:rsidRPr="008E2C7D" w14:paraId="43CE3D9D" w14:textId="77777777" w:rsidTr="00954233">
        <w:tc>
          <w:tcPr>
            <w:tcW w:w="0" w:type="auto"/>
          </w:tcPr>
          <w:p w14:paraId="539A8914" w14:textId="429F6503" w:rsidR="0085279E" w:rsidRPr="008E2C7D" w:rsidRDefault="00656551" w:rsidP="0085279E">
            <w:pPr>
              <w:pStyle w:val="TableParagraph"/>
              <w:rPr>
                <w:rFonts w:ascii="Calibri" w:hAnsi="Calibri" w:cs="Calibri"/>
                <w:sz w:val="24"/>
                <w:szCs w:val="24"/>
              </w:rPr>
            </w:pPr>
            <w:r>
              <w:rPr>
                <w:rFonts w:ascii="Calibri" w:hAnsi="Calibri" w:cs="Calibri"/>
                <w:sz w:val="24"/>
                <w:szCs w:val="24"/>
              </w:rPr>
              <w:t>8</w:t>
            </w:r>
            <w:r w:rsidR="000B5817">
              <w:rPr>
                <w:rFonts w:ascii="Calibri" w:hAnsi="Calibri" w:cs="Calibri"/>
                <w:sz w:val="24"/>
                <w:szCs w:val="24"/>
              </w:rPr>
              <w:t>8</w:t>
            </w:r>
          </w:p>
        </w:tc>
        <w:tc>
          <w:tcPr>
            <w:tcW w:w="0" w:type="auto"/>
          </w:tcPr>
          <w:p w14:paraId="6A89AB37" w14:textId="7D5F0A1A" w:rsidR="0085279E" w:rsidRPr="00824069" w:rsidRDefault="00087D23" w:rsidP="0085279E">
            <w:pPr>
              <w:pStyle w:val="TableParagraph"/>
              <w:rPr>
                <w:rFonts w:ascii="Calibri" w:hAnsi="Calibri" w:cs="Calibri"/>
                <w:sz w:val="24"/>
                <w:szCs w:val="24"/>
              </w:rPr>
            </w:pPr>
            <w:r>
              <w:rPr>
                <w:rFonts w:ascii="Calibri" w:hAnsi="Calibri" w:cs="Calibri"/>
                <w:sz w:val="24"/>
                <w:szCs w:val="24"/>
              </w:rPr>
              <w:t>Total in SRC27</w:t>
            </w:r>
          </w:p>
        </w:tc>
        <w:tc>
          <w:tcPr>
            <w:tcW w:w="0" w:type="auto"/>
          </w:tcPr>
          <w:p w14:paraId="3E7A4CD9" w14:textId="69CCE048" w:rsidR="0085279E" w:rsidRPr="00824069" w:rsidRDefault="005548A0" w:rsidP="0085279E">
            <w:pPr>
              <w:pStyle w:val="TableParagraph"/>
              <w:rPr>
                <w:rFonts w:ascii="Calibri" w:hAnsi="Calibri" w:cs="Calibri"/>
                <w:sz w:val="24"/>
                <w:szCs w:val="24"/>
              </w:rPr>
            </w:pPr>
            <w:r>
              <w:rPr>
                <w:rFonts w:ascii="Calibri" w:hAnsi="Calibri" w:cs="Calibri"/>
                <w:sz w:val="24"/>
                <w:szCs w:val="24"/>
              </w:rPr>
              <w:t xml:space="preserve">Calculated column: </w:t>
            </w:r>
            <w:r w:rsidRPr="00AC1D90">
              <w:rPr>
                <w:rFonts w:ascii="Calibri" w:hAnsi="Calibri" w:cs="Calibri"/>
                <w:sz w:val="24"/>
                <w:szCs w:val="24"/>
              </w:rPr>
              <w:t xml:space="preserve">Sum of </w:t>
            </w:r>
            <w:r>
              <w:rPr>
                <w:rFonts w:ascii="Calibri" w:hAnsi="Calibri" w:cs="Calibri"/>
                <w:sz w:val="24"/>
                <w:szCs w:val="24"/>
              </w:rPr>
              <w:t>year 1 to 6</w:t>
            </w:r>
            <w:r w:rsidR="00FB25F5">
              <w:rPr>
                <w:rFonts w:ascii="Calibri" w:hAnsi="Calibri" w:cs="Calibri"/>
                <w:sz w:val="24"/>
                <w:szCs w:val="24"/>
              </w:rPr>
              <w:t>.</w:t>
            </w:r>
          </w:p>
        </w:tc>
        <w:tc>
          <w:tcPr>
            <w:tcW w:w="0" w:type="auto"/>
          </w:tcPr>
          <w:p w14:paraId="74E301F0" w14:textId="0E03FD00" w:rsidR="0085279E" w:rsidRPr="00824069" w:rsidRDefault="003D56F7" w:rsidP="0085279E">
            <w:pPr>
              <w:pStyle w:val="TableParagraph"/>
              <w:rPr>
                <w:rFonts w:ascii="Calibri" w:hAnsi="Calibri" w:cs="Calibri"/>
                <w:sz w:val="24"/>
                <w:szCs w:val="24"/>
              </w:rPr>
            </w:pPr>
            <w:r>
              <w:rPr>
                <w:rFonts w:ascii="Calibri" w:hAnsi="Calibri" w:cs="Calibri"/>
                <w:sz w:val="24"/>
                <w:szCs w:val="24"/>
              </w:rPr>
              <w:t>N</w:t>
            </w:r>
            <w:r w:rsidR="0085279E" w:rsidRPr="00824069">
              <w:rPr>
                <w:rFonts w:ascii="Calibri" w:hAnsi="Calibri" w:cs="Calibri"/>
                <w:sz w:val="24"/>
                <w:szCs w:val="24"/>
              </w:rPr>
              <w:t>umber</w:t>
            </w:r>
          </w:p>
        </w:tc>
      </w:tr>
    </w:tbl>
    <w:p w14:paraId="0F1066FE" w14:textId="77777777" w:rsidR="00FC609D" w:rsidRDefault="00FC609D" w:rsidP="002D3717">
      <w:pPr>
        <w:pStyle w:val="TableParagraph"/>
        <w:rPr>
          <w:rFonts w:ascii="Calibri" w:hAnsi="Calibri" w:cs="Calibri"/>
          <w:b/>
          <w:color w:val="064276" w:themeColor="text2"/>
          <w:sz w:val="28"/>
          <w:szCs w:val="28"/>
        </w:rPr>
      </w:pPr>
    </w:p>
    <w:p w14:paraId="5802ED23" w14:textId="60B15B82" w:rsidR="002D3717" w:rsidRPr="00954233" w:rsidRDefault="002D3717" w:rsidP="002D3717">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lastRenderedPageBreak/>
        <w:t>Block G: Secondary Benefits - Outputs or Interventions (not all projects/programmes will have a secondary benefit)</w:t>
      </w:r>
    </w:p>
    <w:p w14:paraId="035046FD" w14:textId="77777777" w:rsidR="002D3717" w:rsidRDefault="002D3717" w:rsidP="002D3717">
      <w:pPr>
        <w:rPr>
          <w:b/>
        </w:rPr>
      </w:pPr>
    </w:p>
    <w:p w14:paraId="1726CD4A" w14:textId="3ED8DB1C" w:rsidR="00584C94" w:rsidRDefault="002D3717">
      <w:r w:rsidRPr="00954233">
        <w:t>If a project/programme has a tertiary, quaternary or further output or type of intervention, Scottish Water should explain in the commentary how those additional outputs/interventions and their associated expenditure are captured in tables 2 and 3</w:t>
      </w:r>
      <w:r w:rsidR="00A67FE8">
        <w:t>a</w:t>
      </w:r>
      <w:r w:rsidRPr="00954233">
        <w:t xml:space="preserve"> so that the consistency between these tables and table 5 is preserved.</w:t>
      </w:r>
    </w:p>
    <w:tbl>
      <w:tblPr>
        <w:tblStyle w:val="Blueline"/>
        <w:tblW w:w="5000" w:type="pct"/>
        <w:tblLook w:val="04A0" w:firstRow="1" w:lastRow="0" w:firstColumn="1" w:lastColumn="0" w:noHBand="0" w:noVBand="1"/>
      </w:tblPr>
      <w:tblGrid>
        <w:gridCol w:w="3684"/>
        <w:gridCol w:w="3495"/>
        <w:gridCol w:w="3980"/>
        <w:gridCol w:w="3411"/>
      </w:tblGrid>
      <w:tr w:rsidR="00227377" w:rsidRPr="00DE19DC" w14:paraId="34CC4D47"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79F347BC" w14:textId="00BE0A8B" w:rsidR="00227377" w:rsidRPr="00C916A9" w:rsidRDefault="00D04C95" w:rsidP="00227377">
            <w:pPr>
              <w:pStyle w:val="TableParagraph"/>
              <w:rPr>
                <w:rFonts w:ascii="Calibri" w:hAnsi="Calibri" w:cs="Calibri"/>
                <w:sz w:val="24"/>
                <w:szCs w:val="24"/>
              </w:rPr>
            </w:pPr>
            <w:r w:rsidRPr="0074526B">
              <w:rPr>
                <w:rFonts w:ascii="Calibri" w:hAnsi="Calibri" w:cs="Calibri"/>
                <w:sz w:val="24"/>
                <w:szCs w:val="24"/>
              </w:rPr>
              <w:t>Column</w:t>
            </w:r>
            <w:r w:rsidR="00227377" w:rsidRPr="0074526B">
              <w:rPr>
                <w:rFonts w:ascii="Calibri" w:hAnsi="Calibri" w:cs="Calibri"/>
                <w:sz w:val="24"/>
                <w:szCs w:val="24"/>
              </w:rPr>
              <w:t xml:space="preserve"> Reference</w:t>
            </w:r>
          </w:p>
        </w:tc>
        <w:tc>
          <w:tcPr>
            <w:tcW w:w="0" w:type="pct"/>
          </w:tcPr>
          <w:p w14:paraId="0513ED27" w14:textId="16025A16" w:rsidR="00227377" w:rsidRPr="00C916A9" w:rsidRDefault="00227377" w:rsidP="00227377">
            <w:pPr>
              <w:pStyle w:val="TableParagraph"/>
              <w:rPr>
                <w:rFonts w:ascii="Calibri" w:hAnsi="Calibri" w:cs="Calibri"/>
                <w:sz w:val="24"/>
                <w:szCs w:val="24"/>
              </w:rPr>
            </w:pPr>
            <w:r w:rsidRPr="0074526B">
              <w:rPr>
                <w:rFonts w:ascii="Calibri" w:hAnsi="Calibri" w:cs="Calibri"/>
                <w:sz w:val="24"/>
                <w:szCs w:val="24"/>
              </w:rPr>
              <w:t>Column Title</w:t>
            </w:r>
          </w:p>
        </w:tc>
        <w:tc>
          <w:tcPr>
            <w:tcW w:w="0" w:type="pct"/>
          </w:tcPr>
          <w:p w14:paraId="687DB114" w14:textId="7346C2A0" w:rsidR="00227377" w:rsidRPr="00C916A9" w:rsidRDefault="00227377" w:rsidP="00227377">
            <w:pPr>
              <w:pStyle w:val="TableParagraph"/>
              <w:rPr>
                <w:rFonts w:ascii="Calibri" w:hAnsi="Calibri" w:cs="Calibri"/>
                <w:sz w:val="24"/>
                <w:szCs w:val="24"/>
              </w:rPr>
            </w:pPr>
            <w:r w:rsidRPr="0074526B">
              <w:rPr>
                <w:rFonts w:ascii="Calibri" w:hAnsi="Calibri" w:cs="Calibri"/>
                <w:sz w:val="24"/>
                <w:szCs w:val="24"/>
              </w:rPr>
              <w:t>Description</w:t>
            </w:r>
          </w:p>
        </w:tc>
        <w:tc>
          <w:tcPr>
            <w:tcW w:w="0" w:type="pct"/>
          </w:tcPr>
          <w:p w14:paraId="38FF4A25" w14:textId="7CA55CA6" w:rsidR="00227377" w:rsidRPr="00C916A9" w:rsidRDefault="00227377" w:rsidP="00227377">
            <w:pPr>
              <w:pStyle w:val="TableParagraph"/>
              <w:rPr>
                <w:rFonts w:ascii="Calibri" w:hAnsi="Calibri" w:cs="Calibri"/>
                <w:sz w:val="24"/>
                <w:szCs w:val="24"/>
              </w:rPr>
            </w:pPr>
            <w:r w:rsidRPr="0074526B">
              <w:rPr>
                <w:rFonts w:ascii="Calibri" w:hAnsi="Calibri" w:cs="Calibri"/>
                <w:sz w:val="24"/>
                <w:szCs w:val="24"/>
              </w:rPr>
              <w:t>Units</w:t>
            </w:r>
          </w:p>
        </w:tc>
      </w:tr>
      <w:tr w:rsidR="00FC3988" w:rsidRPr="00DE19DC" w14:paraId="6EC170B7" w14:textId="77777777" w:rsidTr="00954233">
        <w:tc>
          <w:tcPr>
            <w:tcW w:w="0" w:type="pct"/>
          </w:tcPr>
          <w:p w14:paraId="577056BB" w14:textId="4029C374" w:rsidR="00FC3988" w:rsidRPr="008E2C7D" w:rsidRDefault="008F347D" w:rsidP="00FC3988">
            <w:pPr>
              <w:pStyle w:val="TableParagraph"/>
              <w:rPr>
                <w:rFonts w:ascii="Calibri" w:hAnsi="Calibri" w:cs="Calibri"/>
                <w:sz w:val="24"/>
                <w:szCs w:val="24"/>
              </w:rPr>
            </w:pPr>
            <w:r>
              <w:rPr>
                <w:rFonts w:ascii="Calibri" w:hAnsi="Calibri" w:cs="Calibri"/>
                <w:sz w:val="24"/>
                <w:szCs w:val="24"/>
              </w:rPr>
              <w:t>8</w:t>
            </w:r>
            <w:r w:rsidR="000B5817">
              <w:rPr>
                <w:rFonts w:ascii="Calibri" w:hAnsi="Calibri" w:cs="Calibri"/>
                <w:sz w:val="24"/>
                <w:szCs w:val="24"/>
              </w:rPr>
              <w:t>9</w:t>
            </w:r>
            <w:r>
              <w:rPr>
                <w:rFonts w:ascii="Calibri" w:hAnsi="Calibri" w:cs="Calibri"/>
                <w:sz w:val="24"/>
                <w:szCs w:val="24"/>
              </w:rPr>
              <w:t xml:space="preserve"> to </w:t>
            </w:r>
            <w:r w:rsidR="00F66A6A">
              <w:rPr>
                <w:rFonts w:ascii="Calibri" w:hAnsi="Calibri" w:cs="Calibri"/>
                <w:sz w:val="24"/>
                <w:szCs w:val="24"/>
              </w:rPr>
              <w:t>10</w:t>
            </w:r>
            <w:r w:rsidR="000B5817">
              <w:rPr>
                <w:rFonts w:ascii="Calibri" w:hAnsi="Calibri" w:cs="Calibri"/>
                <w:sz w:val="24"/>
                <w:szCs w:val="24"/>
              </w:rPr>
              <w:t>4</w:t>
            </w:r>
          </w:p>
        </w:tc>
        <w:tc>
          <w:tcPr>
            <w:tcW w:w="0" w:type="pct"/>
          </w:tcPr>
          <w:p w14:paraId="4CEB6E4A" w14:textId="70C8820E" w:rsidR="00FC3988" w:rsidRPr="00C916A9" w:rsidRDefault="006F4C67" w:rsidP="00FC3988">
            <w:pPr>
              <w:pStyle w:val="TableParagraph"/>
              <w:rPr>
                <w:rFonts w:ascii="Calibri" w:hAnsi="Calibri" w:cs="Calibri"/>
                <w:sz w:val="24"/>
                <w:szCs w:val="24"/>
              </w:rPr>
            </w:pPr>
            <w:r w:rsidRPr="00C916A9">
              <w:rPr>
                <w:rFonts w:ascii="Calibri" w:hAnsi="Calibri" w:cs="Calibri"/>
                <w:sz w:val="24"/>
                <w:szCs w:val="24"/>
              </w:rPr>
              <w:t>All columns</w:t>
            </w:r>
          </w:p>
        </w:tc>
        <w:tc>
          <w:tcPr>
            <w:tcW w:w="0" w:type="pct"/>
          </w:tcPr>
          <w:p w14:paraId="7EF2DEC7" w14:textId="2591966C" w:rsidR="00FC3988" w:rsidRPr="00C916A9" w:rsidRDefault="006F4C67" w:rsidP="00FC3988">
            <w:pPr>
              <w:pStyle w:val="TableParagraph"/>
              <w:rPr>
                <w:rFonts w:ascii="Calibri" w:hAnsi="Calibri" w:cs="Calibri"/>
                <w:sz w:val="24"/>
                <w:szCs w:val="24"/>
              </w:rPr>
            </w:pPr>
            <w:r w:rsidRPr="00C916A9">
              <w:rPr>
                <w:rFonts w:ascii="Calibri" w:hAnsi="Calibri" w:cs="Calibri"/>
                <w:sz w:val="24"/>
                <w:szCs w:val="24"/>
              </w:rPr>
              <w:t xml:space="preserve">Definitions as per </w:t>
            </w:r>
            <w:r w:rsidR="00317475" w:rsidRPr="002D1B13">
              <w:rPr>
                <w:rFonts w:ascii="Calibri" w:hAnsi="Calibri" w:cs="Calibri"/>
                <w:sz w:val="24"/>
                <w:szCs w:val="24"/>
              </w:rPr>
              <w:t>Block</w:t>
            </w:r>
            <w:r w:rsidRPr="00D461C8">
              <w:rPr>
                <w:rFonts w:ascii="Calibri" w:hAnsi="Calibri" w:cs="Calibri"/>
                <w:sz w:val="28"/>
                <w:szCs w:val="28"/>
              </w:rPr>
              <w:t xml:space="preserve"> </w:t>
            </w:r>
            <w:r w:rsidR="003A57A6" w:rsidRPr="00C916A9">
              <w:rPr>
                <w:rFonts w:ascii="Calibri" w:hAnsi="Calibri" w:cs="Calibri"/>
                <w:sz w:val="24"/>
                <w:szCs w:val="24"/>
              </w:rPr>
              <w:t>E</w:t>
            </w:r>
            <w:r w:rsidRPr="00C916A9">
              <w:rPr>
                <w:rFonts w:ascii="Calibri" w:hAnsi="Calibri" w:cs="Calibri"/>
                <w:sz w:val="24"/>
                <w:szCs w:val="24"/>
              </w:rPr>
              <w:t>:</w:t>
            </w:r>
            <w:r w:rsidR="00317E74" w:rsidRPr="00C916A9">
              <w:rPr>
                <w:sz w:val="24"/>
                <w:szCs w:val="24"/>
              </w:rPr>
              <w:t xml:space="preserve"> </w:t>
            </w:r>
            <w:r w:rsidR="00317E74" w:rsidRPr="00C916A9">
              <w:rPr>
                <w:rFonts w:ascii="Calibri" w:hAnsi="Calibri" w:cs="Calibri"/>
                <w:sz w:val="24"/>
                <w:szCs w:val="24"/>
              </w:rPr>
              <w:t>Primary Benefits</w:t>
            </w:r>
            <w:r w:rsidR="006F276C" w:rsidRPr="00C916A9">
              <w:rPr>
                <w:rFonts w:ascii="Calibri" w:hAnsi="Calibri" w:cs="Calibri"/>
                <w:sz w:val="24"/>
                <w:szCs w:val="24"/>
              </w:rPr>
              <w:t xml:space="preserve"> </w:t>
            </w:r>
            <w:r w:rsidR="00317E74" w:rsidRPr="00C916A9">
              <w:rPr>
                <w:rFonts w:ascii="Calibri" w:hAnsi="Calibri" w:cs="Calibri"/>
                <w:sz w:val="24"/>
                <w:szCs w:val="24"/>
              </w:rPr>
              <w:t xml:space="preserve">- Outputs or Interventions </w:t>
            </w:r>
            <w:r w:rsidRPr="00C916A9">
              <w:rPr>
                <w:rFonts w:ascii="Calibri" w:hAnsi="Calibri" w:cs="Calibri"/>
                <w:b/>
                <w:sz w:val="24"/>
                <w:szCs w:val="24"/>
              </w:rPr>
              <w:t xml:space="preserve">but </w:t>
            </w:r>
            <w:r w:rsidRPr="00C916A9">
              <w:rPr>
                <w:rFonts w:ascii="Calibri" w:hAnsi="Calibri" w:cs="Calibri"/>
                <w:b/>
                <w:bCs/>
                <w:sz w:val="24"/>
                <w:szCs w:val="24"/>
              </w:rPr>
              <w:t>relat</w:t>
            </w:r>
            <w:r w:rsidR="00844D44">
              <w:rPr>
                <w:rFonts w:ascii="Calibri" w:hAnsi="Calibri" w:cs="Calibri"/>
                <w:b/>
                <w:bCs/>
                <w:sz w:val="24"/>
                <w:szCs w:val="24"/>
              </w:rPr>
              <w:t>ing</w:t>
            </w:r>
            <w:r w:rsidRPr="00C916A9">
              <w:rPr>
                <w:rFonts w:ascii="Calibri" w:hAnsi="Calibri" w:cs="Calibri"/>
                <w:b/>
                <w:sz w:val="24"/>
                <w:szCs w:val="24"/>
              </w:rPr>
              <w:t xml:space="preserve"> to </w:t>
            </w:r>
            <w:r w:rsidR="00654AB7" w:rsidRPr="00C916A9">
              <w:rPr>
                <w:rFonts w:ascii="Calibri" w:hAnsi="Calibri" w:cs="Calibri"/>
                <w:b/>
                <w:sz w:val="24"/>
                <w:szCs w:val="24"/>
              </w:rPr>
              <w:t>Secondary</w:t>
            </w:r>
            <w:r w:rsidR="004F4BB2" w:rsidRPr="00C916A9">
              <w:rPr>
                <w:rFonts w:ascii="Calibri" w:hAnsi="Calibri" w:cs="Calibri"/>
                <w:b/>
                <w:sz w:val="24"/>
                <w:szCs w:val="24"/>
              </w:rPr>
              <w:t xml:space="preserve"> </w:t>
            </w:r>
            <w:r w:rsidR="00150D6F" w:rsidRPr="00C916A9">
              <w:rPr>
                <w:rFonts w:ascii="Calibri" w:hAnsi="Calibri" w:cs="Calibri"/>
                <w:b/>
                <w:sz w:val="24"/>
                <w:szCs w:val="24"/>
              </w:rPr>
              <w:t>B</w:t>
            </w:r>
            <w:r w:rsidR="004F4BB2" w:rsidRPr="00C916A9">
              <w:rPr>
                <w:rFonts w:ascii="Calibri" w:hAnsi="Calibri" w:cs="Calibri"/>
                <w:b/>
                <w:sz w:val="24"/>
                <w:szCs w:val="24"/>
              </w:rPr>
              <w:t>enefits</w:t>
            </w:r>
            <w:r w:rsidR="00FB25F5">
              <w:rPr>
                <w:rFonts w:ascii="Calibri" w:hAnsi="Calibri" w:cs="Calibri"/>
                <w:b/>
                <w:sz w:val="24"/>
                <w:szCs w:val="24"/>
              </w:rPr>
              <w:t>.</w:t>
            </w:r>
          </w:p>
        </w:tc>
        <w:tc>
          <w:tcPr>
            <w:tcW w:w="0" w:type="pct"/>
          </w:tcPr>
          <w:p w14:paraId="46596696" w14:textId="7F530A99" w:rsidR="00FC3988" w:rsidRPr="00C916A9" w:rsidRDefault="00DC2DA4" w:rsidP="00FC3988">
            <w:pPr>
              <w:pStyle w:val="TableParagraph"/>
              <w:rPr>
                <w:rFonts w:ascii="Calibri" w:hAnsi="Calibri" w:cs="Calibri"/>
                <w:sz w:val="24"/>
                <w:szCs w:val="24"/>
              </w:rPr>
            </w:pPr>
            <w:r w:rsidRPr="00C916A9">
              <w:rPr>
                <w:rFonts w:ascii="Calibri" w:hAnsi="Calibri" w:cs="Calibri"/>
                <w:sz w:val="24"/>
                <w:szCs w:val="24"/>
              </w:rPr>
              <w:t>V</w:t>
            </w:r>
            <w:r w:rsidR="005A46BD" w:rsidRPr="00C916A9">
              <w:rPr>
                <w:rFonts w:ascii="Calibri" w:hAnsi="Calibri" w:cs="Calibri"/>
                <w:sz w:val="24"/>
                <w:szCs w:val="24"/>
              </w:rPr>
              <w:t>arious</w:t>
            </w:r>
          </w:p>
        </w:tc>
      </w:tr>
    </w:tbl>
    <w:p w14:paraId="67686D6C" w14:textId="77777777" w:rsidR="00191AE8" w:rsidRPr="00E6436F" w:rsidRDefault="00191AE8" w:rsidP="00BC1B5F"/>
    <w:p w14:paraId="1485FBA0" w14:textId="77777777" w:rsidR="002D3717" w:rsidRPr="00954233" w:rsidRDefault="002D3717" w:rsidP="002D3717">
      <w:pPr>
        <w:pStyle w:val="TableParagraph"/>
        <w:rPr>
          <w:rFonts w:ascii="Calibri" w:hAnsi="Calibri" w:cs="Calibri"/>
          <w:b/>
          <w:color w:val="064276" w:themeColor="text2"/>
          <w:sz w:val="28"/>
          <w:szCs w:val="28"/>
        </w:rPr>
      </w:pPr>
      <w:r w:rsidRPr="00954233">
        <w:rPr>
          <w:rFonts w:ascii="Calibri" w:hAnsi="Calibri" w:cs="Calibri"/>
          <w:b/>
          <w:color w:val="064276" w:themeColor="text2"/>
          <w:sz w:val="28"/>
          <w:szCs w:val="28"/>
        </w:rPr>
        <w:t>Block H: Secondary Benefits - Outcomes (not all projects/programmes will have a secondary benefit)</w:t>
      </w:r>
    </w:p>
    <w:p w14:paraId="7312F613" w14:textId="77777777" w:rsidR="002D3717" w:rsidRPr="00954233" w:rsidRDefault="002D3717" w:rsidP="00954233">
      <w:pPr>
        <w:pStyle w:val="TableParagraph"/>
        <w:rPr>
          <w:rFonts w:ascii="Calibri" w:hAnsi="Calibri" w:cs="Calibri"/>
          <w:b/>
          <w:color w:val="064276" w:themeColor="text2"/>
          <w:sz w:val="28"/>
          <w:szCs w:val="28"/>
        </w:rPr>
      </w:pPr>
    </w:p>
    <w:p w14:paraId="7129E6FA" w14:textId="44FF5365" w:rsidR="00286664" w:rsidRPr="00954233" w:rsidRDefault="002D3717" w:rsidP="00954233">
      <w:pPr>
        <w:pStyle w:val="TableParagraph"/>
        <w:rPr>
          <w:rFonts w:asciiTheme="majorHAnsi" w:hAnsiTheme="majorHAnsi"/>
          <w:szCs w:val="24"/>
        </w:rPr>
      </w:pPr>
      <w:r w:rsidRPr="00954233">
        <w:rPr>
          <w:rFonts w:asciiTheme="majorHAnsi" w:hAnsiTheme="majorHAnsi"/>
          <w:sz w:val="24"/>
          <w:szCs w:val="24"/>
        </w:rPr>
        <w:t>If a project/programme has a tertiary, quaternary or further outcome, Scottish Water should explain in the commentary how those additional outcome benefits and their associated expenditure are captured in tables 2 and 3</w:t>
      </w:r>
      <w:r w:rsidR="00733D2A">
        <w:rPr>
          <w:rFonts w:asciiTheme="majorHAnsi" w:hAnsiTheme="majorHAnsi"/>
          <w:sz w:val="24"/>
          <w:szCs w:val="24"/>
        </w:rPr>
        <w:t>a</w:t>
      </w:r>
      <w:r w:rsidRPr="00954233">
        <w:rPr>
          <w:rFonts w:asciiTheme="majorHAnsi" w:hAnsiTheme="majorHAnsi"/>
          <w:sz w:val="24"/>
          <w:szCs w:val="24"/>
        </w:rPr>
        <w:t xml:space="preserve"> so that the consistency between these tables and table 5 is preserved.</w:t>
      </w:r>
    </w:p>
    <w:tbl>
      <w:tblPr>
        <w:tblStyle w:val="Blueline"/>
        <w:tblW w:w="5000" w:type="pct"/>
        <w:tblLook w:val="04A0" w:firstRow="1" w:lastRow="0" w:firstColumn="1" w:lastColumn="0" w:noHBand="0" w:noVBand="1"/>
      </w:tblPr>
      <w:tblGrid>
        <w:gridCol w:w="3725"/>
        <w:gridCol w:w="3536"/>
        <w:gridCol w:w="3857"/>
        <w:gridCol w:w="3452"/>
      </w:tblGrid>
      <w:tr w:rsidR="0049335E" w:rsidRPr="00DE19DC" w14:paraId="1D781C30"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14478FDE" w14:textId="72EC592A" w:rsidR="0049335E" w:rsidRPr="00C916A9" w:rsidRDefault="00D04C95">
            <w:pPr>
              <w:pStyle w:val="TableParagraph"/>
              <w:rPr>
                <w:rFonts w:ascii="Calibri" w:hAnsi="Calibri" w:cs="Calibri"/>
                <w:sz w:val="24"/>
                <w:szCs w:val="24"/>
              </w:rPr>
            </w:pPr>
            <w:r w:rsidRPr="0074526B">
              <w:rPr>
                <w:rFonts w:ascii="Calibri" w:hAnsi="Calibri" w:cs="Calibri"/>
                <w:sz w:val="24"/>
                <w:szCs w:val="24"/>
              </w:rPr>
              <w:t>Column</w:t>
            </w:r>
            <w:r w:rsidR="0049335E" w:rsidRPr="0074526B">
              <w:rPr>
                <w:rFonts w:ascii="Calibri" w:hAnsi="Calibri" w:cs="Calibri"/>
                <w:sz w:val="24"/>
                <w:szCs w:val="24"/>
              </w:rPr>
              <w:t xml:space="preserve"> Reference</w:t>
            </w:r>
          </w:p>
        </w:tc>
        <w:tc>
          <w:tcPr>
            <w:tcW w:w="0" w:type="pct"/>
          </w:tcPr>
          <w:p w14:paraId="1866FA43" w14:textId="77777777" w:rsidR="0049335E" w:rsidRPr="00C916A9" w:rsidRDefault="0049335E">
            <w:pPr>
              <w:pStyle w:val="TableParagraph"/>
              <w:rPr>
                <w:rFonts w:ascii="Calibri" w:hAnsi="Calibri" w:cs="Calibri"/>
                <w:sz w:val="24"/>
                <w:szCs w:val="24"/>
              </w:rPr>
            </w:pPr>
            <w:r w:rsidRPr="0074526B">
              <w:rPr>
                <w:rFonts w:ascii="Calibri" w:hAnsi="Calibri" w:cs="Calibri"/>
                <w:sz w:val="24"/>
                <w:szCs w:val="24"/>
              </w:rPr>
              <w:t>Column Title</w:t>
            </w:r>
          </w:p>
        </w:tc>
        <w:tc>
          <w:tcPr>
            <w:tcW w:w="0" w:type="pct"/>
          </w:tcPr>
          <w:p w14:paraId="419BA22C" w14:textId="77777777" w:rsidR="0049335E" w:rsidRPr="00C916A9" w:rsidRDefault="0049335E">
            <w:pPr>
              <w:pStyle w:val="TableParagraph"/>
              <w:rPr>
                <w:rFonts w:ascii="Calibri" w:hAnsi="Calibri" w:cs="Calibri"/>
                <w:sz w:val="24"/>
                <w:szCs w:val="24"/>
              </w:rPr>
            </w:pPr>
            <w:r w:rsidRPr="0074526B">
              <w:rPr>
                <w:rFonts w:ascii="Calibri" w:hAnsi="Calibri" w:cs="Calibri"/>
                <w:sz w:val="24"/>
                <w:szCs w:val="24"/>
              </w:rPr>
              <w:t>Description</w:t>
            </w:r>
          </w:p>
        </w:tc>
        <w:tc>
          <w:tcPr>
            <w:tcW w:w="0" w:type="pct"/>
          </w:tcPr>
          <w:p w14:paraId="0AA956EB" w14:textId="77777777" w:rsidR="0049335E" w:rsidRPr="00C916A9" w:rsidRDefault="0049335E">
            <w:pPr>
              <w:pStyle w:val="TableParagraph"/>
              <w:rPr>
                <w:rFonts w:ascii="Calibri" w:hAnsi="Calibri" w:cs="Calibri"/>
                <w:sz w:val="24"/>
                <w:szCs w:val="24"/>
              </w:rPr>
            </w:pPr>
            <w:r w:rsidRPr="0074526B">
              <w:rPr>
                <w:rFonts w:ascii="Calibri" w:hAnsi="Calibri" w:cs="Calibri"/>
                <w:sz w:val="24"/>
                <w:szCs w:val="24"/>
              </w:rPr>
              <w:t>Units</w:t>
            </w:r>
          </w:p>
        </w:tc>
      </w:tr>
      <w:tr w:rsidR="0049335E" w:rsidRPr="00DE19DC" w14:paraId="7494F6DC" w14:textId="77777777" w:rsidTr="00954233">
        <w:tc>
          <w:tcPr>
            <w:tcW w:w="0" w:type="pct"/>
          </w:tcPr>
          <w:p w14:paraId="23DE145D" w14:textId="225B13C2" w:rsidR="0049335E" w:rsidRPr="008E2C7D" w:rsidRDefault="00E6605A">
            <w:pPr>
              <w:pStyle w:val="TableParagraph"/>
              <w:rPr>
                <w:rFonts w:ascii="Calibri" w:hAnsi="Calibri" w:cs="Calibri"/>
                <w:sz w:val="24"/>
                <w:szCs w:val="24"/>
              </w:rPr>
            </w:pPr>
            <w:r>
              <w:rPr>
                <w:rFonts w:ascii="Calibri" w:hAnsi="Calibri" w:cs="Calibri"/>
                <w:sz w:val="24"/>
                <w:szCs w:val="24"/>
              </w:rPr>
              <w:t>10</w:t>
            </w:r>
            <w:r w:rsidR="005F35B9">
              <w:rPr>
                <w:rFonts w:ascii="Calibri" w:hAnsi="Calibri" w:cs="Calibri"/>
                <w:sz w:val="24"/>
                <w:szCs w:val="24"/>
              </w:rPr>
              <w:t>5</w:t>
            </w:r>
            <w:r>
              <w:rPr>
                <w:rFonts w:ascii="Calibri" w:hAnsi="Calibri" w:cs="Calibri"/>
                <w:sz w:val="24"/>
                <w:szCs w:val="24"/>
              </w:rPr>
              <w:t xml:space="preserve"> to 11</w:t>
            </w:r>
            <w:r w:rsidR="005F35B9">
              <w:rPr>
                <w:rFonts w:ascii="Calibri" w:hAnsi="Calibri" w:cs="Calibri"/>
                <w:sz w:val="24"/>
                <w:szCs w:val="24"/>
              </w:rPr>
              <w:t>3</w:t>
            </w:r>
          </w:p>
        </w:tc>
        <w:tc>
          <w:tcPr>
            <w:tcW w:w="0" w:type="pct"/>
          </w:tcPr>
          <w:p w14:paraId="19BFECBC" w14:textId="77777777" w:rsidR="0049335E" w:rsidRPr="00C916A9" w:rsidRDefault="0049335E">
            <w:pPr>
              <w:pStyle w:val="TableParagraph"/>
              <w:rPr>
                <w:rFonts w:ascii="Calibri" w:hAnsi="Calibri" w:cs="Calibri"/>
                <w:sz w:val="24"/>
                <w:szCs w:val="24"/>
              </w:rPr>
            </w:pPr>
            <w:r w:rsidRPr="00C916A9">
              <w:rPr>
                <w:rFonts w:ascii="Calibri" w:hAnsi="Calibri" w:cs="Calibri"/>
                <w:sz w:val="24"/>
                <w:szCs w:val="24"/>
              </w:rPr>
              <w:t>All columns</w:t>
            </w:r>
          </w:p>
        </w:tc>
        <w:tc>
          <w:tcPr>
            <w:tcW w:w="0" w:type="pct"/>
          </w:tcPr>
          <w:p w14:paraId="72E99D91" w14:textId="0B5EB93B" w:rsidR="0049335E" w:rsidRPr="006774D3" w:rsidRDefault="0049335E">
            <w:pPr>
              <w:pStyle w:val="TableParagraph"/>
              <w:rPr>
                <w:rFonts w:ascii="Calibri" w:hAnsi="Calibri" w:cs="Calibri"/>
                <w:sz w:val="24"/>
                <w:szCs w:val="24"/>
              </w:rPr>
            </w:pPr>
            <w:r w:rsidRPr="00C916A9">
              <w:rPr>
                <w:rFonts w:ascii="Calibri" w:hAnsi="Calibri" w:cs="Calibri"/>
                <w:sz w:val="24"/>
                <w:szCs w:val="24"/>
              </w:rPr>
              <w:t xml:space="preserve">Definitions as per </w:t>
            </w:r>
            <w:r w:rsidR="00317475" w:rsidRPr="004B0D4D">
              <w:rPr>
                <w:rFonts w:ascii="Calibri" w:hAnsi="Calibri" w:cs="Calibri"/>
                <w:sz w:val="24"/>
                <w:szCs w:val="24"/>
              </w:rPr>
              <w:t>Block</w:t>
            </w:r>
            <w:r w:rsidRPr="004B0D4D">
              <w:rPr>
                <w:rFonts w:ascii="Calibri" w:hAnsi="Calibri" w:cs="Calibri"/>
                <w:sz w:val="24"/>
                <w:szCs w:val="24"/>
              </w:rPr>
              <w:t xml:space="preserve"> </w:t>
            </w:r>
            <w:r w:rsidRPr="00C916A9">
              <w:rPr>
                <w:rFonts w:ascii="Calibri" w:hAnsi="Calibri" w:cs="Calibri"/>
                <w:sz w:val="24"/>
                <w:szCs w:val="24"/>
              </w:rPr>
              <w:t>F:</w:t>
            </w:r>
            <w:r w:rsidRPr="00C916A9">
              <w:rPr>
                <w:sz w:val="24"/>
                <w:szCs w:val="24"/>
              </w:rPr>
              <w:t xml:space="preserve"> </w:t>
            </w:r>
            <w:r w:rsidRPr="00C916A9">
              <w:rPr>
                <w:rFonts w:ascii="Calibri" w:hAnsi="Calibri" w:cs="Calibri"/>
                <w:sz w:val="24"/>
                <w:szCs w:val="24"/>
              </w:rPr>
              <w:t>Primary Benefits</w:t>
            </w:r>
            <w:r w:rsidR="00844D44">
              <w:rPr>
                <w:rFonts w:ascii="Calibri" w:hAnsi="Calibri" w:cs="Calibri"/>
                <w:sz w:val="24"/>
                <w:szCs w:val="24"/>
              </w:rPr>
              <w:t xml:space="preserve"> </w:t>
            </w:r>
            <w:r w:rsidRPr="00C916A9">
              <w:rPr>
                <w:rFonts w:ascii="Calibri" w:hAnsi="Calibri" w:cs="Calibri"/>
                <w:sz w:val="24"/>
                <w:szCs w:val="24"/>
              </w:rPr>
              <w:t xml:space="preserve">- Outcomes </w:t>
            </w:r>
            <w:r w:rsidRPr="00C916A9">
              <w:rPr>
                <w:rFonts w:ascii="Calibri" w:hAnsi="Calibri" w:cs="Calibri"/>
                <w:b/>
                <w:sz w:val="24"/>
                <w:szCs w:val="24"/>
              </w:rPr>
              <w:t xml:space="preserve">but </w:t>
            </w:r>
            <w:r w:rsidRPr="00C916A9">
              <w:rPr>
                <w:rFonts w:ascii="Calibri" w:hAnsi="Calibri" w:cs="Calibri"/>
                <w:b/>
                <w:bCs/>
                <w:sz w:val="24"/>
                <w:szCs w:val="24"/>
              </w:rPr>
              <w:t>relat</w:t>
            </w:r>
            <w:r w:rsidR="00844D44">
              <w:rPr>
                <w:rFonts w:ascii="Calibri" w:hAnsi="Calibri" w:cs="Calibri"/>
                <w:b/>
                <w:bCs/>
                <w:sz w:val="24"/>
                <w:szCs w:val="24"/>
              </w:rPr>
              <w:t>ing</w:t>
            </w:r>
            <w:r w:rsidRPr="006774D3">
              <w:rPr>
                <w:rFonts w:ascii="Calibri" w:hAnsi="Calibri" w:cs="Calibri"/>
                <w:b/>
                <w:sz w:val="24"/>
                <w:szCs w:val="24"/>
              </w:rPr>
              <w:t xml:space="preserve"> to Secondary </w:t>
            </w:r>
            <w:r w:rsidR="00150D6F" w:rsidRPr="006774D3">
              <w:rPr>
                <w:rFonts w:ascii="Calibri" w:hAnsi="Calibri" w:cs="Calibri"/>
                <w:b/>
                <w:sz w:val="24"/>
                <w:szCs w:val="24"/>
              </w:rPr>
              <w:t>B</w:t>
            </w:r>
            <w:r w:rsidRPr="006774D3">
              <w:rPr>
                <w:rFonts w:ascii="Calibri" w:hAnsi="Calibri" w:cs="Calibri"/>
                <w:b/>
                <w:sz w:val="24"/>
                <w:szCs w:val="24"/>
              </w:rPr>
              <w:t>enefits</w:t>
            </w:r>
            <w:r w:rsidR="00FB25F5">
              <w:rPr>
                <w:rFonts w:ascii="Calibri" w:hAnsi="Calibri" w:cs="Calibri"/>
                <w:b/>
                <w:sz w:val="24"/>
                <w:szCs w:val="24"/>
              </w:rPr>
              <w:t>.</w:t>
            </w:r>
          </w:p>
        </w:tc>
        <w:tc>
          <w:tcPr>
            <w:tcW w:w="0" w:type="pct"/>
          </w:tcPr>
          <w:p w14:paraId="074EC980" w14:textId="34E31BAA" w:rsidR="0049335E" w:rsidRPr="006774D3" w:rsidRDefault="00DC2DA4">
            <w:pPr>
              <w:pStyle w:val="TableParagraph"/>
              <w:rPr>
                <w:rFonts w:ascii="Calibri" w:hAnsi="Calibri" w:cs="Calibri"/>
                <w:sz w:val="24"/>
                <w:szCs w:val="24"/>
              </w:rPr>
            </w:pPr>
            <w:r w:rsidRPr="006774D3">
              <w:rPr>
                <w:rFonts w:ascii="Calibri" w:hAnsi="Calibri" w:cs="Calibri"/>
                <w:sz w:val="24"/>
                <w:szCs w:val="24"/>
              </w:rPr>
              <w:t>V</w:t>
            </w:r>
            <w:r w:rsidR="0049335E" w:rsidRPr="006774D3">
              <w:rPr>
                <w:rFonts w:ascii="Calibri" w:hAnsi="Calibri" w:cs="Calibri"/>
                <w:sz w:val="24"/>
                <w:szCs w:val="24"/>
              </w:rPr>
              <w:t>arious</w:t>
            </w:r>
          </w:p>
        </w:tc>
      </w:tr>
    </w:tbl>
    <w:p w14:paraId="7DE004BB" w14:textId="77777777" w:rsidR="0049335E" w:rsidRDefault="0049335E" w:rsidP="00686C19"/>
    <w:p w14:paraId="22E62EB2" w14:textId="77777777" w:rsidR="0056462D" w:rsidRDefault="0056462D" w:rsidP="00686C19"/>
    <w:p w14:paraId="14E30EF6" w14:textId="4C0CFFEC" w:rsidR="00686C19" w:rsidRDefault="002D3717" w:rsidP="0074526B">
      <w:pPr>
        <w:pStyle w:val="TableParagraph"/>
        <w:keepNext/>
        <w:rPr>
          <w:rFonts w:ascii="Calibri" w:hAnsi="Calibri" w:cs="Calibri"/>
          <w:b/>
          <w:color w:val="064276" w:themeColor="text2"/>
          <w:sz w:val="28"/>
          <w:szCs w:val="28"/>
        </w:rPr>
      </w:pPr>
      <w:r w:rsidRPr="00954233">
        <w:rPr>
          <w:rFonts w:ascii="Calibri" w:hAnsi="Calibri" w:cs="Calibri"/>
          <w:b/>
          <w:color w:val="064276" w:themeColor="text2"/>
          <w:sz w:val="28"/>
          <w:szCs w:val="28"/>
        </w:rPr>
        <w:t>Block I: Partnerships</w:t>
      </w:r>
    </w:p>
    <w:p w14:paraId="49FF934B" w14:textId="77777777" w:rsidR="002D3717" w:rsidRDefault="002D3717">
      <w:pPr>
        <w:pStyle w:val="TableParagraph"/>
        <w:keepNext/>
        <w:rPr>
          <w:rFonts w:ascii="Calibri" w:hAnsi="Calibri" w:cs="Calibri"/>
          <w:b/>
          <w:color w:val="064276" w:themeColor="text2"/>
          <w:sz w:val="28"/>
          <w:szCs w:val="28"/>
        </w:rPr>
      </w:pPr>
    </w:p>
    <w:p w14:paraId="6EEFD9B7" w14:textId="7051459F" w:rsidR="00723997" w:rsidRPr="00535F14" w:rsidRDefault="00535F14" w:rsidP="00535F14">
      <w:r w:rsidRPr="00954233">
        <w:t>This block</w:t>
      </w:r>
      <w:r>
        <w:t xml:space="preserve"> should capture the contribution made by the partner(s)</w:t>
      </w:r>
      <w:r w:rsidR="005B48A2">
        <w:t xml:space="preserve"> but not </w:t>
      </w:r>
      <w:r w:rsidR="009F3E11">
        <w:t>any expenditure made by Scottish Water. All Scottish Water expenditures should be reported in Block B, C and D.</w:t>
      </w:r>
      <w:r>
        <w:t xml:space="preserve"> </w:t>
      </w:r>
    </w:p>
    <w:tbl>
      <w:tblPr>
        <w:tblStyle w:val="Blueline"/>
        <w:tblW w:w="5000" w:type="pct"/>
        <w:tblLook w:val="04A0" w:firstRow="1" w:lastRow="0" w:firstColumn="1" w:lastColumn="0" w:noHBand="0" w:noVBand="1"/>
      </w:tblPr>
      <w:tblGrid>
        <w:gridCol w:w="3636"/>
        <w:gridCol w:w="3841"/>
        <w:gridCol w:w="3906"/>
        <w:gridCol w:w="3187"/>
      </w:tblGrid>
      <w:tr w:rsidR="0056462D" w:rsidRPr="00DE19DC" w14:paraId="012E87AA"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0D9B281B" w14:textId="701EA853" w:rsidR="0056462D" w:rsidRPr="006774D3" w:rsidRDefault="00D04C95" w:rsidP="00686C19">
            <w:pPr>
              <w:pStyle w:val="TableParagraph"/>
              <w:keepNext/>
              <w:keepLines/>
              <w:rPr>
                <w:rFonts w:ascii="Calibri" w:hAnsi="Calibri" w:cs="Calibri"/>
                <w:sz w:val="24"/>
                <w:szCs w:val="24"/>
              </w:rPr>
            </w:pPr>
            <w:r w:rsidRPr="0074526B">
              <w:rPr>
                <w:rFonts w:ascii="Calibri" w:hAnsi="Calibri" w:cs="Calibri"/>
                <w:sz w:val="24"/>
                <w:szCs w:val="24"/>
              </w:rPr>
              <w:lastRenderedPageBreak/>
              <w:t>Column</w:t>
            </w:r>
            <w:r w:rsidR="0056462D" w:rsidRPr="0074526B">
              <w:rPr>
                <w:rFonts w:ascii="Calibri" w:hAnsi="Calibri" w:cs="Calibri"/>
                <w:sz w:val="24"/>
                <w:szCs w:val="24"/>
              </w:rPr>
              <w:t xml:space="preserve"> Reference</w:t>
            </w:r>
          </w:p>
        </w:tc>
        <w:tc>
          <w:tcPr>
            <w:tcW w:w="0" w:type="pct"/>
          </w:tcPr>
          <w:p w14:paraId="145E3B4C" w14:textId="77777777" w:rsidR="0056462D" w:rsidRPr="006774D3" w:rsidRDefault="0056462D" w:rsidP="00686C19">
            <w:pPr>
              <w:pStyle w:val="TableParagraph"/>
              <w:keepNext/>
              <w:keepLines/>
              <w:rPr>
                <w:rFonts w:ascii="Calibri" w:hAnsi="Calibri" w:cs="Calibri"/>
                <w:sz w:val="24"/>
                <w:szCs w:val="24"/>
              </w:rPr>
            </w:pPr>
            <w:r w:rsidRPr="0074526B">
              <w:rPr>
                <w:rFonts w:ascii="Calibri" w:hAnsi="Calibri" w:cs="Calibri"/>
                <w:sz w:val="24"/>
                <w:szCs w:val="24"/>
              </w:rPr>
              <w:t>Column Title</w:t>
            </w:r>
          </w:p>
        </w:tc>
        <w:tc>
          <w:tcPr>
            <w:tcW w:w="0" w:type="pct"/>
          </w:tcPr>
          <w:p w14:paraId="7E15A1E1" w14:textId="77777777" w:rsidR="0056462D" w:rsidRPr="006774D3" w:rsidRDefault="0056462D" w:rsidP="00686C19">
            <w:pPr>
              <w:pStyle w:val="TableParagraph"/>
              <w:keepNext/>
              <w:keepLines/>
              <w:rPr>
                <w:rFonts w:ascii="Calibri" w:hAnsi="Calibri" w:cs="Calibri"/>
                <w:sz w:val="24"/>
                <w:szCs w:val="24"/>
              </w:rPr>
            </w:pPr>
            <w:r w:rsidRPr="0074526B">
              <w:rPr>
                <w:rFonts w:ascii="Calibri" w:hAnsi="Calibri" w:cs="Calibri"/>
                <w:sz w:val="24"/>
                <w:szCs w:val="24"/>
              </w:rPr>
              <w:t>Description</w:t>
            </w:r>
          </w:p>
        </w:tc>
        <w:tc>
          <w:tcPr>
            <w:tcW w:w="0" w:type="pct"/>
          </w:tcPr>
          <w:p w14:paraId="1EF03BB0" w14:textId="77777777" w:rsidR="0056462D" w:rsidRPr="006774D3" w:rsidRDefault="0056462D" w:rsidP="00686C19">
            <w:pPr>
              <w:pStyle w:val="TableParagraph"/>
              <w:keepNext/>
              <w:keepLines/>
              <w:rPr>
                <w:rFonts w:ascii="Calibri" w:hAnsi="Calibri" w:cs="Calibri"/>
                <w:sz w:val="24"/>
                <w:szCs w:val="24"/>
              </w:rPr>
            </w:pPr>
            <w:r w:rsidRPr="0074526B">
              <w:rPr>
                <w:rFonts w:ascii="Calibri" w:hAnsi="Calibri" w:cs="Calibri"/>
                <w:sz w:val="24"/>
                <w:szCs w:val="24"/>
              </w:rPr>
              <w:t>Units</w:t>
            </w:r>
          </w:p>
        </w:tc>
      </w:tr>
      <w:tr w:rsidR="0056462D" w:rsidRPr="00DE19DC" w14:paraId="3BD4F1A4" w14:textId="77777777" w:rsidTr="00954233">
        <w:tc>
          <w:tcPr>
            <w:tcW w:w="0" w:type="pct"/>
          </w:tcPr>
          <w:p w14:paraId="71172520" w14:textId="1B11B9B1" w:rsidR="0056462D" w:rsidRPr="00E8034F" w:rsidRDefault="00D042D9" w:rsidP="00686C19">
            <w:pPr>
              <w:pStyle w:val="TableParagraph"/>
              <w:keepNext/>
              <w:keepLines/>
              <w:rPr>
                <w:rFonts w:ascii="Calibri" w:hAnsi="Calibri" w:cs="Calibri"/>
                <w:sz w:val="24"/>
                <w:szCs w:val="24"/>
              </w:rPr>
            </w:pPr>
            <w:r>
              <w:rPr>
                <w:rFonts w:ascii="Calibri" w:hAnsi="Calibri" w:cs="Calibri"/>
                <w:sz w:val="24"/>
                <w:szCs w:val="24"/>
              </w:rPr>
              <w:t>11</w:t>
            </w:r>
            <w:r w:rsidR="005F35B9">
              <w:rPr>
                <w:rFonts w:ascii="Calibri" w:hAnsi="Calibri" w:cs="Calibri"/>
                <w:sz w:val="24"/>
                <w:szCs w:val="24"/>
              </w:rPr>
              <w:t>4</w:t>
            </w:r>
          </w:p>
        </w:tc>
        <w:tc>
          <w:tcPr>
            <w:tcW w:w="0" w:type="pct"/>
          </w:tcPr>
          <w:p w14:paraId="1FF82873" w14:textId="766F675A" w:rsidR="0056462D" w:rsidRPr="006774D3" w:rsidRDefault="000B603B" w:rsidP="00686C19">
            <w:pPr>
              <w:pStyle w:val="TableParagraph"/>
              <w:keepNext/>
              <w:keepLines/>
              <w:rPr>
                <w:rFonts w:ascii="Calibri" w:hAnsi="Calibri" w:cs="Calibri"/>
                <w:sz w:val="24"/>
                <w:szCs w:val="24"/>
              </w:rPr>
            </w:pPr>
            <w:r w:rsidRPr="006774D3">
              <w:rPr>
                <w:rFonts w:ascii="Calibri" w:hAnsi="Calibri" w:cs="Calibri"/>
                <w:sz w:val="24"/>
                <w:szCs w:val="24"/>
              </w:rPr>
              <w:t xml:space="preserve">Project </w:t>
            </w:r>
            <w:r w:rsidR="00E8034F" w:rsidRPr="00E8034F">
              <w:rPr>
                <w:rFonts w:ascii="Calibri" w:hAnsi="Calibri" w:cs="Calibri"/>
                <w:sz w:val="24"/>
                <w:szCs w:val="24"/>
              </w:rPr>
              <w:t>d</w:t>
            </w:r>
            <w:r w:rsidRPr="006774D3">
              <w:rPr>
                <w:rFonts w:ascii="Calibri" w:hAnsi="Calibri" w:cs="Calibri"/>
                <w:sz w:val="24"/>
                <w:szCs w:val="24"/>
              </w:rPr>
              <w:t xml:space="preserve">elivered in </w:t>
            </w:r>
            <w:r w:rsidR="00E8034F" w:rsidRPr="00E8034F">
              <w:rPr>
                <w:rFonts w:ascii="Calibri" w:hAnsi="Calibri" w:cs="Calibri"/>
                <w:sz w:val="24"/>
                <w:szCs w:val="24"/>
              </w:rPr>
              <w:t>p</w:t>
            </w:r>
            <w:r w:rsidRPr="006774D3">
              <w:rPr>
                <w:rFonts w:ascii="Calibri" w:hAnsi="Calibri" w:cs="Calibri"/>
                <w:sz w:val="24"/>
                <w:szCs w:val="24"/>
              </w:rPr>
              <w:t xml:space="preserve">artnership </w:t>
            </w:r>
          </w:p>
        </w:tc>
        <w:tc>
          <w:tcPr>
            <w:tcW w:w="0" w:type="pct"/>
          </w:tcPr>
          <w:p w14:paraId="0E34917B" w14:textId="3DDC33A8" w:rsidR="0056462D" w:rsidRPr="006774D3" w:rsidRDefault="00D94FAA" w:rsidP="00686C19">
            <w:pPr>
              <w:pStyle w:val="TableParagraph"/>
              <w:keepNext/>
              <w:keepLines/>
              <w:rPr>
                <w:rFonts w:ascii="Calibri" w:hAnsi="Calibri" w:cs="Calibri"/>
                <w:sz w:val="24"/>
                <w:szCs w:val="24"/>
              </w:rPr>
            </w:pPr>
            <w:r>
              <w:rPr>
                <w:rFonts w:ascii="Calibri" w:hAnsi="Calibri" w:cs="Calibri"/>
                <w:sz w:val="24"/>
                <w:szCs w:val="24"/>
              </w:rPr>
              <w:t>Drop-down menu. Options: Yes, No</w:t>
            </w:r>
            <w:r w:rsidR="00513781">
              <w:rPr>
                <w:rFonts w:ascii="Calibri" w:hAnsi="Calibri" w:cs="Calibri"/>
                <w:sz w:val="24"/>
                <w:szCs w:val="24"/>
              </w:rPr>
              <w:t>.</w:t>
            </w:r>
            <w:r w:rsidR="000B603B" w:rsidRPr="006774D3">
              <w:rPr>
                <w:rFonts w:ascii="Calibri" w:hAnsi="Calibri" w:cs="Calibri"/>
                <w:sz w:val="24"/>
                <w:szCs w:val="24"/>
              </w:rPr>
              <w:t xml:space="preserve"> </w:t>
            </w:r>
          </w:p>
        </w:tc>
        <w:tc>
          <w:tcPr>
            <w:tcW w:w="0" w:type="pct"/>
          </w:tcPr>
          <w:p w14:paraId="11BDDD06" w14:textId="393ACE86" w:rsidR="0056462D" w:rsidRPr="006774D3" w:rsidRDefault="00513781" w:rsidP="00686C19">
            <w:pPr>
              <w:pStyle w:val="TableParagraph"/>
              <w:keepNext/>
              <w:keepLines/>
              <w:rPr>
                <w:rFonts w:ascii="Calibri" w:hAnsi="Calibri" w:cs="Calibri"/>
                <w:sz w:val="24"/>
                <w:szCs w:val="24"/>
              </w:rPr>
            </w:pPr>
            <w:r>
              <w:rPr>
                <w:rFonts w:ascii="Calibri" w:hAnsi="Calibri" w:cs="Calibri"/>
                <w:sz w:val="24"/>
                <w:szCs w:val="24"/>
              </w:rPr>
              <w:t>N/A</w:t>
            </w:r>
          </w:p>
        </w:tc>
      </w:tr>
      <w:tr w:rsidR="000C02B5" w:rsidRPr="00DE19DC" w14:paraId="1AF5B236" w14:textId="77777777" w:rsidTr="00954233">
        <w:tc>
          <w:tcPr>
            <w:tcW w:w="0" w:type="pct"/>
          </w:tcPr>
          <w:p w14:paraId="248639FF" w14:textId="120D8855" w:rsidR="000C02B5" w:rsidRPr="00E8034F" w:rsidRDefault="00D042D9" w:rsidP="00686C19">
            <w:pPr>
              <w:pStyle w:val="TableParagraph"/>
              <w:keepNext/>
              <w:keepLines/>
              <w:rPr>
                <w:rFonts w:ascii="Calibri" w:hAnsi="Calibri" w:cs="Calibri"/>
                <w:sz w:val="24"/>
                <w:szCs w:val="24"/>
              </w:rPr>
            </w:pPr>
            <w:r>
              <w:rPr>
                <w:rFonts w:ascii="Calibri" w:hAnsi="Calibri" w:cs="Calibri"/>
                <w:sz w:val="24"/>
                <w:szCs w:val="24"/>
              </w:rPr>
              <w:t>11</w:t>
            </w:r>
            <w:r w:rsidR="005F35B9">
              <w:rPr>
                <w:rFonts w:ascii="Calibri" w:hAnsi="Calibri" w:cs="Calibri"/>
                <w:sz w:val="24"/>
                <w:szCs w:val="24"/>
              </w:rPr>
              <w:t>5</w:t>
            </w:r>
          </w:p>
        </w:tc>
        <w:tc>
          <w:tcPr>
            <w:tcW w:w="0" w:type="pct"/>
          </w:tcPr>
          <w:p w14:paraId="4C6BA03C" w14:textId="5E2D46BA" w:rsidR="000C02B5" w:rsidRPr="006774D3" w:rsidRDefault="000A4D6D" w:rsidP="00686C19">
            <w:pPr>
              <w:pStyle w:val="TableParagraph"/>
              <w:keepNext/>
              <w:keepLines/>
              <w:rPr>
                <w:rFonts w:ascii="Calibri" w:hAnsi="Calibri" w:cs="Calibri"/>
                <w:sz w:val="24"/>
                <w:szCs w:val="24"/>
              </w:rPr>
            </w:pPr>
            <w:r w:rsidRPr="000A4D6D">
              <w:rPr>
                <w:rFonts w:ascii="Calibri" w:hAnsi="Calibri" w:cs="Calibri"/>
                <w:sz w:val="24"/>
                <w:szCs w:val="24"/>
              </w:rPr>
              <w:t xml:space="preserve">Partner </w:t>
            </w:r>
            <w:r w:rsidR="00F32B37">
              <w:rPr>
                <w:rFonts w:ascii="Calibri" w:hAnsi="Calibri" w:cs="Calibri"/>
                <w:sz w:val="24"/>
                <w:szCs w:val="24"/>
              </w:rPr>
              <w:t>c</w:t>
            </w:r>
            <w:r w:rsidRPr="000A4D6D">
              <w:rPr>
                <w:rFonts w:ascii="Calibri" w:hAnsi="Calibri" w:cs="Calibri"/>
                <w:sz w:val="24"/>
                <w:szCs w:val="24"/>
              </w:rPr>
              <w:t>ontribution (£m; 2024-25 price base)</w:t>
            </w:r>
          </w:p>
        </w:tc>
        <w:tc>
          <w:tcPr>
            <w:tcW w:w="0" w:type="pct"/>
          </w:tcPr>
          <w:p w14:paraId="57EF0B44" w14:textId="2809ED69" w:rsidR="000C02B5" w:rsidRPr="000710AE" w:rsidRDefault="001B7A17" w:rsidP="00686C19">
            <w:pPr>
              <w:pStyle w:val="TableParagraph"/>
              <w:keepNext/>
              <w:keepLines/>
              <w:rPr>
                <w:rFonts w:ascii="Calibri" w:hAnsi="Calibri" w:cs="Calibri"/>
                <w:sz w:val="24"/>
                <w:szCs w:val="24"/>
              </w:rPr>
            </w:pPr>
            <w:r w:rsidRPr="006774D3">
              <w:rPr>
                <w:rFonts w:ascii="Calibri" w:hAnsi="Calibri" w:cs="Calibri"/>
                <w:sz w:val="24"/>
                <w:szCs w:val="24"/>
              </w:rPr>
              <w:t xml:space="preserve">Value of contribution by </w:t>
            </w:r>
            <w:r w:rsidR="00C20169">
              <w:rPr>
                <w:rFonts w:ascii="Calibri" w:hAnsi="Calibri" w:cs="Calibri"/>
                <w:sz w:val="24"/>
                <w:szCs w:val="24"/>
              </w:rPr>
              <w:t>the other party/parties in the partnership</w:t>
            </w:r>
            <w:r w:rsidR="00FB25F5">
              <w:rPr>
                <w:rFonts w:ascii="Calibri" w:hAnsi="Calibri" w:cs="Calibri"/>
                <w:sz w:val="24"/>
                <w:szCs w:val="24"/>
              </w:rPr>
              <w:t>.</w:t>
            </w:r>
          </w:p>
        </w:tc>
        <w:tc>
          <w:tcPr>
            <w:tcW w:w="0" w:type="pct"/>
          </w:tcPr>
          <w:p w14:paraId="08901802" w14:textId="3765E206" w:rsidR="000C02B5" w:rsidRPr="000710AE" w:rsidRDefault="000A4D6D" w:rsidP="00686C19">
            <w:pPr>
              <w:pStyle w:val="TableParagraph"/>
              <w:keepNext/>
              <w:keepLines/>
              <w:rPr>
                <w:rFonts w:ascii="Calibri" w:hAnsi="Calibri" w:cs="Calibri"/>
                <w:sz w:val="24"/>
                <w:szCs w:val="24"/>
              </w:rPr>
            </w:pPr>
            <w:r w:rsidRPr="000A4D6D">
              <w:rPr>
                <w:rFonts w:ascii="Calibri" w:hAnsi="Calibri" w:cs="Calibri"/>
                <w:sz w:val="24"/>
                <w:szCs w:val="24"/>
              </w:rPr>
              <w:t>£m</w:t>
            </w:r>
            <w:r w:rsidR="005F4ACA">
              <w:rPr>
                <w:rFonts w:ascii="Calibri" w:hAnsi="Calibri" w:cs="Calibri"/>
                <w:sz w:val="24"/>
                <w:szCs w:val="24"/>
              </w:rPr>
              <w:t xml:space="preserve"> in</w:t>
            </w:r>
            <w:r w:rsidRPr="000A4D6D">
              <w:rPr>
                <w:rFonts w:ascii="Calibri" w:hAnsi="Calibri" w:cs="Calibri"/>
                <w:sz w:val="24"/>
                <w:szCs w:val="24"/>
              </w:rPr>
              <w:t xml:space="preserve"> 2024-25 price base</w:t>
            </w:r>
          </w:p>
        </w:tc>
      </w:tr>
    </w:tbl>
    <w:p w14:paraId="10FC5340" w14:textId="77777777" w:rsidR="0056462D" w:rsidRDefault="0056462D" w:rsidP="00686C19"/>
    <w:p w14:paraId="3A85026A" w14:textId="77777777" w:rsidR="002D3717" w:rsidRPr="00954233" w:rsidRDefault="002D3717" w:rsidP="00954233">
      <w:pPr>
        <w:pStyle w:val="TableParagraph"/>
        <w:keepNext/>
        <w:rPr>
          <w:rFonts w:ascii="Calibri" w:hAnsi="Calibri" w:cs="Calibri"/>
          <w:b/>
          <w:color w:val="064276" w:themeColor="text2"/>
          <w:sz w:val="28"/>
          <w:szCs w:val="28"/>
        </w:rPr>
      </w:pPr>
      <w:r w:rsidRPr="00954233">
        <w:rPr>
          <w:rFonts w:ascii="Calibri" w:hAnsi="Calibri" w:cs="Calibri"/>
          <w:b/>
          <w:color w:val="064276" w:themeColor="text2"/>
          <w:sz w:val="28"/>
          <w:szCs w:val="28"/>
        </w:rPr>
        <w:t>Block J: Projects Spanning More Than One Regulatory Period</w:t>
      </w:r>
    </w:p>
    <w:p w14:paraId="1BBA5FCC" w14:textId="77777777" w:rsidR="002D3717" w:rsidRDefault="002D3717" w:rsidP="002D3717"/>
    <w:p w14:paraId="6BD545CB" w14:textId="57F9CCEE" w:rsidR="0049335E" w:rsidRDefault="002D3717" w:rsidP="00686C19">
      <w:r>
        <w:t xml:space="preserve">This block only applies to projects that were given an allowance at previous SRCs. All £m values relate to the </w:t>
      </w:r>
      <w:r w:rsidRPr="00954233">
        <w:rPr>
          <w:b/>
        </w:rPr>
        <w:t>allowance</w:t>
      </w:r>
      <w:r>
        <w:t xml:space="preserve"> given at that time, and </w:t>
      </w:r>
      <w:r w:rsidRPr="00954233">
        <w:rPr>
          <w:b/>
        </w:rPr>
        <w:t>NOT the actual spend</w:t>
      </w:r>
      <w:r>
        <w:t>.</w:t>
      </w:r>
    </w:p>
    <w:tbl>
      <w:tblPr>
        <w:tblStyle w:val="Blueline"/>
        <w:tblW w:w="0" w:type="auto"/>
        <w:tblLook w:val="04A0" w:firstRow="1" w:lastRow="0" w:firstColumn="1" w:lastColumn="0" w:noHBand="0" w:noVBand="1"/>
      </w:tblPr>
      <w:tblGrid>
        <w:gridCol w:w="1706"/>
        <w:gridCol w:w="3048"/>
        <w:gridCol w:w="4291"/>
        <w:gridCol w:w="1887"/>
        <w:gridCol w:w="3638"/>
      </w:tblGrid>
      <w:tr w:rsidR="009B2AA3" w:rsidRPr="008E2C7D" w14:paraId="691537CE" w14:textId="50AAFC5F"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0880F563" w14:textId="44EA01F1" w:rsidR="009B2AA3" w:rsidRPr="000710AE" w:rsidRDefault="00D04C95">
            <w:pPr>
              <w:pStyle w:val="TableParagraph"/>
              <w:rPr>
                <w:rFonts w:ascii="Calibri" w:hAnsi="Calibri" w:cs="Calibri"/>
                <w:sz w:val="24"/>
                <w:szCs w:val="24"/>
              </w:rPr>
            </w:pPr>
            <w:r w:rsidRPr="0074526B">
              <w:rPr>
                <w:rFonts w:ascii="Calibri" w:hAnsi="Calibri" w:cs="Calibri"/>
                <w:sz w:val="24"/>
                <w:szCs w:val="24"/>
              </w:rPr>
              <w:t>Column</w:t>
            </w:r>
            <w:r w:rsidR="009B2AA3" w:rsidRPr="0074526B">
              <w:rPr>
                <w:rFonts w:ascii="Calibri" w:hAnsi="Calibri" w:cs="Calibri"/>
                <w:sz w:val="24"/>
                <w:szCs w:val="24"/>
              </w:rPr>
              <w:t xml:space="preserve"> Reference</w:t>
            </w:r>
          </w:p>
        </w:tc>
        <w:tc>
          <w:tcPr>
            <w:tcW w:w="0" w:type="auto"/>
          </w:tcPr>
          <w:p w14:paraId="56528A71" w14:textId="77777777" w:rsidR="009B2AA3" w:rsidRPr="000710AE" w:rsidRDefault="009B2AA3">
            <w:pPr>
              <w:pStyle w:val="TableParagraph"/>
              <w:rPr>
                <w:rFonts w:ascii="Calibri" w:hAnsi="Calibri" w:cs="Calibri"/>
                <w:sz w:val="24"/>
                <w:szCs w:val="24"/>
              </w:rPr>
            </w:pPr>
            <w:r w:rsidRPr="0074526B">
              <w:rPr>
                <w:rFonts w:ascii="Calibri" w:hAnsi="Calibri" w:cs="Calibri"/>
                <w:sz w:val="24"/>
                <w:szCs w:val="24"/>
              </w:rPr>
              <w:t>Column Title</w:t>
            </w:r>
          </w:p>
        </w:tc>
        <w:tc>
          <w:tcPr>
            <w:tcW w:w="0" w:type="auto"/>
          </w:tcPr>
          <w:p w14:paraId="3795E2B9" w14:textId="77777777" w:rsidR="009B2AA3" w:rsidRPr="000710AE" w:rsidRDefault="009B2AA3">
            <w:pPr>
              <w:pStyle w:val="TableParagraph"/>
              <w:rPr>
                <w:rFonts w:ascii="Calibri" w:hAnsi="Calibri" w:cs="Calibri"/>
                <w:sz w:val="24"/>
                <w:szCs w:val="24"/>
              </w:rPr>
            </w:pPr>
            <w:r w:rsidRPr="0074526B">
              <w:rPr>
                <w:rFonts w:ascii="Calibri" w:hAnsi="Calibri" w:cs="Calibri"/>
                <w:sz w:val="24"/>
                <w:szCs w:val="24"/>
              </w:rPr>
              <w:t>Description</w:t>
            </w:r>
          </w:p>
        </w:tc>
        <w:tc>
          <w:tcPr>
            <w:tcW w:w="0" w:type="auto"/>
          </w:tcPr>
          <w:p w14:paraId="0C27AC9A" w14:textId="77777777" w:rsidR="009B2AA3" w:rsidRPr="000710AE" w:rsidRDefault="009B2AA3">
            <w:pPr>
              <w:pStyle w:val="TableParagraph"/>
              <w:rPr>
                <w:rFonts w:ascii="Calibri" w:hAnsi="Calibri" w:cs="Calibri"/>
                <w:sz w:val="24"/>
                <w:szCs w:val="24"/>
              </w:rPr>
            </w:pPr>
            <w:r w:rsidRPr="0074526B">
              <w:rPr>
                <w:rFonts w:ascii="Calibri" w:hAnsi="Calibri" w:cs="Calibri"/>
                <w:sz w:val="24"/>
                <w:szCs w:val="24"/>
              </w:rPr>
              <w:t>Units</w:t>
            </w:r>
          </w:p>
        </w:tc>
        <w:tc>
          <w:tcPr>
            <w:tcW w:w="0" w:type="auto"/>
          </w:tcPr>
          <w:p w14:paraId="21482147" w14:textId="1E478846" w:rsidR="00C205C9" w:rsidRPr="00954233" w:rsidRDefault="00C205C9">
            <w:pPr>
              <w:pStyle w:val="TableParagraph"/>
              <w:rPr>
                <w:rFonts w:ascii="Calibri" w:hAnsi="Calibri" w:cs="Calibri"/>
                <w:sz w:val="24"/>
                <w:szCs w:val="24"/>
              </w:rPr>
            </w:pPr>
            <w:r w:rsidRPr="0074526B">
              <w:rPr>
                <w:rFonts w:ascii="Calibri" w:hAnsi="Calibri" w:cs="Calibri"/>
                <w:sz w:val="24"/>
                <w:szCs w:val="24"/>
              </w:rPr>
              <w:t xml:space="preserve">Annual Return 2023-24 Table </w:t>
            </w:r>
            <w:r w:rsidR="00544EAE" w:rsidRPr="0074526B">
              <w:rPr>
                <w:rFonts w:ascii="Calibri" w:hAnsi="Calibri" w:cs="Calibri"/>
                <w:sz w:val="24"/>
                <w:szCs w:val="24"/>
              </w:rPr>
              <w:t>G</w:t>
            </w:r>
            <w:r w:rsidRPr="0074526B">
              <w:rPr>
                <w:rFonts w:ascii="Calibri" w:hAnsi="Calibri" w:cs="Calibri"/>
                <w:sz w:val="24"/>
                <w:szCs w:val="24"/>
              </w:rPr>
              <w:t>6a column reference</w:t>
            </w:r>
          </w:p>
        </w:tc>
      </w:tr>
      <w:tr w:rsidR="004553C8" w:rsidRPr="008E2C7D" w14:paraId="09990147" w14:textId="1E785A54" w:rsidTr="00D04C95">
        <w:tc>
          <w:tcPr>
            <w:tcW w:w="0" w:type="auto"/>
          </w:tcPr>
          <w:p w14:paraId="6E0ACBF3" w14:textId="2C33CDDE" w:rsidR="004553C8" w:rsidRPr="008E2C7D" w:rsidRDefault="004F4319" w:rsidP="004553C8">
            <w:pPr>
              <w:pStyle w:val="TableParagraph"/>
              <w:rPr>
                <w:rFonts w:ascii="Calibri" w:hAnsi="Calibri" w:cs="Calibri"/>
                <w:sz w:val="24"/>
                <w:szCs w:val="24"/>
              </w:rPr>
            </w:pPr>
            <w:r>
              <w:rPr>
                <w:rFonts w:ascii="Calibri" w:hAnsi="Calibri" w:cs="Calibri"/>
                <w:sz w:val="24"/>
                <w:szCs w:val="24"/>
              </w:rPr>
              <w:t>11</w:t>
            </w:r>
            <w:r w:rsidR="005F35B9">
              <w:rPr>
                <w:rFonts w:ascii="Calibri" w:hAnsi="Calibri" w:cs="Calibri"/>
                <w:sz w:val="24"/>
                <w:szCs w:val="24"/>
              </w:rPr>
              <w:t>6</w:t>
            </w:r>
          </w:p>
        </w:tc>
        <w:tc>
          <w:tcPr>
            <w:tcW w:w="0" w:type="auto"/>
          </w:tcPr>
          <w:p w14:paraId="2F3F1B9F" w14:textId="66A21806" w:rsidR="004553C8" w:rsidRPr="00A71192" w:rsidRDefault="004553C8" w:rsidP="004553C8">
            <w:pPr>
              <w:pStyle w:val="TableParagraph"/>
              <w:rPr>
                <w:rFonts w:ascii="Calibri" w:hAnsi="Calibri" w:cs="Calibri"/>
                <w:sz w:val="24"/>
                <w:szCs w:val="24"/>
              </w:rPr>
            </w:pPr>
            <w:r w:rsidRPr="00A71192">
              <w:rPr>
                <w:sz w:val="24"/>
                <w:szCs w:val="24"/>
              </w:rPr>
              <w:t>SRC21 allowance (£m; 2024-25 price base)</w:t>
            </w:r>
          </w:p>
        </w:tc>
        <w:tc>
          <w:tcPr>
            <w:tcW w:w="0" w:type="auto"/>
          </w:tcPr>
          <w:p w14:paraId="23135D6F" w14:textId="5181620A" w:rsidR="004553C8" w:rsidRPr="00A71192" w:rsidRDefault="004553C8" w:rsidP="004553C8">
            <w:pPr>
              <w:pStyle w:val="TableParagraph"/>
              <w:rPr>
                <w:rFonts w:ascii="Calibri" w:hAnsi="Calibri" w:cs="Calibri"/>
                <w:sz w:val="24"/>
                <w:szCs w:val="24"/>
              </w:rPr>
            </w:pPr>
            <w:r w:rsidRPr="00A71192">
              <w:rPr>
                <w:rFonts w:ascii="Calibri" w:hAnsi="Calibri" w:cs="Calibri"/>
                <w:sz w:val="24"/>
                <w:szCs w:val="24"/>
              </w:rPr>
              <w:t>Expenditure previously allowed at SRC21 for the SRC21</w:t>
            </w:r>
            <w:r w:rsidR="00B95CB0">
              <w:rPr>
                <w:rFonts w:ascii="Calibri" w:hAnsi="Calibri" w:cs="Calibri"/>
                <w:sz w:val="24"/>
                <w:szCs w:val="24"/>
              </w:rPr>
              <w:t xml:space="preserve"> period</w:t>
            </w:r>
            <w:r w:rsidR="00FB25F5">
              <w:rPr>
                <w:rFonts w:ascii="Calibri" w:hAnsi="Calibri" w:cs="Calibri"/>
                <w:sz w:val="24"/>
                <w:szCs w:val="24"/>
              </w:rPr>
              <w:t>.</w:t>
            </w:r>
          </w:p>
        </w:tc>
        <w:tc>
          <w:tcPr>
            <w:tcW w:w="0" w:type="auto"/>
          </w:tcPr>
          <w:p w14:paraId="38F4276B" w14:textId="53103816" w:rsidR="004553C8" w:rsidRPr="00A71192" w:rsidRDefault="004553C8" w:rsidP="004553C8">
            <w:pPr>
              <w:pStyle w:val="TableParagraph"/>
              <w:rPr>
                <w:rFonts w:ascii="Calibri" w:hAnsi="Calibri" w:cs="Calibri"/>
                <w:sz w:val="24"/>
                <w:szCs w:val="24"/>
              </w:rPr>
            </w:pPr>
            <w:r w:rsidRPr="00C174C0">
              <w:rPr>
                <w:rFonts w:ascii="Calibri" w:hAnsi="Calibri" w:cs="Calibri"/>
                <w:sz w:val="24"/>
                <w:szCs w:val="24"/>
              </w:rPr>
              <w:t>£m in 2024-25 price base</w:t>
            </w:r>
          </w:p>
        </w:tc>
        <w:tc>
          <w:tcPr>
            <w:tcW w:w="0" w:type="auto"/>
          </w:tcPr>
          <w:p w14:paraId="0B941053" w14:textId="77777777" w:rsidR="004553C8" w:rsidRPr="00A71192" w:rsidRDefault="004553C8" w:rsidP="004553C8">
            <w:pPr>
              <w:pStyle w:val="TableParagraph"/>
              <w:rPr>
                <w:rFonts w:ascii="Calibri" w:hAnsi="Calibri" w:cs="Calibri"/>
                <w:sz w:val="24"/>
                <w:szCs w:val="24"/>
              </w:rPr>
            </w:pPr>
          </w:p>
        </w:tc>
      </w:tr>
      <w:tr w:rsidR="004553C8" w:rsidRPr="008E2C7D" w14:paraId="3B83EC07" w14:textId="2E114FC1" w:rsidTr="00D04C95">
        <w:tc>
          <w:tcPr>
            <w:tcW w:w="0" w:type="auto"/>
          </w:tcPr>
          <w:p w14:paraId="4DD2A642" w14:textId="5A6D7ED6" w:rsidR="004553C8" w:rsidRPr="008E2C7D" w:rsidRDefault="004F4319" w:rsidP="004553C8">
            <w:pPr>
              <w:pStyle w:val="TableParagraph"/>
              <w:rPr>
                <w:rFonts w:ascii="Calibri" w:hAnsi="Calibri" w:cs="Calibri"/>
                <w:sz w:val="24"/>
                <w:szCs w:val="24"/>
              </w:rPr>
            </w:pPr>
            <w:r>
              <w:rPr>
                <w:rFonts w:ascii="Calibri" w:hAnsi="Calibri" w:cs="Calibri"/>
                <w:sz w:val="24"/>
                <w:szCs w:val="24"/>
              </w:rPr>
              <w:t>11</w:t>
            </w:r>
            <w:r w:rsidR="005F35B9">
              <w:rPr>
                <w:rFonts w:ascii="Calibri" w:hAnsi="Calibri" w:cs="Calibri"/>
                <w:sz w:val="24"/>
                <w:szCs w:val="24"/>
              </w:rPr>
              <w:t>7</w:t>
            </w:r>
          </w:p>
        </w:tc>
        <w:tc>
          <w:tcPr>
            <w:tcW w:w="0" w:type="auto"/>
          </w:tcPr>
          <w:p w14:paraId="254104ED" w14:textId="44A36E20" w:rsidR="004553C8" w:rsidRPr="00A71192" w:rsidRDefault="004553C8" w:rsidP="004553C8">
            <w:pPr>
              <w:pStyle w:val="TableParagraph"/>
              <w:rPr>
                <w:rFonts w:ascii="Calibri" w:hAnsi="Calibri" w:cs="Calibri"/>
                <w:sz w:val="24"/>
                <w:szCs w:val="24"/>
              </w:rPr>
            </w:pPr>
            <w:r w:rsidRPr="00A71192">
              <w:rPr>
                <w:sz w:val="24"/>
                <w:szCs w:val="24"/>
              </w:rPr>
              <w:t>SRC27 allowance (£m; 2024-25 price base)</w:t>
            </w:r>
          </w:p>
        </w:tc>
        <w:tc>
          <w:tcPr>
            <w:tcW w:w="0" w:type="auto"/>
          </w:tcPr>
          <w:p w14:paraId="4A66AE7F" w14:textId="24F430D8" w:rsidR="004553C8" w:rsidRPr="00A71192" w:rsidRDefault="004553C8" w:rsidP="004553C8">
            <w:pPr>
              <w:pStyle w:val="TableParagraph"/>
              <w:rPr>
                <w:rFonts w:ascii="Calibri" w:hAnsi="Calibri" w:cs="Calibri"/>
                <w:sz w:val="24"/>
                <w:szCs w:val="24"/>
              </w:rPr>
            </w:pPr>
            <w:r w:rsidRPr="00A71192">
              <w:rPr>
                <w:rFonts w:ascii="Calibri" w:hAnsi="Calibri" w:cs="Calibri"/>
                <w:sz w:val="24"/>
                <w:szCs w:val="24"/>
              </w:rPr>
              <w:t>Expenditure previously allowed at SRC21 for the SRC27 period</w:t>
            </w:r>
            <w:r w:rsidR="00FB25F5">
              <w:rPr>
                <w:rFonts w:ascii="Calibri" w:hAnsi="Calibri" w:cs="Calibri"/>
                <w:sz w:val="24"/>
                <w:szCs w:val="24"/>
              </w:rPr>
              <w:t>.</w:t>
            </w:r>
          </w:p>
        </w:tc>
        <w:tc>
          <w:tcPr>
            <w:tcW w:w="0" w:type="auto"/>
          </w:tcPr>
          <w:p w14:paraId="60411307" w14:textId="6987EA72" w:rsidR="004553C8" w:rsidRPr="00A71192" w:rsidRDefault="004553C8" w:rsidP="004553C8">
            <w:pPr>
              <w:pStyle w:val="TableParagraph"/>
              <w:rPr>
                <w:rFonts w:ascii="Calibri" w:hAnsi="Calibri" w:cs="Calibri"/>
                <w:sz w:val="24"/>
                <w:szCs w:val="24"/>
              </w:rPr>
            </w:pPr>
            <w:r w:rsidRPr="00C174C0">
              <w:rPr>
                <w:rFonts w:ascii="Calibri" w:hAnsi="Calibri" w:cs="Calibri"/>
                <w:sz w:val="24"/>
                <w:szCs w:val="24"/>
              </w:rPr>
              <w:t>£m in 2024-25 price base</w:t>
            </w:r>
          </w:p>
        </w:tc>
        <w:tc>
          <w:tcPr>
            <w:tcW w:w="0" w:type="auto"/>
          </w:tcPr>
          <w:p w14:paraId="6D8C78D1" w14:textId="77777777" w:rsidR="004553C8" w:rsidRPr="00A71192" w:rsidRDefault="004553C8" w:rsidP="004553C8">
            <w:pPr>
              <w:pStyle w:val="TableParagraph"/>
              <w:rPr>
                <w:rFonts w:ascii="Calibri" w:hAnsi="Calibri" w:cs="Calibri"/>
                <w:sz w:val="24"/>
                <w:szCs w:val="24"/>
              </w:rPr>
            </w:pPr>
          </w:p>
        </w:tc>
      </w:tr>
      <w:tr w:rsidR="0061271D" w:rsidRPr="008E2C7D" w14:paraId="1D0B95D1" w14:textId="77777777" w:rsidTr="00D04C95">
        <w:tc>
          <w:tcPr>
            <w:tcW w:w="0" w:type="auto"/>
          </w:tcPr>
          <w:p w14:paraId="5A7D1F54" w14:textId="35A7B2A2" w:rsidR="0061271D" w:rsidRDefault="0061271D" w:rsidP="004553C8">
            <w:pPr>
              <w:pStyle w:val="TableParagraph"/>
              <w:rPr>
                <w:rFonts w:ascii="Calibri" w:hAnsi="Calibri" w:cs="Calibri"/>
                <w:sz w:val="24"/>
                <w:szCs w:val="24"/>
              </w:rPr>
            </w:pPr>
            <w:r>
              <w:rPr>
                <w:rFonts w:ascii="Calibri" w:hAnsi="Calibri" w:cs="Calibri"/>
                <w:sz w:val="24"/>
                <w:szCs w:val="24"/>
              </w:rPr>
              <w:t>11</w:t>
            </w:r>
            <w:r w:rsidR="005F35B9">
              <w:rPr>
                <w:rFonts w:ascii="Calibri" w:hAnsi="Calibri" w:cs="Calibri"/>
                <w:sz w:val="24"/>
                <w:szCs w:val="24"/>
              </w:rPr>
              <w:t>8</w:t>
            </w:r>
          </w:p>
        </w:tc>
        <w:tc>
          <w:tcPr>
            <w:tcW w:w="0" w:type="auto"/>
          </w:tcPr>
          <w:p w14:paraId="0D27B0E3" w14:textId="17F87CD2" w:rsidR="0061271D" w:rsidRPr="00A71192" w:rsidRDefault="004A5D2B" w:rsidP="004553C8">
            <w:pPr>
              <w:pStyle w:val="TableParagraph"/>
              <w:rPr>
                <w:sz w:val="24"/>
                <w:szCs w:val="24"/>
              </w:rPr>
            </w:pPr>
            <w:r w:rsidRPr="004A5D2B">
              <w:rPr>
                <w:sz w:val="24"/>
                <w:szCs w:val="24"/>
              </w:rPr>
              <w:t>Total allowance (£m; 2024-25 price base)</w:t>
            </w:r>
          </w:p>
        </w:tc>
        <w:tc>
          <w:tcPr>
            <w:tcW w:w="0" w:type="auto"/>
          </w:tcPr>
          <w:p w14:paraId="46B9A000" w14:textId="08102EC0" w:rsidR="0061271D" w:rsidRPr="00A71192" w:rsidRDefault="004A5D2B" w:rsidP="004553C8">
            <w:pPr>
              <w:pStyle w:val="TableParagraph"/>
              <w:rPr>
                <w:rFonts w:ascii="Calibri" w:hAnsi="Calibri" w:cs="Calibri"/>
                <w:sz w:val="24"/>
                <w:szCs w:val="24"/>
              </w:rPr>
            </w:pPr>
            <w:r>
              <w:rPr>
                <w:rFonts w:ascii="Calibri" w:hAnsi="Calibri" w:cs="Calibri"/>
                <w:sz w:val="24"/>
                <w:szCs w:val="24"/>
              </w:rPr>
              <w:t xml:space="preserve">Calculated </w:t>
            </w:r>
            <w:r w:rsidR="00E819E1">
              <w:rPr>
                <w:rFonts w:ascii="Calibri" w:hAnsi="Calibri" w:cs="Calibri"/>
                <w:sz w:val="24"/>
                <w:szCs w:val="24"/>
              </w:rPr>
              <w:t>column: Sum of columns 113 and 114</w:t>
            </w:r>
            <w:r w:rsidR="00FB25F5">
              <w:rPr>
                <w:rFonts w:ascii="Calibri" w:hAnsi="Calibri" w:cs="Calibri"/>
                <w:sz w:val="24"/>
                <w:szCs w:val="24"/>
              </w:rPr>
              <w:t>.</w:t>
            </w:r>
          </w:p>
        </w:tc>
        <w:tc>
          <w:tcPr>
            <w:tcW w:w="0" w:type="auto"/>
          </w:tcPr>
          <w:p w14:paraId="5A3BE7EE" w14:textId="77777777" w:rsidR="0061271D" w:rsidRPr="00C174C0" w:rsidRDefault="0061271D" w:rsidP="004553C8">
            <w:pPr>
              <w:pStyle w:val="TableParagraph"/>
              <w:rPr>
                <w:rFonts w:ascii="Calibri" w:hAnsi="Calibri" w:cs="Calibri"/>
                <w:sz w:val="24"/>
                <w:szCs w:val="24"/>
              </w:rPr>
            </w:pPr>
          </w:p>
        </w:tc>
        <w:tc>
          <w:tcPr>
            <w:tcW w:w="0" w:type="auto"/>
          </w:tcPr>
          <w:p w14:paraId="473D7DB0" w14:textId="77777777" w:rsidR="0061271D" w:rsidRPr="00A71192" w:rsidRDefault="0061271D" w:rsidP="004553C8">
            <w:pPr>
              <w:pStyle w:val="TableParagraph"/>
              <w:rPr>
                <w:rFonts w:ascii="Calibri" w:hAnsi="Calibri" w:cs="Calibri"/>
                <w:sz w:val="24"/>
                <w:szCs w:val="24"/>
              </w:rPr>
            </w:pPr>
          </w:p>
        </w:tc>
      </w:tr>
    </w:tbl>
    <w:p w14:paraId="7C024628" w14:textId="77777777" w:rsidR="00FC609D" w:rsidRPr="00954233" w:rsidRDefault="00FC609D" w:rsidP="00954233">
      <w:pPr>
        <w:pStyle w:val="TableParagraph"/>
        <w:keepNext/>
        <w:rPr>
          <w:rFonts w:ascii="Calibri" w:hAnsi="Calibri" w:cs="Calibri"/>
          <w:b/>
          <w:color w:val="064276" w:themeColor="text2"/>
          <w:sz w:val="28"/>
          <w:szCs w:val="28"/>
        </w:rPr>
      </w:pPr>
      <w:r w:rsidRPr="00954233">
        <w:rPr>
          <w:rFonts w:ascii="Calibri" w:hAnsi="Calibri" w:cs="Calibri"/>
          <w:b/>
          <w:color w:val="064276" w:themeColor="text2"/>
          <w:sz w:val="28"/>
          <w:szCs w:val="28"/>
        </w:rPr>
        <w:t>Blocks K, L, M and N: Enhancement and growth</w:t>
      </w:r>
    </w:p>
    <w:p w14:paraId="7E4A76FF" w14:textId="77777777" w:rsidR="00FC609D" w:rsidRPr="00990185" w:rsidRDefault="00FC609D" w:rsidP="00FC609D">
      <w:pPr>
        <w:pStyle w:val="TableParagraph"/>
        <w:rPr>
          <w:rFonts w:cstheme="minorHAnsi"/>
          <w:b/>
          <w:sz w:val="24"/>
          <w:szCs w:val="24"/>
        </w:rPr>
      </w:pPr>
    </w:p>
    <w:p w14:paraId="09C40841" w14:textId="7824DB8D" w:rsidR="00FC609D" w:rsidRPr="00954233" w:rsidRDefault="00FC609D" w:rsidP="00FC609D">
      <w:pPr>
        <w:pStyle w:val="TableParagraph"/>
        <w:rPr>
          <w:rFonts w:cstheme="minorHAnsi"/>
          <w:sz w:val="24"/>
          <w:szCs w:val="24"/>
        </w:rPr>
      </w:pPr>
      <w:r w:rsidRPr="00954233">
        <w:rPr>
          <w:rFonts w:cstheme="minorHAnsi"/>
          <w:sz w:val="24"/>
          <w:szCs w:val="24"/>
        </w:rPr>
        <w:t xml:space="preserve">The following additional data is required where the projects are either: </w:t>
      </w:r>
    </w:p>
    <w:p w14:paraId="407D6394" w14:textId="39079BD2" w:rsidR="00FC609D" w:rsidRPr="00954233" w:rsidRDefault="00FC609D" w:rsidP="00FC609D">
      <w:pPr>
        <w:pStyle w:val="Bullet1"/>
      </w:pPr>
      <w:r w:rsidRPr="00954233">
        <w:t>Phosphorus removal project;</w:t>
      </w:r>
      <w:r w:rsidRPr="00954233">
        <w:tab/>
      </w:r>
      <w:r w:rsidRPr="00954233">
        <w:tab/>
      </w:r>
      <w:r w:rsidRPr="00954233">
        <w:tab/>
      </w:r>
      <w:r w:rsidRPr="00954233">
        <w:tab/>
      </w:r>
      <w:r w:rsidRPr="00954233">
        <w:tab/>
      </w:r>
    </w:p>
    <w:p w14:paraId="256206EC" w14:textId="73F19AD5" w:rsidR="00FC609D" w:rsidRPr="00954233" w:rsidRDefault="00FC609D" w:rsidP="00FC609D">
      <w:pPr>
        <w:pStyle w:val="Bullet1"/>
      </w:pPr>
      <w:r w:rsidRPr="00954233">
        <w:t>Sanitary tightened permit condition project;</w:t>
      </w:r>
    </w:p>
    <w:p w14:paraId="3CB063A0" w14:textId="16CDCB87" w:rsidR="00FC609D" w:rsidRPr="00954233" w:rsidRDefault="00FC609D" w:rsidP="00FC609D">
      <w:pPr>
        <w:pStyle w:val="Bullet1"/>
      </w:pPr>
      <w:r w:rsidRPr="00954233">
        <w:t>Storm overflows project; or</w:t>
      </w:r>
    </w:p>
    <w:p w14:paraId="55EACD70" w14:textId="7005AE1E" w:rsidR="00FC609D" w:rsidRPr="00FC609D" w:rsidRDefault="00FC609D" w:rsidP="00FC609D">
      <w:pPr>
        <w:pStyle w:val="Bullet1"/>
        <w:rPr>
          <w:bCs/>
        </w:rPr>
      </w:pPr>
      <w:r w:rsidRPr="00954233">
        <w:t>Water resources project.</w:t>
      </w:r>
    </w:p>
    <w:p w14:paraId="2BD81323" w14:textId="77777777" w:rsidR="00FC609D" w:rsidRPr="00FC609D" w:rsidRDefault="00FC609D" w:rsidP="00FC609D">
      <w:pPr>
        <w:pStyle w:val="TableParagraph"/>
        <w:rPr>
          <w:rFonts w:cstheme="minorHAnsi"/>
          <w:bCs/>
          <w:sz w:val="24"/>
          <w:szCs w:val="24"/>
        </w:rPr>
      </w:pPr>
    </w:p>
    <w:p w14:paraId="4711E559" w14:textId="6836BD37" w:rsidR="00BA28BB" w:rsidRPr="00E42F6F" w:rsidRDefault="00272DAA" w:rsidP="00FC609D">
      <w:pPr>
        <w:pStyle w:val="TableParagraph"/>
        <w:rPr>
          <w:rFonts w:cstheme="minorHAnsi"/>
          <w:bCs/>
          <w:sz w:val="24"/>
          <w:szCs w:val="24"/>
        </w:rPr>
      </w:pPr>
      <w:r w:rsidRPr="00954233">
        <w:rPr>
          <w:rFonts w:cstheme="minorHAnsi"/>
          <w:sz w:val="24"/>
          <w:szCs w:val="24"/>
        </w:rPr>
        <w:t>All individual projects which can be benchmarked should be reported as separate lines regardless of their total value.</w:t>
      </w:r>
      <w:r w:rsidRPr="00E42F6F">
        <w:rPr>
          <w:rFonts w:cstheme="minorHAnsi"/>
          <w:sz w:val="24"/>
          <w:szCs w:val="24"/>
        </w:rPr>
        <w:t xml:space="preserve"> In other words, the </w:t>
      </w:r>
      <w:r w:rsidRPr="00954233">
        <w:rPr>
          <w:rFonts w:cstheme="minorHAnsi"/>
          <w:sz w:val="24"/>
          <w:szCs w:val="24"/>
        </w:rPr>
        <w:t>£</w:t>
      </w:r>
      <w:r w:rsidRPr="00954233">
        <w:rPr>
          <w:rFonts w:cstheme="minorHAnsi"/>
          <w:sz w:val="24"/>
          <w:szCs w:val="24"/>
          <w:lang w:eastAsia="zh-CN"/>
        </w:rPr>
        <w:t>6</w:t>
      </w:r>
      <w:r w:rsidRPr="00954233">
        <w:rPr>
          <w:rFonts w:cstheme="minorHAnsi"/>
          <w:sz w:val="24"/>
          <w:szCs w:val="24"/>
        </w:rPr>
        <w:t xml:space="preserve">m threshold is not applied </w:t>
      </w:r>
      <w:r w:rsidR="00184D9A">
        <w:rPr>
          <w:rFonts w:cstheme="minorHAnsi"/>
          <w:sz w:val="24"/>
          <w:szCs w:val="24"/>
        </w:rPr>
        <w:t>to these proje</w:t>
      </w:r>
      <w:r w:rsidR="00E932DA">
        <w:rPr>
          <w:rFonts w:cstheme="minorHAnsi"/>
          <w:sz w:val="24"/>
          <w:szCs w:val="24"/>
        </w:rPr>
        <w:t>c</w:t>
      </w:r>
      <w:r w:rsidR="00184D9A">
        <w:rPr>
          <w:rFonts w:cstheme="minorHAnsi"/>
          <w:sz w:val="24"/>
          <w:szCs w:val="24"/>
        </w:rPr>
        <w:t>ts</w:t>
      </w:r>
      <w:r w:rsidRPr="00954233">
        <w:rPr>
          <w:rFonts w:cstheme="minorHAnsi"/>
          <w:sz w:val="24"/>
          <w:szCs w:val="24"/>
        </w:rPr>
        <w:t>.</w:t>
      </w:r>
    </w:p>
    <w:p w14:paraId="7B778460" w14:textId="77777777" w:rsidR="00BA28BB" w:rsidRDefault="00BA28BB" w:rsidP="00FC609D">
      <w:pPr>
        <w:pStyle w:val="TableParagraph"/>
        <w:rPr>
          <w:rFonts w:cstheme="minorHAnsi"/>
          <w:bCs/>
          <w:sz w:val="24"/>
          <w:szCs w:val="24"/>
        </w:rPr>
      </w:pPr>
    </w:p>
    <w:p w14:paraId="3CBF811E" w14:textId="7F8B5C2E" w:rsidR="00FC609D" w:rsidRPr="00954233" w:rsidRDefault="00FC609D" w:rsidP="00FC609D">
      <w:pPr>
        <w:pStyle w:val="TableParagraph"/>
        <w:rPr>
          <w:rFonts w:cstheme="minorHAnsi"/>
          <w:sz w:val="24"/>
          <w:szCs w:val="24"/>
        </w:rPr>
      </w:pPr>
      <w:r w:rsidRPr="00C80D73">
        <w:rPr>
          <w:rFonts w:cstheme="minorHAnsi"/>
          <w:sz w:val="24"/>
          <w:szCs w:val="24"/>
        </w:rPr>
        <w:t>This data is to allow these projects to be benchmarked</w:t>
      </w:r>
      <w:r w:rsidRPr="00C80D73" w:rsidDel="00942E82">
        <w:rPr>
          <w:rFonts w:cstheme="minorHAnsi"/>
          <w:sz w:val="24"/>
          <w:szCs w:val="24"/>
        </w:rPr>
        <w:t xml:space="preserve"> </w:t>
      </w:r>
      <w:r w:rsidRPr="00C80D73">
        <w:rPr>
          <w:rFonts w:cstheme="minorHAnsi"/>
          <w:sz w:val="24"/>
          <w:szCs w:val="24"/>
        </w:rPr>
        <w:t>against similar schemes undertaken by the water/wastewater companies in England and Wales. As such the definitions are aligned to the requirements set out in Ofwat’s PR24 data tables and guidance.</w:t>
      </w:r>
      <w:r w:rsidDel="007534A4">
        <w:rPr>
          <w:rFonts w:cstheme="minorHAnsi"/>
          <w:sz w:val="24"/>
          <w:szCs w:val="24"/>
        </w:rPr>
        <w:t xml:space="preserve"> </w:t>
      </w:r>
      <w:r w:rsidRPr="00954233">
        <w:rPr>
          <w:rFonts w:cstheme="minorHAnsi"/>
          <w:sz w:val="24"/>
          <w:szCs w:val="24"/>
        </w:rPr>
        <w:t xml:space="preserve">References below refer to tables with the prefix CW (section 3). The guidance for these can be accessed at </w:t>
      </w:r>
      <w:hyperlink r:id="rId20" w:history="1">
        <w:r w:rsidRPr="00954233">
          <w:rPr>
            <w:rStyle w:val="Hyperlink"/>
            <w:rFonts w:cstheme="minorHAnsi"/>
            <w:szCs w:val="24"/>
          </w:rPr>
          <w:t>https://www.ofwat.gov.uk/regulated-companies/price-review/2024-price-review/framework-and-methodology/final-methodology/pr24-final-methodology-submission-tables-and-guidance/</w:t>
        </w:r>
      </w:hyperlink>
      <w:r w:rsidRPr="00954233">
        <w:rPr>
          <w:rFonts w:cstheme="minorHAnsi"/>
          <w:szCs w:val="24"/>
        </w:rPr>
        <w:t xml:space="preserve">. </w:t>
      </w:r>
      <w:r w:rsidRPr="00954233">
        <w:rPr>
          <w:rFonts w:cstheme="minorHAnsi"/>
          <w:sz w:val="24"/>
          <w:szCs w:val="24"/>
        </w:rPr>
        <w:t xml:space="preserve">For the purpose of these definitions, a ‘scheme’ </w:t>
      </w:r>
      <w:r w:rsidR="00BB4D03">
        <w:rPr>
          <w:rFonts w:cstheme="minorHAnsi"/>
          <w:sz w:val="24"/>
          <w:szCs w:val="24"/>
        </w:rPr>
        <w:t>refers to</w:t>
      </w:r>
      <w:r w:rsidRPr="00954233">
        <w:rPr>
          <w:rFonts w:cstheme="minorHAnsi"/>
          <w:sz w:val="24"/>
          <w:szCs w:val="24"/>
        </w:rPr>
        <w:t xml:space="preserve"> </w:t>
      </w:r>
      <w:r w:rsidRPr="00954233">
        <w:rPr>
          <w:rFonts w:cstheme="minorHAnsi"/>
          <w:bCs/>
          <w:sz w:val="24"/>
          <w:szCs w:val="24"/>
        </w:rPr>
        <w:t>projects.</w:t>
      </w:r>
      <w:r w:rsidRPr="00FC609D">
        <w:rPr>
          <w:bCs/>
        </w:rPr>
        <w:t xml:space="preserve"> </w:t>
      </w:r>
    </w:p>
    <w:p w14:paraId="19C92688" w14:textId="77777777" w:rsidR="00FC609D" w:rsidRPr="00FC609D" w:rsidRDefault="00FC609D" w:rsidP="00FC609D">
      <w:pPr>
        <w:pStyle w:val="TableParagraph"/>
        <w:rPr>
          <w:rFonts w:cstheme="minorHAnsi"/>
          <w:bCs/>
          <w:sz w:val="24"/>
          <w:szCs w:val="24"/>
        </w:rPr>
      </w:pPr>
    </w:p>
    <w:p w14:paraId="117CDE8C" w14:textId="54D7DF96" w:rsidR="00342869" w:rsidRDefault="00FC609D" w:rsidP="00686C19">
      <w:r w:rsidRPr="00954233">
        <w:rPr>
          <w:rFonts w:cstheme="minorHAnsi"/>
          <w:szCs w:val="24"/>
        </w:rPr>
        <w:t>Some references link to Ofwat’s</w:t>
      </w:r>
      <w:r w:rsidRPr="00954233" w:rsidDel="00B022E9">
        <w:rPr>
          <w:rFonts w:cstheme="minorHAnsi"/>
          <w:szCs w:val="24"/>
        </w:rPr>
        <w:t xml:space="preserve"> </w:t>
      </w:r>
      <w:r w:rsidRPr="00954233">
        <w:rPr>
          <w:rFonts w:cstheme="minorHAnsi"/>
          <w:szCs w:val="24"/>
        </w:rPr>
        <w:t xml:space="preserve">Price Control Deliverable appendix to the PR24 Draft Determinations which contains data definitions. The appendix can be accessed at </w:t>
      </w:r>
      <w:hyperlink r:id="rId21" w:history="1">
        <w:r w:rsidRPr="00954233">
          <w:rPr>
            <w:rStyle w:val="Hyperlink"/>
            <w:rFonts w:cstheme="minorHAnsi"/>
            <w:szCs w:val="24"/>
          </w:rPr>
          <w:t>https://www.ofwat.gov.uk/publication/pr24-draft-determinations-price-control-deliverables-appendix/</w:t>
        </w:r>
      </w:hyperlink>
      <w:r w:rsidRPr="00954233">
        <w:rPr>
          <w:rFonts w:cstheme="minorHAnsi"/>
          <w:szCs w:val="24"/>
        </w:rPr>
        <w:t>.</w:t>
      </w:r>
      <w:r w:rsidRPr="00954233">
        <w:rPr>
          <w:rFonts w:cstheme="minorHAnsi"/>
          <w:szCs w:val="24"/>
        </w:rPr>
        <w:tab/>
      </w:r>
    </w:p>
    <w:p w14:paraId="05BA18B6" w14:textId="77777777" w:rsidR="00342869" w:rsidRDefault="00342869" w:rsidP="00686C19"/>
    <w:p w14:paraId="03501554" w14:textId="552BA086" w:rsidR="00345AEF" w:rsidRDefault="00431B0D" w:rsidP="00686C19">
      <w:r w:rsidRPr="00431B0D">
        <w:tab/>
      </w:r>
      <w:r w:rsidRPr="00431B0D">
        <w:tab/>
      </w:r>
      <w:r w:rsidRPr="00431B0D">
        <w:tab/>
      </w:r>
    </w:p>
    <w:tbl>
      <w:tblPr>
        <w:tblStyle w:val="Blueline"/>
        <w:tblW w:w="0" w:type="auto"/>
        <w:tblLook w:val="04A0" w:firstRow="1" w:lastRow="0" w:firstColumn="1" w:lastColumn="0" w:noHBand="0" w:noVBand="1"/>
      </w:tblPr>
      <w:tblGrid>
        <w:gridCol w:w="1377"/>
        <w:gridCol w:w="2505"/>
        <w:gridCol w:w="7887"/>
        <w:gridCol w:w="1018"/>
        <w:gridCol w:w="1783"/>
      </w:tblGrid>
      <w:tr w:rsidR="00CD275D" w:rsidRPr="00361CC1" w14:paraId="7CA14A94"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69ED03FD" w14:textId="6396E135" w:rsidR="00345AEF" w:rsidRPr="00954233" w:rsidRDefault="00345AEF">
            <w:pPr>
              <w:pStyle w:val="TableParagraph"/>
              <w:rPr>
                <w:rFonts w:ascii="Calibri" w:hAnsi="Calibri" w:cs="Calibri"/>
                <w:sz w:val="24"/>
                <w:szCs w:val="24"/>
              </w:rPr>
            </w:pPr>
            <w:r w:rsidRPr="0074526B">
              <w:rPr>
                <w:rFonts w:ascii="Calibri" w:hAnsi="Calibri" w:cs="Calibri"/>
                <w:sz w:val="24"/>
                <w:szCs w:val="24"/>
              </w:rPr>
              <w:br w:type="page"/>
            </w:r>
            <w:r w:rsidR="00D04C95" w:rsidRPr="0074526B">
              <w:rPr>
                <w:rFonts w:ascii="Calibri" w:hAnsi="Calibri" w:cs="Calibri"/>
                <w:sz w:val="24"/>
                <w:szCs w:val="24"/>
              </w:rPr>
              <w:t>Column</w:t>
            </w:r>
            <w:r w:rsidR="005B006C" w:rsidRPr="0074526B">
              <w:rPr>
                <w:rFonts w:ascii="Calibri" w:hAnsi="Calibri" w:cs="Calibri"/>
                <w:sz w:val="24"/>
                <w:szCs w:val="24"/>
              </w:rPr>
              <w:t xml:space="preserve"> Reference</w:t>
            </w:r>
          </w:p>
        </w:tc>
        <w:tc>
          <w:tcPr>
            <w:tcW w:w="0" w:type="auto"/>
          </w:tcPr>
          <w:p w14:paraId="44BEE58A" w14:textId="55D45AD7" w:rsidR="00345AEF" w:rsidRPr="00954233" w:rsidRDefault="00106008">
            <w:pPr>
              <w:pStyle w:val="TableParagraph"/>
              <w:rPr>
                <w:rFonts w:ascii="Calibri" w:hAnsi="Calibri" w:cs="Calibri"/>
                <w:sz w:val="24"/>
                <w:szCs w:val="24"/>
              </w:rPr>
            </w:pPr>
            <w:r w:rsidRPr="0074526B">
              <w:rPr>
                <w:rFonts w:ascii="Calibri" w:hAnsi="Calibri" w:cs="Calibri"/>
                <w:sz w:val="24"/>
                <w:szCs w:val="24"/>
              </w:rPr>
              <w:t xml:space="preserve">Column </w:t>
            </w:r>
            <w:r w:rsidR="00345AEF" w:rsidRPr="0074526B">
              <w:rPr>
                <w:rFonts w:ascii="Calibri" w:hAnsi="Calibri" w:cs="Calibri"/>
                <w:sz w:val="24"/>
                <w:szCs w:val="24"/>
              </w:rPr>
              <w:t>Title</w:t>
            </w:r>
          </w:p>
        </w:tc>
        <w:tc>
          <w:tcPr>
            <w:tcW w:w="0" w:type="auto"/>
          </w:tcPr>
          <w:p w14:paraId="6A78B6CC" w14:textId="77777777" w:rsidR="00345AEF" w:rsidRPr="00954233" w:rsidRDefault="00345AEF">
            <w:pPr>
              <w:pStyle w:val="TableParagraph"/>
              <w:rPr>
                <w:rFonts w:ascii="Calibri" w:hAnsi="Calibri" w:cs="Calibri"/>
                <w:sz w:val="24"/>
                <w:szCs w:val="24"/>
              </w:rPr>
            </w:pPr>
            <w:r w:rsidRPr="0074526B">
              <w:rPr>
                <w:rFonts w:ascii="Calibri" w:hAnsi="Calibri" w:cs="Calibri"/>
                <w:sz w:val="24"/>
                <w:szCs w:val="24"/>
              </w:rPr>
              <w:t>Definition</w:t>
            </w:r>
          </w:p>
        </w:tc>
        <w:tc>
          <w:tcPr>
            <w:tcW w:w="0" w:type="auto"/>
          </w:tcPr>
          <w:p w14:paraId="34099DE1" w14:textId="77777777" w:rsidR="00345AEF" w:rsidRPr="00954233" w:rsidRDefault="00345AEF">
            <w:pPr>
              <w:pStyle w:val="TableParagraph"/>
              <w:rPr>
                <w:rFonts w:ascii="Calibri" w:hAnsi="Calibri" w:cs="Calibri"/>
                <w:sz w:val="24"/>
                <w:szCs w:val="24"/>
              </w:rPr>
            </w:pPr>
            <w:r w:rsidRPr="0074526B">
              <w:rPr>
                <w:rFonts w:ascii="Calibri" w:hAnsi="Calibri" w:cs="Calibri"/>
                <w:sz w:val="24"/>
                <w:szCs w:val="24"/>
              </w:rPr>
              <w:t xml:space="preserve">Unit </w:t>
            </w:r>
          </w:p>
        </w:tc>
        <w:tc>
          <w:tcPr>
            <w:tcW w:w="0" w:type="auto"/>
          </w:tcPr>
          <w:p w14:paraId="6FFA9E8C" w14:textId="77777777" w:rsidR="00345AEF" w:rsidRPr="00954233" w:rsidRDefault="00345AEF">
            <w:pPr>
              <w:pStyle w:val="TableParagraph"/>
              <w:rPr>
                <w:rFonts w:ascii="Calibri" w:hAnsi="Calibri" w:cs="Calibri"/>
                <w:sz w:val="24"/>
                <w:szCs w:val="24"/>
              </w:rPr>
            </w:pPr>
            <w:r w:rsidRPr="0074526B">
              <w:rPr>
                <w:rFonts w:ascii="Calibri" w:hAnsi="Calibri" w:cs="Calibri"/>
                <w:sz w:val="24"/>
                <w:szCs w:val="24"/>
              </w:rPr>
              <w:t>Reference</w:t>
            </w:r>
          </w:p>
        </w:tc>
      </w:tr>
      <w:tr w:rsidR="005F15AC" w:rsidRPr="00361CC1" w14:paraId="2E5B977A" w14:textId="77777777" w:rsidTr="00D04C95">
        <w:tc>
          <w:tcPr>
            <w:tcW w:w="0" w:type="auto"/>
            <w:gridSpan w:val="5"/>
            <w:shd w:val="clear" w:color="auto" w:fill="D9D9D9" w:themeFill="background1" w:themeFillShade="D9"/>
          </w:tcPr>
          <w:p w14:paraId="61485116" w14:textId="5451B32F" w:rsidR="005F15AC" w:rsidRPr="001E7F79" w:rsidRDefault="00EF4B1D">
            <w:pPr>
              <w:pStyle w:val="TableParagraph"/>
              <w:rPr>
                <w:rFonts w:cstheme="minorHAnsi"/>
                <w:sz w:val="24"/>
                <w:szCs w:val="24"/>
              </w:rPr>
            </w:pPr>
            <w:r>
              <w:rPr>
                <w:rFonts w:cstheme="minorHAnsi"/>
                <w:b/>
                <w:bCs/>
                <w:sz w:val="24"/>
                <w:szCs w:val="24"/>
              </w:rPr>
              <w:t xml:space="preserve">Block K: </w:t>
            </w:r>
            <w:r w:rsidR="005F15AC" w:rsidRPr="00500636">
              <w:rPr>
                <w:rFonts w:cstheme="minorHAnsi"/>
                <w:b/>
                <w:bCs/>
                <w:sz w:val="24"/>
                <w:szCs w:val="24"/>
              </w:rPr>
              <w:t>Phosphorus Removal Project</w:t>
            </w:r>
          </w:p>
        </w:tc>
      </w:tr>
      <w:tr w:rsidR="00CD275D" w:rsidRPr="00361CC1" w14:paraId="6DC0F89F" w14:textId="77777777" w:rsidTr="00D04C95">
        <w:tc>
          <w:tcPr>
            <w:tcW w:w="0" w:type="auto"/>
          </w:tcPr>
          <w:p w14:paraId="0ACEFF09" w14:textId="770FC75E" w:rsidR="00345AEF" w:rsidRPr="007A753C" w:rsidRDefault="00065091">
            <w:pPr>
              <w:pStyle w:val="TableParagraph"/>
              <w:rPr>
                <w:rFonts w:cstheme="minorHAnsi"/>
                <w:sz w:val="24"/>
                <w:szCs w:val="24"/>
              </w:rPr>
            </w:pPr>
            <w:r>
              <w:rPr>
                <w:rFonts w:cstheme="minorHAnsi"/>
                <w:sz w:val="24"/>
                <w:szCs w:val="24"/>
              </w:rPr>
              <w:t>1</w:t>
            </w:r>
            <w:r w:rsidR="00061F9E">
              <w:rPr>
                <w:rFonts w:cstheme="minorHAnsi"/>
                <w:sz w:val="24"/>
                <w:szCs w:val="24"/>
              </w:rPr>
              <w:t>19</w:t>
            </w:r>
          </w:p>
        </w:tc>
        <w:tc>
          <w:tcPr>
            <w:tcW w:w="0" w:type="auto"/>
          </w:tcPr>
          <w:p w14:paraId="421ABC55" w14:textId="3360566A" w:rsidR="00345AEF" w:rsidRPr="007A753C" w:rsidRDefault="00131090">
            <w:pPr>
              <w:pStyle w:val="TableParagraph"/>
              <w:rPr>
                <w:rFonts w:cstheme="minorHAnsi"/>
                <w:sz w:val="24"/>
                <w:szCs w:val="24"/>
              </w:rPr>
            </w:pPr>
            <w:r w:rsidRPr="00131090">
              <w:rPr>
                <w:rFonts w:cstheme="minorHAnsi"/>
                <w:sz w:val="24"/>
                <w:szCs w:val="24"/>
              </w:rPr>
              <w:t>Is this a phosphorus removal project?</w:t>
            </w:r>
            <w:r w:rsidR="0023734C" w:rsidRPr="007A753C">
              <w:rPr>
                <w:rFonts w:cstheme="minorHAnsi"/>
                <w:sz w:val="24"/>
                <w:szCs w:val="24"/>
              </w:rPr>
              <w:tab/>
            </w:r>
          </w:p>
        </w:tc>
        <w:tc>
          <w:tcPr>
            <w:tcW w:w="0" w:type="auto"/>
          </w:tcPr>
          <w:p w14:paraId="55EAC4BF" w14:textId="462AD8FD" w:rsidR="00CD275D" w:rsidRDefault="00E54790" w:rsidP="001D080C">
            <w:pPr>
              <w:pStyle w:val="TableParagraph"/>
              <w:spacing w:after="60"/>
              <w:rPr>
                <w:rFonts w:cstheme="minorHAnsi"/>
                <w:sz w:val="24"/>
                <w:szCs w:val="24"/>
              </w:rPr>
            </w:pPr>
            <w:r>
              <w:rPr>
                <w:rFonts w:ascii="Calibri" w:hAnsi="Calibri" w:cs="Calibri"/>
                <w:sz w:val="24"/>
                <w:szCs w:val="24"/>
              </w:rPr>
              <w:t>Drop-down menu. Options: Yes, No.</w:t>
            </w:r>
            <w:r w:rsidR="00051E02" w:rsidRPr="007A753C">
              <w:rPr>
                <w:rFonts w:cstheme="minorHAnsi"/>
                <w:sz w:val="24"/>
                <w:szCs w:val="24"/>
              </w:rPr>
              <w:t xml:space="preserve"> </w:t>
            </w:r>
          </w:p>
          <w:p w14:paraId="16B7EE56" w14:textId="11DFDE54" w:rsidR="00CD275D" w:rsidRPr="007A753C" w:rsidRDefault="003A546E" w:rsidP="001D080C">
            <w:pPr>
              <w:pStyle w:val="TableParagraph"/>
              <w:spacing w:after="60"/>
              <w:rPr>
                <w:rFonts w:cstheme="minorHAnsi"/>
                <w:sz w:val="24"/>
                <w:szCs w:val="24"/>
              </w:rPr>
            </w:pPr>
            <w:r w:rsidRPr="007A753C">
              <w:rPr>
                <w:rFonts w:cstheme="minorHAnsi"/>
                <w:sz w:val="24"/>
                <w:szCs w:val="24"/>
              </w:rPr>
              <w:t xml:space="preserve">These are projects associated with </w:t>
            </w:r>
            <w:r w:rsidR="00396A67">
              <w:rPr>
                <w:rFonts w:cstheme="minorHAnsi"/>
                <w:sz w:val="24"/>
                <w:szCs w:val="24"/>
              </w:rPr>
              <w:t xml:space="preserve">expenditures to remove phosphorus </w:t>
            </w:r>
            <w:r w:rsidR="00D91BE0" w:rsidRPr="007A753C">
              <w:rPr>
                <w:rFonts w:cstheme="minorHAnsi"/>
                <w:sz w:val="24"/>
                <w:szCs w:val="24"/>
              </w:rPr>
              <w:t xml:space="preserve">to </w:t>
            </w:r>
            <w:r w:rsidR="002A5EE9" w:rsidRPr="007A753C">
              <w:rPr>
                <w:rFonts w:cstheme="minorHAnsi"/>
                <w:sz w:val="24"/>
                <w:szCs w:val="24"/>
              </w:rPr>
              <w:t xml:space="preserve">meet </w:t>
            </w:r>
            <w:r w:rsidR="00333810" w:rsidRPr="007A753C">
              <w:rPr>
                <w:rFonts w:cstheme="minorHAnsi"/>
                <w:sz w:val="24"/>
                <w:szCs w:val="24"/>
              </w:rPr>
              <w:t>tighter consent levels</w:t>
            </w:r>
            <w:r w:rsidR="00CD65E4" w:rsidRPr="007A753C">
              <w:rPr>
                <w:rFonts w:cstheme="minorHAnsi"/>
                <w:sz w:val="24"/>
                <w:szCs w:val="24"/>
              </w:rPr>
              <w:t xml:space="preserve"> driven by</w:t>
            </w:r>
            <w:r w:rsidR="003F0AD7" w:rsidRPr="007A39DC">
              <w:t xml:space="preserve"> </w:t>
            </w:r>
            <w:r w:rsidR="003F0AD7" w:rsidRPr="007A753C">
              <w:rPr>
                <w:rFonts w:cstheme="minorHAnsi"/>
                <w:sz w:val="24"/>
                <w:szCs w:val="24"/>
              </w:rPr>
              <w:t>the Urban Wastewater Treatment Directive (UWWTD) and the Water Framework Directive (WFD)</w:t>
            </w:r>
            <w:r w:rsidR="007A39DC" w:rsidRPr="007A753C">
              <w:rPr>
                <w:rFonts w:cstheme="minorHAnsi"/>
                <w:sz w:val="24"/>
                <w:szCs w:val="24"/>
              </w:rPr>
              <w:t>.</w:t>
            </w:r>
          </w:p>
        </w:tc>
        <w:tc>
          <w:tcPr>
            <w:tcW w:w="0" w:type="auto"/>
          </w:tcPr>
          <w:p w14:paraId="293F0A79" w14:textId="646F33B5" w:rsidR="00345AEF" w:rsidRPr="001F6B65" w:rsidRDefault="00E54790">
            <w:pPr>
              <w:pStyle w:val="TableParagraph"/>
              <w:rPr>
                <w:rFonts w:cstheme="minorHAnsi"/>
                <w:sz w:val="24"/>
                <w:szCs w:val="24"/>
              </w:rPr>
            </w:pPr>
            <w:r>
              <w:rPr>
                <w:rFonts w:cstheme="minorHAnsi"/>
                <w:sz w:val="24"/>
                <w:szCs w:val="24"/>
              </w:rPr>
              <w:t>N/A</w:t>
            </w:r>
          </w:p>
        </w:tc>
        <w:tc>
          <w:tcPr>
            <w:tcW w:w="0" w:type="auto"/>
          </w:tcPr>
          <w:p w14:paraId="72818465" w14:textId="77777777" w:rsidR="00345AEF" w:rsidRPr="001F6B65" w:rsidRDefault="00345AEF">
            <w:pPr>
              <w:pStyle w:val="TableParagraph"/>
              <w:rPr>
                <w:rFonts w:cstheme="minorHAnsi"/>
                <w:sz w:val="24"/>
                <w:szCs w:val="24"/>
              </w:rPr>
            </w:pPr>
          </w:p>
        </w:tc>
      </w:tr>
      <w:tr w:rsidR="00CD275D" w:rsidRPr="00361CC1" w14:paraId="15D449CC" w14:textId="77777777" w:rsidTr="00D04C95">
        <w:tc>
          <w:tcPr>
            <w:tcW w:w="0" w:type="auto"/>
          </w:tcPr>
          <w:p w14:paraId="1F0ED530" w14:textId="250C1EA6" w:rsidR="00345AEF" w:rsidRPr="001F6B65" w:rsidRDefault="009B6CE7">
            <w:pPr>
              <w:pStyle w:val="TableParagraph"/>
              <w:rPr>
                <w:rFonts w:cstheme="minorHAnsi"/>
                <w:sz w:val="24"/>
                <w:szCs w:val="24"/>
              </w:rPr>
            </w:pPr>
            <w:r>
              <w:rPr>
                <w:rFonts w:cstheme="minorHAnsi"/>
                <w:sz w:val="24"/>
                <w:szCs w:val="24"/>
              </w:rPr>
              <w:t>1</w:t>
            </w:r>
            <w:r w:rsidR="00E116E0">
              <w:rPr>
                <w:rFonts w:cstheme="minorHAnsi"/>
                <w:sz w:val="24"/>
                <w:szCs w:val="24"/>
              </w:rPr>
              <w:t>2</w:t>
            </w:r>
            <w:r w:rsidR="00061F9E">
              <w:rPr>
                <w:rFonts w:cstheme="minorHAnsi"/>
                <w:sz w:val="24"/>
                <w:szCs w:val="24"/>
              </w:rPr>
              <w:t>0</w:t>
            </w:r>
          </w:p>
        </w:tc>
        <w:tc>
          <w:tcPr>
            <w:tcW w:w="0" w:type="auto"/>
          </w:tcPr>
          <w:p w14:paraId="2E0CFBAD" w14:textId="4BDB6CF6" w:rsidR="00345AEF" w:rsidRPr="001F6B65" w:rsidRDefault="0023734C">
            <w:pPr>
              <w:pStyle w:val="TableParagraph"/>
              <w:rPr>
                <w:rFonts w:cstheme="minorHAnsi"/>
                <w:sz w:val="24"/>
                <w:szCs w:val="24"/>
              </w:rPr>
            </w:pPr>
            <w:r w:rsidRPr="001F6B65">
              <w:rPr>
                <w:rFonts w:cstheme="minorHAnsi"/>
                <w:sz w:val="24"/>
                <w:szCs w:val="24"/>
              </w:rPr>
              <w:t xml:space="preserve">Population </w:t>
            </w:r>
            <w:r w:rsidR="00131090">
              <w:rPr>
                <w:rFonts w:cstheme="minorHAnsi"/>
                <w:sz w:val="24"/>
                <w:szCs w:val="24"/>
              </w:rPr>
              <w:t>e</w:t>
            </w:r>
            <w:r w:rsidRPr="001F6B65">
              <w:rPr>
                <w:rFonts w:cstheme="minorHAnsi"/>
                <w:sz w:val="24"/>
                <w:szCs w:val="24"/>
              </w:rPr>
              <w:t>quivalent</w:t>
            </w:r>
          </w:p>
        </w:tc>
        <w:tc>
          <w:tcPr>
            <w:tcW w:w="0" w:type="auto"/>
          </w:tcPr>
          <w:p w14:paraId="474B10FE" w14:textId="5D007B81" w:rsidR="00345AEF" w:rsidRDefault="00272C21" w:rsidP="001D080C">
            <w:pPr>
              <w:spacing w:after="60" w:line="240" w:lineRule="auto"/>
              <w:jc w:val="left"/>
              <w:rPr>
                <w:rFonts w:cstheme="minorHAnsi"/>
                <w:szCs w:val="24"/>
              </w:rPr>
            </w:pPr>
            <w:r w:rsidRPr="00BA4664">
              <w:rPr>
                <w:rFonts w:cstheme="minorHAnsi"/>
                <w:szCs w:val="24"/>
              </w:rPr>
              <w:t xml:space="preserve">Population equivalent served at </w:t>
            </w:r>
            <w:r w:rsidR="002204FC">
              <w:rPr>
                <w:rFonts w:cstheme="minorHAnsi"/>
                <w:szCs w:val="24"/>
              </w:rPr>
              <w:t>WW</w:t>
            </w:r>
            <w:r w:rsidRPr="00BA4664">
              <w:rPr>
                <w:rFonts w:cstheme="minorHAnsi"/>
                <w:szCs w:val="24"/>
              </w:rPr>
              <w:t xml:space="preserve">TWs </w:t>
            </w:r>
            <w:r w:rsidR="00396A67">
              <w:rPr>
                <w:rFonts w:cstheme="minorHAnsi"/>
                <w:szCs w:val="24"/>
              </w:rPr>
              <w:t>with</w:t>
            </w:r>
            <w:r w:rsidR="002529E5" w:rsidRPr="00BA4664">
              <w:rPr>
                <w:rFonts w:cstheme="minorHAnsi"/>
                <w:szCs w:val="24"/>
              </w:rPr>
              <w:t xml:space="preserve"> </w:t>
            </w:r>
            <w:r w:rsidR="00EE7A86">
              <w:rPr>
                <w:rFonts w:cstheme="minorHAnsi"/>
                <w:szCs w:val="24"/>
              </w:rPr>
              <w:t xml:space="preserve">an </w:t>
            </w:r>
            <w:r w:rsidR="00C1077B">
              <w:rPr>
                <w:rFonts w:cstheme="minorHAnsi"/>
                <w:szCs w:val="24"/>
              </w:rPr>
              <w:t xml:space="preserve">agreed </w:t>
            </w:r>
            <w:r w:rsidR="0032706A">
              <w:rPr>
                <w:rFonts w:cstheme="minorHAnsi"/>
                <w:szCs w:val="24"/>
              </w:rPr>
              <w:t>p</w:t>
            </w:r>
            <w:r w:rsidR="002529E5" w:rsidRPr="00BA4664">
              <w:rPr>
                <w:rFonts w:cstheme="minorHAnsi"/>
                <w:szCs w:val="24"/>
              </w:rPr>
              <w:t xml:space="preserve">hosphorus removal </w:t>
            </w:r>
            <w:r w:rsidR="00BA4664" w:rsidRPr="00BA4664">
              <w:rPr>
                <w:rFonts w:cstheme="minorHAnsi"/>
                <w:szCs w:val="24"/>
              </w:rPr>
              <w:t>project.</w:t>
            </w:r>
          </w:p>
          <w:p w14:paraId="63F22932" w14:textId="768EDC5A" w:rsidR="00345AEF" w:rsidRPr="001F6B65" w:rsidRDefault="009B6CE7" w:rsidP="001D080C">
            <w:pPr>
              <w:spacing w:after="60" w:line="240" w:lineRule="auto"/>
              <w:jc w:val="left"/>
              <w:rPr>
                <w:rFonts w:cstheme="minorHAnsi"/>
                <w:szCs w:val="24"/>
              </w:rPr>
            </w:pPr>
            <w:r>
              <w:rPr>
                <w:rFonts w:cstheme="minorHAnsi"/>
                <w:szCs w:val="24"/>
              </w:rPr>
              <w:t xml:space="preserve">Scottish Water should </w:t>
            </w:r>
            <w:r w:rsidR="00A712FA">
              <w:rPr>
                <w:rFonts w:cstheme="minorHAnsi"/>
                <w:szCs w:val="24"/>
              </w:rPr>
              <w:t>complete</w:t>
            </w:r>
            <w:r>
              <w:rPr>
                <w:rFonts w:cstheme="minorHAnsi"/>
                <w:szCs w:val="24"/>
              </w:rPr>
              <w:t xml:space="preserve"> this column only if the input in column </w:t>
            </w:r>
            <w:r w:rsidR="00400B85">
              <w:rPr>
                <w:rFonts w:cstheme="minorHAnsi"/>
                <w:szCs w:val="24"/>
              </w:rPr>
              <w:t>119</w:t>
            </w:r>
            <w:r>
              <w:rPr>
                <w:rFonts w:cstheme="minorHAnsi"/>
                <w:szCs w:val="24"/>
              </w:rPr>
              <w:t xml:space="preserve"> is “Yes”.</w:t>
            </w:r>
          </w:p>
        </w:tc>
        <w:tc>
          <w:tcPr>
            <w:tcW w:w="0" w:type="auto"/>
          </w:tcPr>
          <w:p w14:paraId="5C235D25" w14:textId="3F5D5928" w:rsidR="00345AEF" w:rsidRPr="001F6B65" w:rsidRDefault="00B05607">
            <w:pPr>
              <w:pStyle w:val="TableParagraph"/>
              <w:rPr>
                <w:rFonts w:cstheme="minorHAnsi"/>
                <w:sz w:val="24"/>
                <w:szCs w:val="24"/>
              </w:rPr>
            </w:pPr>
            <w:r w:rsidRPr="001F6B65">
              <w:rPr>
                <w:rFonts w:cstheme="minorHAnsi"/>
                <w:sz w:val="24"/>
                <w:szCs w:val="24"/>
              </w:rPr>
              <w:t>N</w:t>
            </w:r>
            <w:r w:rsidR="006F65AF">
              <w:rPr>
                <w:rFonts w:cstheme="minorHAnsi"/>
                <w:sz w:val="24"/>
                <w:szCs w:val="24"/>
              </w:rPr>
              <w:t>umber</w:t>
            </w:r>
          </w:p>
        </w:tc>
        <w:tc>
          <w:tcPr>
            <w:tcW w:w="0" w:type="auto"/>
          </w:tcPr>
          <w:p w14:paraId="23B74100" w14:textId="21195A23" w:rsidR="00345AEF" w:rsidRPr="00902D37"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902D37">
              <w:rPr>
                <w:rFonts w:cstheme="minorHAnsi"/>
                <w:color w:val="000000"/>
                <w:szCs w:val="24"/>
              </w:rPr>
              <w:t>PCDWW10</w:t>
            </w:r>
          </w:p>
          <w:p w14:paraId="1901A7C9" w14:textId="77777777" w:rsidR="00AE7C23" w:rsidRDefault="00AE7C23" w:rsidP="00D46F43">
            <w:pPr>
              <w:spacing w:line="240" w:lineRule="auto"/>
              <w:jc w:val="left"/>
              <w:rPr>
                <w:rFonts w:cstheme="minorHAnsi"/>
                <w:szCs w:val="24"/>
              </w:rPr>
            </w:pPr>
          </w:p>
          <w:p w14:paraId="5ACD6CD0" w14:textId="5EDF75FA" w:rsidR="00345AEF" w:rsidRPr="00902D37" w:rsidRDefault="00A36E81" w:rsidP="00D46F43">
            <w:pPr>
              <w:spacing w:line="240" w:lineRule="auto"/>
              <w:jc w:val="left"/>
              <w:rPr>
                <w:rFonts w:cstheme="minorHAnsi"/>
                <w:color w:val="000000"/>
                <w:szCs w:val="24"/>
              </w:rPr>
            </w:pPr>
            <w:r w:rsidRPr="00902D37">
              <w:rPr>
                <w:rFonts w:cstheme="minorHAnsi"/>
                <w:szCs w:val="24"/>
              </w:rPr>
              <w:t>PR24 DD PCD appendix 4.3.2</w:t>
            </w:r>
          </w:p>
        </w:tc>
      </w:tr>
      <w:tr w:rsidR="00CD275D" w:rsidRPr="00361CC1" w14:paraId="6765D3C5" w14:textId="77777777" w:rsidTr="00D04C95">
        <w:tc>
          <w:tcPr>
            <w:tcW w:w="0" w:type="auto"/>
          </w:tcPr>
          <w:p w14:paraId="0C1FCF9C" w14:textId="1207112C" w:rsidR="00345AEF" w:rsidRPr="00902D37" w:rsidRDefault="009B6CE7">
            <w:pPr>
              <w:pStyle w:val="TableParagraph"/>
              <w:rPr>
                <w:rFonts w:cstheme="minorHAnsi"/>
                <w:sz w:val="24"/>
                <w:szCs w:val="24"/>
              </w:rPr>
            </w:pPr>
            <w:r>
              <w:rPr>
                <w:rFonts w:cstheme="minorHAnsi"/>
                <w:sz w:val="24"/>
                <w:szCs w:val="24"/>
              </w:rPr>
              <w:lastRenderedPageBreak/>
              <w:t>1</w:t>
            </w:r>
            <w:r w:rsidR="00E116E0">
              <w:rPr>
                <w:rFonts w:cstheme="minorHAnsi"/>
                <w:sz w:val="24"/>
                <w:szCs w:val="24"/>
              </w:rPr>
              <w:t>2</w:t>
            </w:r>
            <w:r w:rsidR="00061F9E">
              <w:rPr>
                <w:rFonts w:cstheme="minorHAnsi"/>
                <w:sz w:val="24"/>
                <w:szCs w:val="24"/>
              </w:rPr>
              <w:t>1</w:t>
            </w:r>
          </w:p>
        </w:tc>
        <w:tc>
          <w:tcPr>
            <w:tcW w:w="0" w:type="auto"/>
          </w:tcPr>
          <w:p w14:paraId="43B31152" w14:textId="2796DDE5" w:rsidR="00345AEF" w:rsidRPr="00902D37" w:rsidRDefault="0023734C">
            <w:pPr>
              <w:pStyle w:val="TableParagraph"/>
              <w:rPr>
                <w:rFonts w:cstheme="minorHAnsi"/>
                <w:sz w:val="24"/>
                <w:szCs w:val="24"/>
              </w:rPr>
            </w:pPr>
            <w:r w:rsidRPr="00902D37">
              <w:rPr>
                <w:rFonts w:cstheme="minorHAnsi"/>
                <w:sz w:val="24"/>
                <w:szCs w:val="24"/>
              </w:rPr>
              <w:t>Historical consent</w:t>
            </w:r>
          </w:p>
        </w:tc>
        <w:tc>
          <w:tcPr>
            <w:tcW w:w="0" w:type="auto"/>
          </w:tcPr>
          <w:p w14:paraId="760E2E51" w14:textId="77777777" w:rsidR="009B6CE7" w:rsidRDefault="008447BD" w:rsidP="001D080C">
            <w:pPr>
              <w:pStyle w:val="TableParagraph"/>
              <w:spacing w:after="60"/>
              <w:rPr>
                <w:rFonts w:cstheme="minorHAnsi"/>
                <w:sz w:val="24"/>
                <w:szCs w:val="24"/>
              </w:rPr>
            </w:pPr>
            <w:r w:rsidRPr="00902D37">
              <w:rPr>
                <w:rFonts w:cstheme="minorHAnsi"/>
                <w:sz w:val="24"/>
                <w:szCs w:val="24"/>
              </w:rPr>
              <w:t>The consent level on the historical phosphorus permit</w:t>
            </w:r>
            <w:r w:rsidR="009B6CE7">
              <w:rPr>
                <w:rFonts w:cstheme="minorHAnsi"/>
                <w:sz w:val="24"/>
                <w:szCs w:val="24"/>
              </w:rPr>
              <w:t>.</w:t>
            </w:r>
          </w:p>
          <w:p w14:paraId="3AA36AE2" w14:textId="342A8C78" w:rsidR="00345AEF" w:rsidRPr="00902D37" w:rsidRDefault="009B6CE7" w:rsidP="001D080C">
            <w:pPr>
              <w:pStyle w:val="TableParagraph"/>
              <w:spacing w:after="60"/>
              <w:rPr>
                <w:rFonts w:cstheme="minorHAnsi"/>
                <w:sz w:val="24"/>
                <w:szCs w:val="24"/>
              </w:rPr>
            </w:pPr>
            <w:r w:rsidRPr="009B6CE7">
              <w:rPr>
                <w:rFonts w:cstheme="minorHAnsi"/>
                <w:sz w:val="24"/>
                <w:szCs w:val="24"/>
              </w:rPr>
              <w:t xml:space="preserve">Scottish Water should </w:t>
            </w:r>
            <w:r w:rsidR="00A712FA">
              <w:rPr>
                <w:rFonts w:cstheme="minorHAnsi"/>
                <w:sz w:val="24"/>
                <w:szCs w:val="24"/>
              </w:rPr>
              <w:t>complete</w:t>
            </w:r>
            <w:r w:rsidRPr="009B6CE7">
              <w:rPr>
                <w:rFonts w:cstheme="minorHAnsi"/>
                <w:sz w:val="24"/>
                <w:szCs w:val="24"/>
              </w:rPr>
              <w:t xml:space="preserve"> this column only if the input in column </w:t>
            </w:r>
            <w:r w:rsidR="00400B85">
              <w:rPr>
                <w:rFonts w:cstheme="minorHAnsi"/>
                <w:sz w:val="24"/>
                <w:szCs w:val="24"/>
              </w:rPr>
              <w:t>119</w:t>
            </w:r>
            <w:r w:rsidRPr="009B6CE7">
              <w:rPr>
                <w:rFonts w:cstheme="minorHAnsi"/>
                <w:sz w:val="24"/>
                <w:szCs w:val="24"/>
              </w:rPr>
              <w:t xml:space="preserve"> is “Yes”.</w:t>
            </w:r>
          </w:p>
        </w:tc>
        <w:tc>
          <w:tcPr>
            <w:tcW w:w="0" w:type="auto"/>
          </w:tcPr>
          <w:p w14:paraId="2A482C9B" w14:textId="29CC16C2" w:rsidR="00345AEF" w:rsidRPr="00902D37" w:rsidRDefault="009A0D3F">
            <w:pPr>
              <w:pStyle w:val="TableParagraph"/>
              <w:rPr>
                <w:rFonts w:cstheme="minorHAnsi"/>
                <w:sz w:val="24"/>
                <w:szCs w:val="24"/>
              </w:rPr>
            </w:pPr>
            <w:r w:rsidRPr="00902D37">
              <w:rPr>
                <w:rFonts w:cstheme="minorHAnsi"/>
                <w:sz w:val="24"/>
                <w:szCs w:val="24"/>
              </w:rPr>
              <w:t>m</w:t>
            </w:r>
            <w:r w:rsidR="00347208" w:rsidRPr="00902D37">
              <w:rPr>
                <w:rFonts w:cstheme="minorHAnsi"/>
                <w:sz w:val="24"/>
                <w:szCs w:val="24"/>
              </w:rPr>
              <w:t>g/l</w:t>
            </w:r>
          </w:p>
        </w:tc>
        <w:tc>
          <w:tcPr>
            <w:tcW w:w="0" w:type="auto"/>
          </w:tcPr>
          <w:p w14:paraId="398B6DAD" w14:textId="75AD4794" w:rsidR="004D6BAE" w:rsidRPr="00902D37"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902D37">
              <w:rPr>
                <w:rFonts w:cstheme="minorHAnsi"/>
                <w:color w:val="000000"/>
                <w:szCs w:val="24"/>
              </w:rPr>
              <w:t>PCDWW10</w:t>
            </w:r>
          </w:p>
          <w:p w14:paraId="17B96724" w14:textId="77777777" w:rsidR="00AE7C23" w:rsidRDefault="00AE7C23" w:rsidP="00D46F43">
            <w:pPr>
              <w:spacing w:line="240" w:lineRule="auto"/>
              <w:jc w:val="left"/>
              <w:rPr>
                <w:rFonts w:cstheme="minorHAnsi"/>
                <w:szCs w:val="24"/>
              </w:rPr>
            </w:pPr>
          </w:p>
          <w:p w14:paraId="596DE137" w14:textId="63CDFE10" w:rsidR="00345AEF" w:rsidRPr="00395DB5" w:rsidRDefault="00A36E81" w:rsidP="00D46F43">
            <w:pPr>
              <w:spacing w:line="240" w:lineRule="auto"/>
              <w:jc w:val="left"/>
              <w:rPr>
                <w:rFonts w:cstheme="minorHAnsi"/>
                <w:color w:val="000000"/>
                <w:szCs w:val="24"/>
              </w:rPr>
            </w:pPr>
            <w:r w:rsidRPr="00395DB5">
              <w:rPr>
                <w:rFonts w:cstheme="minorHAnsi"/>
                <w:szCs w:val="24"/>
              </w:rPr>
              <w:t>PR24 DD PCD appendix 4.3.2</w:t>
            </w:r>
          </w:p>
        </w:tc>
      </w:tr>
      <w:tr w:rsidR="00CD275D" w:rsidRPr="00361CC1" w14:paraId="2FAEB949" w14:textId="77777777" w:rsidTr="00D04C95">
        <w:tc>
          <w:tcPr>
            <w:tcW w:w="0" w:type="auto"/>
          </w:tcPr>
          <w:p w14:paraId="487A0FC5" w14:textId="5796B054" w:rsidR="00345AEF" w:rsidRPr="00395DB5" w:rsidRDefault="009B6CE7">
            <w:pPr>
              <w:pStyle w:val="TableParagraph"/>
              <w:rPr>
                <w:rFonts w:cstheme="minorHAnsi"/>
                <w:sz w:val="24"/>
                <w:szCs w:val="24"/>
              </w:rPr>
            </w:pPr>
            <w:r>
              <w:rPr>
                <w:rFonts w:cstheme="minorHAnsi"/>
                <w:sz w:val="24"/>
                <w:szCs w:val="24"/>
              </w:rPr>
              <w:t>12</w:t>
            </w:r>
            <w:r w:rsidR="00061F9E">
              <w:rPr>
                <w:rFonts w:cstheme="minorHAnsi"/>
                <w:sz w:val="24"/>
                <w:szCs w:val="24"/>
              </w:rPr>
              <w:t>2</w:t>
            </w:r>
          </w:p>
        </w:tc>
        <w:tc>
          <w:tcPr>
            <w:tcW w:w="0" w:type="auto"/>
          </w:tcPr>
          <w:p w14:paraId="0DBBE54A" w14:textId="1A2DD12E" w:rsidR="00345AEF" w:rsidRPr="00395DB5" w:rsidRDefault="0023734C">
            <w:pPr>
              <w:pStyle w:val="TableParagraph"/>
              <w:rPr>
                <w:rFonts w:cstheme="minorHAnsi"/>
                <w:sz w:val="24"/>
                <w:szCs w:val="24"/>
              </w:rPr>
            </w:pPr>
            <w:r w:rsidRPr="00395DB5">
              <w:rPr>
                <w:rFonts w:cstheme="minorHAnsi"/>
                <w:sz w:val="24"/>
                <w:szCs w:val="24"/>
              </w:rPr>
              <w:t>Enhanced consent</w:t>
            </w:r>
          </w:p>
        </w:tc>
        <w:tc>
          <w:tcPr>
            <w:tcW w:w="0" w:type="auto"/>
          </w:tcPr>
          <w:p w14:paraId="1C639275" w14:textId="77777777" w:rsidR="00345AEF" w:rsidRDefault="008A529D" w:rsidP="001D080C">
            <w:pPr>
              <w:pStyle w:val="TableParagraph"/>
              <w:spacing w:after="60"/>
              <w:rPr>
                <w:rFonts w:cstheme="minorHAnsi"/>
                <w:sz w:val="24"/>
                <w:szCs w:val="24"/>
              </w:rPr>
            </w:pPr>
            <w:r w:rsidRPr="00395DB5">
              <w:rPr>
                <w:rFonts w:cstheme="minorHAnsi"/>
                <w:sz w:val="24"/>
                <w:szCs w:val="24"/>
              </w:rPr>
              <w:t xml:space="preserve">Tighter level of </w:t>
            </w:r>
            <w:r w:rsidR="00FE7E52" w:rsidRPr="00395DB5">
              <w:rPr>
                <w:rFonts w:cstheme="minorHAnsi"/>
                <w:sz w:val="24"/>
                <w:szCs w:val="24"/>
              </w:rPr>
              <w:t xml:space="preserve">phosphorous consents </w:t>
            </w:r>
            <w:r w:rsidR="008447BD" w:rsidRPr="00395DB5">
              <w:rPr>
                <w:rFonts w:cstheme="minorHAnsi"/>
                <w:sz w:val="24"/>
                <w:szCs w:val="24"/>
              </w:rPr>
              <w:t>on the enhanced phosphorus permit</w:t>
            </w:r>
            <w:r w:rsidR="008447BD" w:rsidRPr="00395DB5">
              <w:rPr>
                <w:rFonts w:cstheme="minorHAnsi"/>
                <w:color w:val="FF0000"/>
                <w:sz w:val="24"/>
                <w:szCs w:val="24"/>
              </w:rPr>
              <w:t xml:space="preserve"> </w:t>
            </w:r>
            <w:r w:rsidR="00FE7E52" w:rsidRPr="00395DB5">
              <w:rPr>
                <w:rFonts w:cstheme="minorHAnsi"/>
                <w:sz w:val="24"/>
                <w:szCs w:val="24"/>
              </w:rPr>
              <w:t>as</w:t>
            </w:r>
            <w:r w:rsidR="009005B9" w:rsidRPr="00395DB5">
              <w:rPr>
                <w:rFonts w:cstheme="minorHAnsi"/>
                <w:sz w:val="24"/>
                <w:szCs w:val="24"/>
              </w:rPr>
              <w:t xml:space="preserve"> driven by the Urban Wastewater Treatment Directive (UWWTD) and the Water Framework Directive (WFD). </w:t>
            </w:r>
          </w:p>
          <w:p w14:paraId="7C5810DC" w14:textId="4AF76C0B" w:rsidR="00345AEF" w:rsidRPr="00395DB5" w:rsidRDefault="009B6CE7" w:rsidP="001D080C">
            <w:pPr>
              <w:pStyle w:val="TableParagraph"/>
              <w:spacing w:after="60"/>
              <w:rPr>
                <w:rFonts w:cstheme="minorHAnsi"/>
                <w:sz w:val="24"/>
                <w:szCs w:val="24"/>
              </w:rPr>
            </w:pPr>
            <w:r w:rsidRPr="009B6CE7">
              <w:rPr>
                <w:rFonts w:cstheme="minorHAnsi"/>
                <w:sz w:val="24"/>
                <w:szCs w:val="24"/>
              </w:rPr>
              <w:t xml:space="preserve">Scottish Water should </w:t>
            </w:r>
            <w:r w:rsidR="00A712FA">
              <w:rPr>
                <w:rFonts w:cstheme="minorHAnsi"/>
                <w:sz w:val="24"/>
                <w:szCs w:val="24"/>
              </w:rPr>
              <w:t>complete</w:t>
            </w:r>
            <w:r w:rsidRPr="009B6CE7">
              <w:rPr>
                <w:rFonts w:cstheme="minorHAnsi"/>
                <w:sz w:val="24"/>
                <w:szCs w:val="24"/>
              </w:rPr>
              <w:t xml:space="preserve"> this column only if the input in column </w:t>
            </w:r>
            <w:r w:rsidR="00400B85">
              <w:rPr>
                <w:rFonts w:cstheme="minorHAnsi"/>
                <w:sz w:val="24"/>
                <w:szCs w:val="24"/>
              </w:rPr>
              <w:t>119</w:t>
            </w:r>
            <w:r w:rsidRPr="009B6CE7">
              <w:rPr>
                <w:rFonts w:cstheme="minorHAnsi"/>
                <w:sz w:val="24"/>
                <w:szCs w:val="24"/>
              </w:rPr>
              <w:t xml:space="preserve"> is “Yes”.</w:t>
            </w:r>
          </w:p>
        </w:tc>
        <w:tc>
          <w:tcPr>
            <w:tcW w:w="0" w:type="auto"/>
          </w:tcPr>
          <w:p w14:paraId="598BC4FA" w14:textId="57491E17" w:rsidR="00345AEF" w:rsidRPr="00395DB5" w:rsidRDefault="009A0D3F">
            <w:pPr>
              <w:pStyle w:val="TableParagraph"/>
              <w:rPr>
                <w:rFonts w:cstheme="minorHAnsi"/>
                <w:sz w:val="24"/>
                <w:szCs w:val="24"/>
              </w:rPr>
            </w:pPr>
            <w:r w:rsidRPr="00395DB5">
              <w:rPr>
                <w:rFonts w:cstheme="minorHAnsi"/>
                <w:sz w:val="24"/>
                <w:szCs w:val="24"/>
              </w:rPr>
              <w:t>mg/l</w:t>
            </w:r>
          </w:p>
        </w:tc>
        <w:tc>
          <w:tcPr>
            <w:tcW w:w="0" w:type="auto"/>
          </w:tcPr>
          <w:p w14:paraId="6A23EF62" w14:textId="58FB1C22" w:rsidR="00345AEF" w:rsidRPr="00395DB5"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395DB5">
              <w:rPr>
                <w:rFonts w:cstheme="minorHAnsi"/>
                <w:color w:val="000000"/>
                <w:szCs w:val="24"/>
              </w:rPr>
              <w:t>PCDWW10</w:t>
            </w:r>
          </w:p>
          <w:p w14:paraId="518B3B86" w14:textId="77777777" w:rsidR="00C0105F" w:rsidRDefault="00C0105F" w:rsidP="00D46F43">
            <w:pPr>
              <w:spacing w:line="240" w:lineRule="auto"/>
              <w:jc w:val="left"/>
              <w:rPr>
                <w:rFonts w:cstheme="minorHAnsi"/>
                <w:szCs w:val="24"/>
              </w:rPr>
            </w:pPr>
          </w:p>
          <w:p w14:paraId="0CB24FDE" w14:textId="396A67AB" w:rsidR="00345AEF" w:rsidRPr="00395DB5" w:rsidRDefault="00A36E81" w:rsidP="00D46F43">
            <w:pPr>
              <w:spacing w:line="240" w:lineRule="auto"/>
              <w:jc w:val="left"/>
              <w:rPr>
                <w:rFonts w:cstheme="minorHAnsi"/>
                <w:color w:val="000000"/>
                <w:szCs w:val="24"/>
              </w:rPr>
            </w:pPr>
            <w:r w:rsidRPr="00395DB5">
              <w:rPr>
                <w:rFonts w:cstheme="minorHAnsi"/>
                <w:szCs w:val="24"/>
              </w:rPr>
              <w:t>PR24 DD PCD appendix 4.3.2</w:t>
            </w:r>
          </w:p>
        </w:tc>
      </w:tr>
      <w:tr w:rsidR="005F15AC" w:rsidRPr="00361CC1" w14:paraId="2AA969A1" w14:textId="77777777" w:rsidTr="00D04C95">
        <w:tc>
          <w:tcPr>
            <w:tcW w:w="0" w:type="auto"/>
            <w:gridSpan w:val="5"/>
            <w:shd w:val="clear" w:color="auto" w:fill="D9D9D9" w:themeFill="background1" w:themeFillShade="D9"/>
          </w:tcPr>
          <w:p w14:paraId="3E03964A" w14:textId="31FFEA45" w:rsidR="005F15AC" w:rsidRPr="00395DB5" w:rsidRDefault="00EF4B1D">
            <w:pPr>
              <w:pStyle w:val="TableParagraph"/>
              <w:rPr>
                <w:rFonts w:cstheme="minorHAnsi"/>
                <w:sz w:val="24"/>
                <w:szCs w:val="24"/>
              </w:rPr>
            </w:pPr>
            <w:r>
              <w:rPr>
                <w:rFonts w:cstheme="minorHAnsi"/>
                <w:b/>
                <w:sz w:val="24"/>
                <w:szCs w:val="24"/>
              </w:rPr>
              <w:t xml:space="preserve">Block L: </w:t>
            </w:r>
            <w:r w:rsidR="005F15AC" w:rsidRPr="00395DB5">
              <w:rPr>
                <w:rFonts w:cstheme="minorHAnsi"/>
                <w:b/>
                <w:sz w:val="24"/>
                <w:szCs w:val="24"/>
              </w:rPr>
              <w:t xml:space="preserve">Sanitary Tightened Permit </w:t>
            </w:r>
            <w:r w:rsidR="005F15AC" w:rsidRPr="008B2183">
              <w:rPr>
                <w:rFonts w:cstheme="minorHAnsi"/>
                <w:b/>
                <w:bCs/>
                <w:sz w:val="24"/>
                <w:szCs w:val="24"/>
              </w:rPr>
              <w:t>Project</w:t>
            </w:r>
          </w:p>
        </w:tc>
      </w:tr>
      <w:tr w:rsidR="00CD275D" w:rsidRPr="00361CC1" w14:paraId="2F38B5BC" w14:textId="77777777" w:rsidTr="00D04C95">
        <w:tc>
          <w:tcPr>
            <w:tcW w:w="0" w:type="auto"/>
          </w:tcPr>
          <w:p w14:paraId="1758E2E0" w14:textId="26F1D38E" w:rsidR="00EE0238" w:rsidRPr="00395DB5" w:rsidRDefault="009B6CE7">
            <w:pPr>
              <w:pStyle w:val="TableParagraph"/>
              <w:rPr>
                <w:rFonts w:cstheme="minorHAnsi"/>
                <w:sz w:val="24"/>
                <w:szCs w:val="24"/>
              </w:rPr>
            </w:pPr>
            <w:r>
              <w:rPr>
                <w:rFonts w:cstheme="minorHAnsi"/>
                <w:sz w:val="24"/>
                <w:szCs w:val="24"/>
              </w:rPr>
              <w:t>12</w:t>
            </w:r>
            <w:r w:rsidR="00E04A48">
              <w:rPr>
                <w:rFonts w:cstheme="minorHAnsi"/>
                <w:sz w:val="24"/>
                <w:szCs w:val="24"/>
              </w:rPr>
              <w:t>3</w:t>
            </w:r>
          </w:p>
        </w:tc>
        <w:tc>
          <w:tcPr>
            <w:tcW w:w="0" w:type="auto"/>
          </w:tcPr>
          <w:p w14:paraId="48045FAD" w14:textId="264DC2A8" w:rsidR="00EE0238" w:rsidRPr="00395DB5" w:rsidRDefault="005E349A">
            <w:pPr>
              <w:pStyle w:val="TableParagraph"/>
              <w:rPr>
                <w:rFonts w:cstheme="minorHAnsi"/>
                <w:sz w:val="24"/>
                <w:szCs w:val="24"/>
              </w:rPr>
            </w:pPr>
            <w:r w:rsidRPr="005E349A">
              <w:rPr>
                <w:rFonts w:cstheme="minorHAnsi"/>
                <w:sz w:val="24"/>
                <w:szCs w:val="24"/>
              </w:rPr>
              <w:t>Is this a sanitary tightened permit project?</w:t>
            </w:r>
            <w:r w:rsidR="009554A3" w:rsidRPr="00395DB5">
              <w:rPr>
                <w:rFonts w:cstheme="minorHAnsi"/>
                <w:sz w:val="24"/>
                <w:szCs w:val="24"/>
              </w:rPr>
              <w:tab/>
            </w:r>
          </w:p>
        </w:tc>
        <w:tc>
          <w:tcPr>
            <w:tcW w:w="0" w:type="auto"/>
          </w:tcPr>
          <w:p w14:paraId="211D7A9E" w14:textId="04BF7C99" w:rsidR="00EE0238" w:rsidRDefault="006F65AF" w:rsidP="009B6CE7">
            <w:pPr>
              <w:pStyle w:val="TableParagraph"/>
              <w:spacing w:after="60"/>
              <w:rPr>
                <w:rFonts w:ascii="Calibri" w:hAnsi="Calibri" w:cs="Calibri"/>
                <w:sz w:val="24"/>
                <w:szCs w:val="24"/>
              </w:rPr>
            </w:pPr>
            <w:r>
              <w:rPr>
                <w:rFonts w:ascii="Calibri" w:hAnsi="Calibri" w:cs="Calibri"/>
                <w:sz w:val="24"/>
                <w:szCs w:val="24"/>
              </w:rPr>
              <w:t>Drop-down menu. Options: Yes, No.</w:t>
            </w:r>
          </w:p>
          <w:p w14:paraId="6AD74171" w14:textId="45F6B9D3" w:rsidR="00756A84" w:rsidRPr="00395DB5" w:rsidRDefault="008429F2" w:rsidP="009B6CE7">
            <w:pPr>
              <w:pStyle w:val="TableParagraph"/>
              <w:spacing w:after="60"/>
              <w:rPr>
                <w:rFonts w:cstheme="minorHAnsi"/>
                <w:sz w:val="24"/>
                <w:szCs w:val="24"/>
              </w:rPr>
            </w:pPr>
            <w:r>
              <w:rPr>
                <w:rFonts w:cstheme="minorHAnsi"/>
                <w:sz w:val="24"/>
                <w:szCs w:val="24"/>
              </w:rPr>
              <w:t xml:space="preserve">These are </w:t>
            </w:r>
            <w:r w:rsidR="00107889">
              <w:rPr>
                <w:rFonts w:cstheme="minorHAnsi"/>
                <w:sz w:val="24"/>
                <w:szCs w:val="24"/>
              </w:rPr>
              <w:t>projects or programmes</w:t>
            </w:r>
            <w:r w:rsidR="00E030E0">
              <w:rPr>
                <w:rFonts w:cstheme="minorHAnsi"/>
                <w:sz w:val="24"/>
                <w:szCs w:val="24"/>
              </w:rPr>
              <w:t xml:space="preserve"> to meet tightened permit conditions for one or more sanitary parameters.</w:t>
            </w:r>
          </w:p>
        </w:tc>
        <w:tc>
          <w:tcPr>
            <w:tcW w:w="0" w:type="auto"/>
          </w:tcPr>
          <w:p w14:paraId="5EF684D5" w14:textId="21732F59" w:rsidR="00EE0238" w:rsidRPr="00395DB5" w:rsidRDefault="006F65AF">
            <w:pPr>
              <w:pStyle w:val="TableParagraph"/>
              <w:rPr>
                <w:rFonts w:cstheme="minorHAnsi"/>
                <w:sz w:val="24"/>
                <w:szCs w:val="24"/>
              </w:rPr>
            </w:pPr>
            <w:r>
              <w:rPr>
                <w:rFonts w:cstheme="minorHAnsi"/>
                <w:sz w:val="24"/>
                <w:szCs w:val="24"/>
              </w:rPr>
              <w:t>N/A</w:t>
            </w:r>
          </w:p>
        </w:tc>
        <w:tc>
          <w:tcPr>
            <w:tcW w:w="0" w:type="auto"/>
          </w:tcPr>
          <w:p w14:paraId="3252D817" w14:textId="77777777" w:rsidR="00EE0238" w:rsidRPr="00395DB5" w:rsidRDefault="00EE0238">
            <w:pPr>
              <w:pStyle w:val="TableParagraph"/>
              <w:rPr>
                <w:rFonts w:cstheme="minorHAnsi"/>
                <w:sz w:val="24"/>
                <w:szCs w:val="24"/>
              </w:rPr>
            </w:pPr>
          </w:p>
        </w:tc>
      </w:tr>
      <w:tr w:rsidR="00CD275D" w:rsidRPr="00361CC1" w14:paraId="62492608" w14:textId="77777777" w:rsidTr="00D04C95">
        <w:tc>
          <w:tcPr>
            <w:tcW w:w="0" w:type="auto"/>
          </w:tcPr>
          <w:p w14:paraId="5A87A7A1" w14:textId="550489E0" w:rsidR="00EE0238" w:rsidRPr="00395DB5" w:rsidRDefault="008B34F1">
            <w:pPr>
              <w:pStyle w:val="TableParagraph"/>
              <w:rPr>
                <w:rFonts w:cstheme="minorHAnsi"/>
                <w:sz w:val="24"/>
                <w:szCs w:val="24"/>
              </w:rPr>
            </w:pPr>
            <w:r>
              <w:rPr>
                <w:rFonts w:cstheme="minorHAnsi"/>
                <w:sz w:val="24"/>
                <w:szCs w:val="24"/>
              </w:rPr>
              <w:t>12</w:t>
            </w:r>
            <w:r w:rsidR="00E04A48">
              <w:rPr>
                <w:rFonts w:cstheme="minorHAnsi"/>
                <w:sz w:val="24"/>
                <w:szCs w:val="24"/>
              </w:rPr>
              <w:t>4</w:t>
            </w:r>
          </w:p>
        </w:tc>
        <w:tc>
          <w:tcPr>
            <w:tcW w:w="0" w:type="auto"/>
          </w:tcPr>
          <w:p w14:paraId="2136C0AE" w14:textId="67FE81ED" w:rsidR="00EE0238" w:rsidRPr="00395DB5" w:rsidRDefault="009554A3">
            <w:pPr>
              <w:pStyle w:val="TableParagraph"/>
              <w:rPr>
                <w:rFonts w:cstheme="minorHAnsi"/>
                <w:sz w:val="24"/>
                <w:szCs w:val="24"/>
              </w:rPr>
            </w:pPr>
            <w:r w:rsidRPr="00395DB5">
              <w:rPr>
                <w:rFonts w:cstheme="minorHAnsi"/>
                <w:sz w:val="24"/>
                <w:szCs w:val="24"/>
              </w:rPr>
              <w:t>Population equivalent</w:t>
            </w:r>
          </w:p>
        </w:tc>
        <w:tc>
          <w:tcPr>
            <w:tcW w:w="0" w:type="auto"/>
          </w:tcPr>
          <w:p w14:paraId="648967B8" w14:textId="2A2A2E1E" w:rsidR="00506ADD" w:rsidRDefault="00036743" w:rsidP="009B6CE7">
            <w:pPr>
              <w:pStyle w:val="TableParagraph"/>
              <w:spacing w:after="60"/>
              <w:rPr>
                <w:rFonts w:cstheme="minorHAnsi"/>
                <w:sz w:val="24"/>
                <w:szCs w:val="24"/>
              </w:rPr>
            </w:pPr>
            <w:r>
              <w:rPr>
                <w:rFonts w:cstheme="minorHAnsi"/>
                <w:sz w:val="24"/>
                <w:szCs w:val="24"/>
              </w:rPr>
              <w:t>P</w:t>
            </w:r>
            <w:r w:rsidR="00A6240F">
              <w:rPr>
                <w:rFonts w:cstheme="minorHAnsi"/>
                <w:sz w:val="24"/>
                <w:szCs w:val="24"/>
              </w:rPr>
              <w:t>opulation equivalent</w:t>
            </w:r>
            <w:r w:rsidR="00D46E6C" w:rsidRPr="003F118E">
              <w:rPr>
                <w:rFonts w:cstheme="minorHAnsi"/>
                <w:sz w:val="24"/>
                <w:szCs w:val="24"/>
              </w:rPr>
              <w:t xml:space="preserve"> served by site</w:t>
            </w:r>
            <w:r w:rsidR="002D5890">
              <w:rPr>
                <w:rFonts w:cstheme="minorHAnsi"/>
                <w:sz w:val="24"/>
                <w:szCs w:val="24"/>
              </w:rPr>
              <w:t>(</w:t>
            </w:r>
            <w:r w:rsidR="00D46E6C" w:rsidRPr="003F118E">
              <w:rPr>
                <w:rFonts w:cstheme="minorHAnsi"/>
                <w:sz w:val="24"/>
                <w:szCs w:val="24"/>
              </w:rPr>
              <w:t>s</w:t>
            </w:r>
            <w:r w:rsidR="002D5890">
              <w:rPr>
                <w:rFonts w:cstheme="minorHAnsi"/>
                <w:sz w:val="24"/>
                <w:szCs w:val="24"/>
              </w:rPr>
              <w:t>)</w:t>
            </w:r>
            <w:r w:rsidR="00932039">
              <w:rPr>
                <w:rFonts w:cstheme="minorHAnsi"/>
                <w:sz w:val="24"/>
                <w:szCs w:val="24"/>
              </w:rPr>
              <w:t xml:space="preserve"> under the project</w:t>
            </w:r>
            <w:r w:rsidR="00D46E6C" w:rsidRPr="003F118E">
              <w:rPr>
                <w:rFonts w:cstheme="minorHAnsi"/>
                <w:sz w:val="24"/>
                <w:szCs w:val="24"/>
              </w:rPr>
              <w:t xml:space="preserve"> requiring </w:t>
            </w:r>
            <w:r w:rsidR="00D46E6C" w:rsidDel="00821882">
              <w:rPr>
                <w:rFonts w:cstheme="minorHAnsi"/>
                <w:sz w:val="24"/>
                <w:szCs w:val="24"/>
              </w:rPr>
              <w:t>removal</w:t>
            </w:r>
            <w:r w:rsidR="00D46E6C" w:rsidRPr="003F118E" w:rsidDel="00821882">
              <w:rPr>
                <w:rFonts w:cstheme="minorHAnsi"/>
                <w:sz w:val="24"/>
                <w:szCs w:val="24"/>
              </w:rPr>
              <w:t xml:space="preserve"> </w:t>
            </w:r>
            <w:r w:rsidR="00D46E6C" w:rsidRPr="003F118E">
              <w:rPr>
                <w:rFonts w:cstheme="minorHAnsi"/>
                <w:sz w:val="24"/>
                <w:szCs w:val="24"/>
              </w:rPr>
              <w:t>of sanitary parameters (excluding nature</w:t>
            </w:r>
            <w:r w:rsidR="00F113DF">
              <w:rPr>
                <w:rFonts w:cstheme="minorHAnsi"/>
                <w:sz w:val="24"/>
                <w:szCs w:val="24"/>
              </w:rPr>
              <w:t>-</w:t>
            </w:r>
            <w:r w:rsidR="00D46E6C" w:rsidRPr="003F118E">
              <w:rPr>
                <w:rFonts w:cstheme="minorHAnsi"/>
                <w:sz w:val="24"/>
                <w:szCs w:val="24"/>
              </w:rPr>
              <w:t xml:space="preserve">based or catchment solutions). </w:t>
            </w:r>
          </w:p>
          <w:p w14:paraId="4C8A89FC" w14:textId="12E26E1F" w:rsidR="00EE0238" w:rsidRPr="003F118E" w:rsidRDefault="008B34F1" w:rsidP="009B6CE7">
            <w:pPr>
              <w:pStyle w:val="TableParagraph"/>
              <w:spacing w:after="60"/>
              <w:rPr>
                <w:rFonts w:cstheme="minorHAnsi"/>
                <w:sz w:val="24"/>
                <w:szCs w:val="24"/>
              </w:rPr>
            </w:pPr>
            <w:r w:rsidRPr="008B34F1">
              <w:rPr>
                <w:rFonts w:cstheme="minorHAnsi"/>
                <w:sz w:val="24"/>
                <w:szCs w:val="24"/>
              </w:rPr>
              <w:t xml:space="preserve">Scottish Water should </w:t>
            </w:r>
            <w:r w:rsidR="00A712FA">
              <w:rPr>
                <w:rFonts w:cstheme="minorHAnsi"/>
                <w:sz w:val="24"/>
                <w:szCs w:val="24"/>
              </w:rPr>
              <w:t>complete</w:t>
            </w:r>
            <w:r w:rsidRPr="008B34F1">
              <w:rPr>
                <w:rFonts w:cstheme="minorHAnsi"/>
                <w:sz w:val="24"/>
                <w:szCs w:val="24"/>
              </w:rPr>
              <w:t xml:space="preserve"> this column only if the input in column </w:t>
            </w:r>
            <w:r w:rsidR="00400B85">
              <w:rPr>
                <w:rFonts w:cstheme="minorHAnsi"/>
                <w:sz w:val="24"/>
                <w:szCs w:val="24"/>
              </w:rPr>
              <w:t>123</w:t>
            </w:r>
            <w:r w:rsidRPr="008B34F1">
              <w:rPr>
                <w:rFonts w:cstheme="minorHAnsi"/>
                <w:sz w:val="24"/>
                <w:szCs w:val="24"/>
              </w:rPr>
              <w:t xml:space="preserve"> is “Yes”.</w:t>
            </w:r>
            <w:r w:rsidR="00D46E6C" w:rsidRPr="003F118E">
              <w:rPr>
                <w:rFonts w:cstheme="minorHAnsi"/>
                <w:sz w:val="24"/>
                <w:szCs w:val="24"/>
              </w:rPr>
              <w:t xml:space="preserve"> </w:t>
            </w:r>
          </w:p>
        </w:tc>
        <w:tc>
          <w:tcPr>
            <w:tcW w:w="0" w:type="auto"/>
          </w:tcPr>
          <w:p w14:paraId="79DC59EA" w14:textId="4DD5B420" w:rsidR="00EE0238" w:rsidRPr="003F118E" w:rsidRDefault="00B05607">
            <w:pPr>
              <w:pStyle w:val="TableParagraph"/>
              <w:rPr>
                <w:rFonts w:cstheme="minorHAnsi"/>
                <w:sz w:val="24"/>
                <w:szCs w:val="24"/>
              </w:rPr>
            </w:pPr>
            <w:r w:rsidRPr="003F118E">
              <w:rPr>
                <w:rFonts w:cstheme="minorHAnsi"/>
                <w:sz w:val="24"/>
                <w:szCs w:val="24"/>
              </w:rPr>
              <w:t>N</w:t>
            </w:r>
            <w:r w:rsidR="006F65AF">
              <w:rPr>
                <w:rFonts w:cstheme="minorHAnsi"/>
                <w:sz w:val="24"/>
                <w:szCs w:val="24"/>
              </w:rPr>
              <w:t>umber</w:t>
            </w:r>
          </w:p>
        </w:tc>
        <w:tc>
          <w:tcPr>
            <w:tcW w:w="0" w:type="auto"/>
          </w:tcPr>
          <w:p w14:paraId="15727041" w14:textId="6A2275D9" w:rsidR="00EE0238" w:rsidRPr="003F118E" w:rsidRDefault="00A36E81">
            <w:pPr>
              <w:pStyle w:val="TableParagraph"/>
              <w:rPr>
                <w:rFonts w:cstheme="minorHAnsi"/>
                <w:sz w:val="24"/>
                <w:szCs w:val="24"/>
              </w:rPr>
            </w:pPr>
            <w:r w:rsidRPr="003F118E">
              <w:rPr>
                <w:rFonts w:cstheme="minorHAnsi"/>
                <w:sz w:val="24"/>
                <w:szCs w:val="24"/>
              </w:rPr>
              <w:t>PR24 DD PCD appendix 10.3.2</w:t>
            </w:r>
          </w:p>
        </w:tc>
      </w:tr>
      <w:tr w:rsidR="005F15AC" w:rsidRPr="00361CC1" w14:paraId="41CA15AC" w14:textId="77777777" w:rsidTr="00D04C95">
        <w:trPr>
          <w:trHeight w:val="425"/>
        </w:trPr>
        <w:tc>
          <w:tcPr>
            <w:tcW w:w="0" w:type="auto"/>
            <w:gridSpan w:val="5"/>
            <w:shd w:val="clear" w:color="auto" w:fill="D9D9D9" w:themeFill="background1" w:themeFillShade="D9"/>
          </w:tcPr>
          <w:p w14:paraId="2B8FAC19" w14:textId="0E1AD1F1" w:rsidR="005F15AC" w:rsidRPr="00BF6D98" w:rsidRDefault="00EF4B1D">
            <w:pPr>
              <w:pStyle w:val="TableParagraph"/>
              <w:rPr>
                <w:rFonts w:cstheme="minorHAnsi"/>
                <w:b/>
                <w:sz w:val="24"/>
                <w:szCs w:val="24"/>
              </w:rPr>
            </w:pPr>
            <w:r>
              <w:rPr>
                <w:rFonts w:cstheme="minorHAnsi"/>
                <w:b/>
                <w:sz w:val="24"/>
                <w:szCs w:val="24"/>
              </w:rPr>
              <w:t xml:space="preserve">Block M: </w:t>
            </w:r>
            <w:r w:rsidR="005F15AC" w:rsidRPr="003F118E">
              <w:rPr>
                <w:rFonts w:cstheme="minorHAnsi"/>
                <w:b/>
                <w:sz w:val="24"/>
                <w:szCs w:val="24"/>
              </w:rPr>
              <w:t xml:space="preserve">Storm Overflows </w:t>
            </w:r>
            <w:r w:rsidR="005F15AC" w:rsidRPr="008B2183">
              <w:rPr>
                <w:rFonts w:cstheme="minorHAnsi"/>
                <w:b/>
                <w:bCs/>
                <w:sz w:val="24"/>
                <w:szCs w:val="24"/>
              </w:rPr>
              <w:t>Project or Programme</w:t>
            </w:r>
          </w:p>
        </w:tc>
      </w:tr>
      <w:tr w:rsidR="00CD275D" w:rsidRPr="00361CC1" w14:paraId="2277FDEE" w14:textId="77777777" w:rsidTr="00D04C95">
        <w:tc>
          <w:tcPr>
            <w:tcW w:w="0" w:type="auto"/>
          </w:tcPr>
          <w:p w14:paraId="51AE3725" w14:textId="16F43E45" w:rsidR="00725BA1" w:rsidRPr="00BF6D98" w:rsidRDefault="008B34F1">
            <w:pPr>
              <w:pStyle w:val="TableParagraph"/>
              <w:rPr>
                <w:rFonts w:cstheme="minorHAnsi"/>
                <w:sz w:val="24"/>
                <w:szCs w:val="24"/>
              </w:rPr>
            </w:pPr>
            <w:r>
              <w:rPr>
                <w:rFonts w:cstheme="minorHAnsi"/>
                <w:sz w:val="24"/>
                <w:szCs w:val="24"/>
              </w:rPr>
              <w:t>12</w:t>
            </w:r>
            <w:r w:rsidR="008E34EB">
              <w:rPr>
                <w:rFonts w:cstheme="minorHAnsi"/>
                <w:sz w:val="24"/>
                <w:szCs w:val="24"/>
              </w:rPr>
              <w:t>5</w:t>
            </w:r>
          </w:p>
        </w:tc>
        <w:tc>
          <w:tcPr>
            <w:tcW w:w="0" w:type="auto"/>
          </w:tcPr>
          <w:p w14:paraId="23865917" w14:textId="3305AA8B" w:rsidR="00725BA1" w:rsidRPr="00BF6D98" w:rsidRDefault="009B7C50" w:rsidP="00725BA1">
            <w:pPr>
              <w:pStyle w:val="TableParagraph"/>
              <w:rPr>
                <w:rFonts w:cstheme="minorHAnsi"/>
                <w:sz w:val="24"/>
                <w:szCs w:val="24"/>
              </w:rPr>
            </w:pPr>
            <w:r w:rsidRPr="009B7C50">
              <w:rPr>
                <w:rFonts w:cstheme="minorHAnsi"/>
                <w:sz w:val="24"/>
                <w:szCs w:val="24"/>
              </w:rPr>
              <w:t>Is this a storm overflows project?</w:t>
            </w:r>
            <w:r w:rsidR="00725BA1" w:rsidRPr="00BF6D98">
              <w:rPr>
                <w:rFonts w:cstheme="minorHAnsi"/>
                <w:sz w:val="24"/>
                <w:szCs w:val="24"/>
              </w:rPr>
              <w:tab/>
            </w:r>
          </w:p>
        </w:tc>
        <w:tc>
          <w:tcPr>
            <w:tcW w:w="0" w:type="auto"/>
          </w:tcPr>
          <w:p w14:paraId="5D24C87C" w14:textId="0908FBF2" w:rsidR="00725BA1" w:rsidRDefault="006F65AF" w:rsidP="008B34F1">
            <w:pPr>
              <w:pStyle w:val="TableParagraph"/>
              <w:spacing w:after="60"/>
              <w:rPr>
                <w:rFonts w:ascii="Calibri" w:hAnsi="Calibri" w:cs="Calibri"/>
                <w:sz w:val="24"/>
                <w:szCs w:val="24"/>
              </w:rPr>
            </w:pPr>
            <w:r>
              <w:rPr>
                <w:rFonts w:ascii="Calibri" w:hAnsi="Calibri" w:cs="Calibri"/>
                <w:sz w:val="24"/>
                <w:szCs w:val="24"/>
              </w:rPr>
              <w:t>Drop-down menu. Options: Yes, No.</w:t>
            </w:r>
          </w:p>
          <w:p w14:paraId="7414883E" w14:textId="7B6C694A" w:rsidR="00756A84" w:rsidRPr="00BF6D98" w:rsidRDefault="00485D09" w:rsidP="008B34F1">
            <w:pPr>
              <w:pStyle w:val="TableParagraph"/>
              <w:spacing w:after="60"/>
              <w:rPr>
                <w:rFonts w:cstheme="minorHAnsi"/>
                <w:sz w:val="24"/>
                <w:szCs w:val="24"/>
              </w:rPr>
            </w:pPr>
            <w:r w:rsidRPr="00BF6D98">
              <w:rPr>
                <w:rFonts w:cstheme="minorHAnsi"/>
                <w:sz w:val="24"/>
                <w:szCs w:val="24"/>
              </w:rPr>
              <w:t xml:space="preserve">These are projects for reducing </w:t>
            </w:r>
            <w:r w:rsidR="00EC2A4E" w:rsidRPr="00BF6D98">
              <w:rPr>
                <w:rFonts w:cstheme="minorHAnsi"/>
                <w:sz w:val="24"/>
                <w:szCs w:val="24"/>
              </w:rPr>
              <w:t>the spill from storm overflows.</w:t>
            </w:r>
          </w:p>
        </w:tc>
        <w:tc>
          <w:tcPr>
            <w:tcW w:w="0" w:type="auto"/>
          </w:tcPr>
          <w:p w14:paraId="52BB97E7" w14:textId="5C01A7C1" w:rsidR="00725BA1" w:rsidRPr="00BF6D98" w:rsidRDefault="006F65AF">
            <w:pPr>
              <w:pStyle w:val="TableParagraph"/>
              <w:rPr>
                <w:rFonts w:cstheme="minorHAnsi"/>
                <w:sz w:val="24"/>
                <w:szCs w:val="24"/>
              </w:rPr>
            </w:pPr>
            <w:r>
              <w:rPr>
                <w:rFonts w:cstheme="minorHAnsi"/>
                <w:sz w:val="24"/>
                <w:szCs w:val="24"/>
              </w:rPr>
              <w:t>N/A</w:t>
            </w:r>
          </w:p>
        </w:tc>
        <w:tc>
          <w:tcPr>
            <w:tcW w:w="0" w:type="auto"/>
          </w:tcPr>
          <w:p w14:paraId="01BF499F" w14:textId="77777777" w:rsidR="00725BA1" w:rsidRPr="00BF6D98" w:rsidRDefault="00725BA1">
            <w:pPr>
              <w:pStyle w:val="TableParagraph"/>
              <w:rPr>
                <w:rFonts w:cstheme="minorHAnsi"/>
                <w:sz w:val="24"/>
                <w:szCs w:val="24"/>
              </w:rPr>
            </w:pPr>
          </w:p>
        </w:tc>
      </w:tr>
      <w:tr w:rsidR="00CD275D" w:rsidRPr="00361CC1" w14:paraId="04605B57" w14:textId="77777777" w:rsidTr="00D04C95">
        <w:tc>
          <w:tcPr>
            <w:tcW w:w="0" w:type="auto"/>
          </w:tcPr>
          <w:p w14:paraId="374696F2" w14:textId="4D375CAD" w:rsidR="0024135D" w:rsidRPr="00BF6D98" w:rsidRDefault="00626414" w:rsidP="0024135D">
            <w:pPr>
              <w:pStyle w:val="TableParagraph"/>
              <w:rPr>
                <w:rFonts w:cstheme="minorHAnsi"/>
                <w:sz w:val="24"/>
                <w:szCs w:val="24"/>
              </w:rPr>
            </w:pPr>
            <w:r>
              <w:rPr>
                <w:rFonts w:cstheme="minorHAnsi"/>
                <w:sz w:val="24"/>
                <w:szCs w:val="24"/>
              </w:rPr>
              <w:lastRenderedPageBreak/>
              <w:t>12</w:t>
            </w:r>
            <w:r w:rsidR="008E34EB">
              <w:rPr>
                <w:rFonts w:cstheme="minorHAnsi"/>
                <w:sz w:val="24"/>
                <w:szCs w:val="24"/>
              </w:rPr>
              <w:t>6</w:t>
            </w:r>
          </w:p>
        </w:tc>
        <w:tc>
          <w:tcPr>
            <w:tcW w:w="0" w:type="auto"/>
          </w:tcPr>
          <w:p w14:paraId="2A199E01" w14:textId="5FEB2A38" w:rsidR="0024135D" w:rsidRPr="00BF6D98" w:rsidRDefault="0024135D" w:rsidP="0024135D">
            <w:pPr>
              <w:pStyle w:val="TableParagraph"/>
              <w:rPr>
                <w:rFonts w:cstheme="minorHAnsi"/>
                <w:sz w:val="24"/>
                <w:szCs w:val="24"/>
              </w:rPr>
            </w:pPr>
            <w:r>
              <w:rPr>
                <w:rFonts w:cstheme="minorHAnsi"/>
                <w:sz w:val="24"/>
                <w:szCs w:val="24"/>
              </w:rPr>
              <w:t>Project</w:t>
            </w:r>
            <w:r w:rsidRPr="00BF6D98">
              <w:rPr>
                <w:rFonts w:cstheme="minorHAnsi"/>
                <w:sz w:val="24"/>
                <w:szCs w:val="24"/>
              </w:rPr>
              <w:t xml:space="preserve"> type</w:t>
            </w:r>
          </w:p>
        </w:tc>
        <w:tc>
          <w:tcPr>
            <w:tcW w:w="0" w:type="auto"/>
          </w:tcPr>
          <w:p w14:paraId="1B3AEBE7" w14:textId="6463D424" w:rsidR="0024135D" w:rsidRDefault="0024135D" w:rsidP="008B34F1">
            <w:pPr>
              <w:pStyle w:val="TableParagraph"/>
              <w:spacing w:after="60"/>
              <w:rPr>
                <w:rFonts w:cstheme="minorHAnsi"/>
                <w:sz w:val="24"/>
                <w:szCs w:val="24"/>
              </w:rPr>
            </w:pPr>
            <w:r>
              <w:rPr>
                <w:rFonts w:ascii="Calibri" w:hAnsi="Calibri" w:cs="Calibri"/>
                <w:sz w:val="24"/>
                <w:szCs w:val="24"/>
              </w:rPr>
              <w:t xml:space="preserve">Drop-down menu. Options: </w:t>
            </w:r>
            <w:r w:rsidR="003E607B">
              <w:rPr>
                <w:rFonts w:ascii="Calibri" w:hAnsi="Calibri" w:cs="Calibri"/>
                <w:sz w:val="24"/>
                <w:szCs w:val="24"/>
              </w:rPr>
              <w:t xml:space="preserve">Network </w:t>
            </w:r>
            <w:r w:rsidR="00B020FF">
              <w:rPr>
                <w:rFonts w:ascii="Calibri" w:hAnsi="Calibri" w:cs="Calibri"/>
                <w:sz w:val="24"/>
                <w:szCs w:val="24"/>
              </w:rPr>
              <w:t>g</w:t>
            </w:r>
            <w:r w:rsidRPr="00BF6D98">
              <w:rPr>
                <w:rFonts w:cstheme="minorHAnsi"/>
                <w:sz w:val="24"/>
                <w:szCs w:val="24"/>
              </w:rPr>
              <w:t>rey/</w:t>
            </w:r>
            <w:r w:rsidR="00B020FF">
              <w:rPr>
                <w:rFonts w:cstheme="minorHAnsi"/>
                <w:sz w:val="24"/>
                <w:szCs w:val="24"/>
              </w:rPr>
              <w:t>h</w:t>
            </w:r>
            <w:r w:rsidRPr="00BF6D98">
              <w:rPr>
                <w:rFonts w:cstheme="minorHAnsi"/>
                <w:sz w:val="24"/>
                <w:szCs w:val="24"/>
              </w:rPr>
              <w:t xml:space="preserve">ybrid, </w:t>
            </w:r>
            <w:r w:rsidR="00A712FA">
              <w:rPr>
                <w:rFonts w:cstheme="minorHAnsi"/>
                <w:sz w:val="24"/>
                <w:szCs w:val="24"/>
              </w:rPr>
              <w:t xml:space="preserve">WwTW </w:t>
            </w:r>
            <w:r w:rsidR="00B020FF">
              <w:rPr>
                <w:rFonts w:cstheme="minorHAnsi"/>
                <w:sz w:val="24"/>
                <w:szCs w:val="24"/>
              </w:rPr>
              <w:t>g</w:t>
            </w:r>
            <w:r w:rsidRPr="00BF6D98">
              <w:rPr>
                <w:rFonts w:cstheme="minorHAnsi"/>
                <w:sz w:val="24"/>
                <w:szCs w:val="24"/>
              </w:rPr>
              <w:t>rey, Green, Screen only</w:t>
            </w:r>
            <w:r w:rsidR="002268BF">
              <w:rPr>
                <w:rFonts w:cstheme="minorHAnsi"/>
                <w:sz w:val="24"/>
                <w:szCs w:val="24"/>
              </w:rPr>
              <w:t>.</w:t>
            </w:r>
          </w:p>
          <w:p w14:paraId="33CF48E8" w14:textId="5E268B6A" w:rsidR="0024135D" w:rsidRPr="00BF6D98" w:rsidRDefault="00F92A68" w:rsidP="008B34F1">
            <w:pPr>
              <w:pStyle w:val="TableParagraph"/>
              <w:spacing w:after="60"/>
              <w:rPr>
                <w:rFonts w:cstheme="minorHAnsi"/>
                <w:sz w:val="24"/>
                <w:szCs w:val="24"/>
              </w:rPr>
            </w:pPr>
            <w:r w:rsidRPr="00F92A68">
              <w:rPr>
                <w:rFonts w:cstheme="minorHAnsi"/>
                <w:sz w:val="24"/>
                <w:szCs w:val="24"/>
              </w:rPr>
              <w:t xml:space="preserve">Scottish Water should </w:t>
            </w:r>
            <w:r w:rsidR="00A712FA">
              <w:rPr>
                <w:rFonts w:cstheme="minorHAnsi"/>
                <w:sz w:val="24"/>
                <w:szCs w:val="24"/>
              </w:rPr>
              <w:t>complete</w:t>
            </w:r>
            <w:r w:rsidRPr="00F92A68">
              <w:rPr>
                <w:rFonts w:cstheme="minorHAnsi"/>
                <w:sz w:val="24"/>
                <w:szCs w:val="24"/>
              </w:rPr>
              <w:t xml:space="preserve"> this column only if the input in column </w:t>
            </w:r>
            <w:r w:rsidR="00400B85">
              <w:rPr>
                <w:rFonts w:cstheme="minorHAnsi"/>
                <w:sz w:val="24"/>
                <w:szCs w:val="24"/>
              </w:rPr>
              <w:t>125</w:t>
            </w:r>
            <w:r w:rsidRPr="00F92A68">
              <w:rPr>
                <w:rFonts w:cstheme="minorHAnsi"/>
                <w:sz w:val="24"/>
                <w:szCs w:val="24"/>
              </w:rPr>
              <w:t xml:space="preserve"> is “Yes”.</w:t>
            </w:r>
          </w:p>
        </w:tc>
        <w:tc>
          <w:tcPr>
            <w:tcW w:w="0" w:type="auto"/>
          </w:tcPr>
          <w:p w14:paraId="322CBD21" w14:textId="35636690" w:rsidR="0024135D" w:rsidRPr="00BF6D98" w:rsidRDefault="0024135D" w:rsidP="0024135D">
            <w:pPr>
              <w:pStyle w:val="TableParagraph"/>
              <w:rPr>
                <w:rFonts w:cstheme="minorHAnsi"/>
                <w:sz w:val="24"/>
                <w:szCs w:val="24"/>
              </w:rPr>
            </w:pPr>
            <w:r>
              <w:rPr>
                <w:rFonts w:cstheme="minorHAnsi"/>
                <w:sz w:val="24"/>
                <w:szCs w:val="24"/>
              </w:rPr>
              <w:t>N/A</w:t>
            </w:r>
          </w:p>
        </w:tc>
        <w:tc>
          <w:tcPr>
            <w:tcW w:w="0" w:type="auto"/>
          </w:tcPr>
          <w:p w14:paraId="79607473" w14:textId="3B4D537E" w:rsidR="0024135D" w:rsidRPr="00BF6D98" w:rsidRDefault="00A36E81" w:rsidP="0024135D">
            <w:pPr>
              <w:pStyle w:val="TableParagraph"/>
              <w:rPr>
                <w:rFonts w:cstheme="minorHAnsi"/>
                <w:sz w:val="24"/>
                <w:szCs w:val="24"/>
              </w:rPr>
            </w:pPr>
            <w:r w:rsidRPr="00BF6D98">
              <w:rPr>
                <w:rFonts w:cstheme="minorHAnsi"/>
                <w:sz w:val="24"/>
                <w:szCs w:val="24"/>
              </w:rPr>
              <w:t xml:space="preserve">PR24 DD PCD appendix </w:t>
            </w:r>
            <w:r w:rsidR="004051B5">
              <w:rPr>
                <w:rFonts w:cstheme="minorHAnsi"/>
                <w:sz w:val="24"/>
                <w:szCs w:val="24"/>
              </w:rPr>
              <w:t xml:space="preserve">4.2.2 and </w:t>
            </w:r>
            <w:r w:rsidRPr="00BF6D98">
              <w:rPr>
                <w:rFonts w:cstheme="minorHAnsi"/>
                <w:sz w:val="24"/>
                <w:szCs w:val="24"/>
              </w:rPr>
              <w:t>9.5.2</w:t>
            </w:r>
          </w:p>
        </w:tc>
      </w:tr>
      <w:tr w:rsidR="00CD275D" w:rsidRPr="00361CC1" w14:paraId="098D78CF" w14:textId="77777777" w:rsidTr="00D04C95">
        <w:tc>
          <w:tcPr>
            <w:tcW w:w="0" w:type="auto"/>
          </w:tcPr>
          <w:p w14:paraId="29B78A3A" w14:textId="51BE6FB0" w:rsidR="00EE0238" w:rsidRPr="00BF6D98" w:rsidRDefault="00626414">
            <w:pPr>
              <w:pStyle w:val="TableParagraph"/>
              <w:rPr>
                <w:rFonts w:cstheme="minorHAnsi"/>
                <w:sz w:val="24"/>
                <w:szCs w:val="24"/>
              </w:rPr>
            </w:pPr>
            <w:r>
              <w:rPr>
                <w:rFonts w:cstheme="minorHAnsi"/>
                <w:sz w:val="24"/>
                <w:szCs w:val="24"/>
              </w:rPr>
              <w:t>12</w:t>
            </w:r>
            <w:r w:rsidR="008E34EB">
              <w:rPr>
                <w:rFonts w:cstheme="minorHAnsi"/>
                <w:sz w:val="24"/>
                <w:szCs w:val="24"/>
              </w:rPr>
              <w:t>7</w:t>
            </w:r>
          </w:p>
        </w:tc>
        <w:tc>
          <w:tcPr>
            <w:tcW w:w="0" w:type="auto"/>
          </w:tcPr>
          <w:p w14:paraId="013E9683" w14:textId="204D3732" w:rsidR="00EE0238" w:rsidRPr="00BF6D98" w:rsidRDefault="00725BA1">
            <w:pPr>
              <w:pStyle w:val="TableParagraph"/>
              <w:rPr>
                <w:rFonts w:cstheme="minorHAnsi"/>
                <w:sz w:val="24"/>
                <w:szCs w:val="24"/>
              </w:rPr>
            </w:pPr>
            <w:r w:rsidRPr="00BF6D98">
              <w:rPr>
                <w:rFonts w:cstheme="minorHAnsi"/>
                <w:sz w:val="24"/>
                <w:szCs w:val="24"/>
              </w:rPr>
              <w:t xml:space="preserve">Storage equivalent </w:t>
            </w:r>
            <w:r w:rsidR="00DD491A">
              <w:rPr>
                <w:rFonts w:cstheme="minorHAnsi"/>
                <w:sz w:val="24"/>
                <w:szCs w:val="24"/>
              </w:rPr>
              <w:t>(m</w:t>
            </w:r>
            <w:r w:rsidR="00DD491A" w:rsidRPr="00BF6D98">
              <w:rPr>
                <w:rFonts w:cstheme="minorHAnsi"/>
                <w:sz w:val="24"/>
                <w:szCs w:val="24"/>
                <w:vertAlign w:val="superscript"/>
              </w:rPr>
              <w:t>3</w:t>
            </w:r>
            <w:r w:rsidR="00DD491A">
              <w:rPr>
                <w:rFonts w:cstheme="minorHAnsi"/>
                <w:sz w:val="24"/>
                <w:szCs w:val="24"/>
              </w:rPr>
              <w:t>)</w:t>
            </w:r>
          </w:p>
        </w:tc>
        <w:tc>
          <w:tcPr>
            <w:tcW w:w="0" w:type="auto"/>
          </w:tcPr>
          <w:p w14:paraId="3CEB49A3" w14:textId="11CF9984" w:rsidR="00850ACA" w:rsidRDefault="00BE4E39" w:rsidP="008B34F1">
            <w:pPr>
              <w:pStyle w:val="TableParagraph"/>
              <w:spacing w:after="60"/>
              <w:rPr>
                <w:rFonts w:cstheme="minorHAnsi"/>
                <w:sz w:val="24"/>
                <w:szCs w:val="24"/>
              </w:rPr>
            </w:pPr>
            <w:r w:rsidRPr="00BE4E39">
              <w:rPr>
                <w:rFonts w:cstheme="minorHAnsi"/>
                <w:sz w:val="24"/>
                <w:szCs w:val="24"/>
              </w:rPr>
              <w:t xml:space="preserve">Scottish Water should </w:t>
            </w:r>
            <w:r w:rsidR="00A712FA">
              <w:rPr>
                <w:rFonts w:cstheme="minorHAnsi"/>
                <w:sz w:val="24"/>
                <w:szCs w:val="24"/>
              </w:rPr>
              <w:t>complete</w:t>
            </w:r>
            <w:r w:rsidRPr="00BE4E39">
              <w:rPr>
                <w:rFonts w:cstheme="minorHAnsi"/>
                <w:sz w:val="24"/>
                <w:szCs w:val="24"/>
              </w:rPr>
              <w:t xml:space="preserve"> this column only if the input in column </w:t>
            </w:r>
            <w:r w:rsidR="00400B85">
              <w:rPr>
                <w:rFonts w:cstheme="minorHAnsi"/>
                <w:sz w:val="24"/>
                <w:szCs w:val="24"/>
              </w:rPr>
              <w:t>125</w:t>
            </w:r>
            <w:r w:rsidRPr="00BE4E39">
              <w:rPr>
                <w:rFonts w:cstheme="minorHAnsi"/>
                <w:sz w:val="24"/>
                <w:szCs w:val="24"/>
              </w:rPr>
              <w:t xml:space="preserve"> is “Yes”.</w:t>
            </w:r>
            <w:r w:rsidR="00CD628D">
              <w:rPr>
                <w:rFonts w:cstheme="minorHAnsi"/>
                <w:sz w:val="24"/>
                <w:szCs w:val="24"/>
              </w:rPr>
              <w:t xml:space="preserve"> </w:t>
            </w:r>
          </w:p>
          <w:p w14:paraId="7F212048" w14:textId="094F292D" w:rsidR="00AE3A6C" w:rsidRDefault="00D05B58" w:rsidP="008B34F1">
            <w:pPr>
              <w:pStyle w:val="TableParagraph"/>
              <w:spacing w:after="60"/>
              <w:rPr>
                <w:rFonts w:cstheme="minorHAnsi"/>
                <w:sz w:val="24"/>
                <w:szCs w:val="24"/>
              </w:rPr>
            </w:pPr>
            <w:r>
              <w:rPr>
                <w:rFonts w:cstheme="minorHAnsi"/>
                <w:sz w:val="24"/>
                <w:szCs w:val="24"/>
              </w:rPr>
              <w:t xml:space="preserve">Traditional storage calculation methods </w:t>
            </w:r>
            <w:r w:rsidR="00AD00F7">
              <w:rPr>
                <w:rFonts w:cstheme="minorHAnsi"/>
                <w:sz w:val="24"/>
                <w:szCs w:val="24"/>
              </w:rPr>
              <w:t>should be</w:t>
            </w:r>
            <w:r w:rsidR="00AB65BD">
              <w:rPr>
                <w:rFonts w:cstheme="minorHAnsi"/>
                <w:sz w:val="24"/>
                <w:szCs w:val="24"/>
              </w:rPr>
              <w:t xml:space="preserve"> used for </w:t>
            </w:r>
            <w:r>
              <w:rPr>
                <w:rFonts w:cstheme="minorHAnsi"/>
                <w:sz w:val="24"/>
                <w:szCs w:val="24"/>
              </w:rPr>
              <w:t>storage solutions</w:t>
            </w:r>
            <w:r w:rsidR="00AB65BD">
              <w:rPr>
                <w:rFonts w:cstheme="minorHAnsi"/>
                <w:sz w:val="24"/>
                <w:szCs w:val="24"/>
              </w:rPr>
              <w:t xml:space="preserve">. </w:t>
            </w:r>
          </w:p>
          <w:p w14:paraId="1073D72C" w14:textId="05FC0A2B" w:rsidR="00476A5D" w:rsidRDefault="00D174F7" w:rsidP="008B34F1">
            <w:pPr>
              <w:pStyle w:val="TableParagraph"/>
              <w:spacing w:after="60"/>
              <w:rPr>
                <w:rFonts w:cstheme="minorHAnsi"/>
                <w:sz w:val="24"/>
                <w:szCs w:val="24"/>
              </w:rPr>
            </w:pPr>
            <w:r>
              <w:rPr>
                <w:rFonts w:cstheme="minorHAnsi"/>
                <w:sz w:val="24"/>
                <w:szCs w:val="24"/>
              </w:rPr>
              <w:t>When developing non</w:t>
            </w:r>
            <w:r w:rsidR="00F92A68">
              <w:rPr>
                <w:rFonts w:cstheme="minorHAnsi"/>
                <w:sz w:val="24"/>
                <w:szCs w:val="24"/>
              </w:rPr>
              <w:t>-</w:t>
            </w:r>
            <w:r>
              <w:rPr>
                <w:rFonts w:cstheme="minorHAnsi"/>
                <w:sz w:val="24"/>
                <w:szCs w:val="24"/>
              </w:rPr>
              <w:t xml:space="preserve">storage solutions, equivalent storage </w:t>
            </w:r>
            <w:r w:rsidR="003E7CA2">
              <w:rPr>
                <w:rFonts w:cstheme="minorHAnsi"/>
                <w:sz w:val="24"/>
                <w:szCs w:val="24"/>
              </w:rPr>
              <w:t>should be calculated by running a hydraulic model with the alternative solution included within the model, and assessing the extent to which the storage requirement is reduced.</w:t>
            </w:r>
            <w:r w:rsidR="00476A5D" w:rsidRPr="00476A5D">
              <w:rPr>
                <w:sz w:val="24"/>
              </w:rPr>
              <w:t xml:space="preserve"> </w:t>
            </w:r>
            <w:r w:rsidR="00476A5D" w:rsidRPr="00476A5D">
              <w:rPr>
                <w:rFonts w:cstheme="minorHAnsi"/>
                <w:sz w:val="24"/>
                <w:szCs w:val="24"/>
              </w:rPr>
              <w:t xml:space="preserve">Equivalent storage must be assessed against the storage volume required at the storm overflow, and not using theoretical conversion rates based on </w:t>
            </w:r>
            <w:r w:rsidR="007F3178">
              <w:rPr>
                <w:rFonts w:cstheme="minorHAnsi"/>
                <w:sz w:val="24"/>
                <w:szCs w:val="24"/>
              </w:rPr>
              <w:t>the area removed</w:t>
            </w:r>
            <w:r w:rsidR="00476A5D" w:rsidRPr="00476A5D">
              <w:rPr>
                <w:rFonts w:cstheme="minorHAnsi"/>
                <w:sz w:val="24"/>
                <w:szCs w:val="24"/>
              </w:rPr>
              <w:t xml:space="preserve"> unless the impact of the alternative works on the required storm overflow storage volume can be clearly demonstrated. The model used should be fit for purpose and constructed in accordance with the Code of Practice for the Hydraulic Modelling of Urban Drainage Systems, CIWEM UDG, 2017.</w:t>
            </w:r>
            <w:r w:rsidR="003E7CA2">
              <w:rPr>
                <w:rFonts w:cstheme="minorHAnsi"/>
                <w:sz w:val="24"/>
                <w:szCs w:val="24"/>
              </w:rPr>
              <w:t xml:space="preserve"> </w:t>
            </w:r>
          </w:p>
          <w:p w14:paraId="5920BEFC" w14:textId="644129FA" w:rsidR="00EE0238" w:rsidRPr="00BF6D98" w:rsidRDefault="00563CE1" w:rsidP="008B34F1">
            <w:pPr>
              <w:pStyle w:val="TableParagraph"/>
              <w:spacing w:after="60"/>
              <w:rPr>
                <w:rFonts w:cstheme="minorHAnsi"/>
                <w:sz w:val="24"/>
                <w:szCs w:val="24"/>
              </w:rPr>
            </w:pPr>
            <w:r>
              <w:rPr>
                <w:rFonts w:cstheme="minorHAnsi"/>
                <w:sz w:val="24"/>
                <w:szCs w:val="24"/>
              </w:rPr>
              <w:t>I</w:t>
            </w:r>
            <w:r w:rsidR="007A70C7">
              <w:rPr>
                <w:rFonts w:cstheme="minorHAnsi"/>
                <w:sz w:val="24"/>
                <w:szCs w:val="24"/>
              </w:rPr>
              <w:t>f the project type is “Screen only</w:t>
            </w:r>
            <w:r w:rsidR="00150CA7">
              <w:rPr>
                <w:rFonts w:cstheme="minorHAnsi"/>
                <w:sz w:val="24"/>
                <w:szCs w:val="24"/>
              </w:rPr>
              <w:t>”,</w:t>
            </w:r>
            <w:r w:rsidR="007A70C7">
              <w:rPr>
                <w:rFonts w:cstheme="minorHAnsi"/>
                <w:sz w:val="24"/>
                <w:szCs w:val="24"/>
              </w:rPr>
              <w:t xml:space="preserve"> the storage equivalent input should be 0</w:t>
            </w:r>
            <w:r w:rsidR="00F011A4">
              <w:rPr>
                <w:rFonts w:cstheme="minorHAnsi"/>
                <w:sz w:val="24"/>
                <w:szCs w:val="24"/>
              </w:rPr>
              <w:t>.</w:t>
            </w:r>
          </w:p>
        </w:tc>
        <w:tc>
          <w:tcPr>
            <w:tcW w:w="0" w:type="auto"/>
          </w:tcPr>
          <w:p w14:paraId="584BA782" w14:textId="72FAB942" w:rsidR="00EE0238" w:rsidRPr="00BF6D98" w:rsidRDefault="00725BA1">
            <w:pPr>
              <w:pStyle w:val="TableParagraph"/>
              <w:rPr>
                <w:rFonts w:cstheme="minorHAnsi"/>
                <w:sz w:val="24"/>
                <w:szCs w:val="24"/>
              </w:rPr>
            </w:pPr>
            <w:r w:rsidRPr="00BF6D98">
              <w:rPr>
                <w:rFonts w:cstheme="minorHAnsi"/>
                <w:sz w:val="24"/>
                <w:szCs w:val="24"/>
              </w:rPr>
              <w:t>m</w:t>
            </w:r>
            <w:r w:rsidRPr="00BF6D98">
              <w:rPr>
                <w:rFonts w:cstheme="minorHAnsi"/>
                <w:sz w:val="24"/>
                <w:szCs w:val="24"/>
                <w:vertAlign w:val="superscript"/>
              </w:rPr>
              <w:t>3</w:t>
            </w:r>
            <w:r w:rsidRPr="00BF6D98">
              <w:rPr>
                <w:rFonts w:cstheme="minorHAnsi"/>
                <w:sz w:val="24"/>
                <w:szCs w:val="24"/>
              </w:rPr>
              <w:tab/>
            </w:r>
          </w:p>
        </w:tc>
        <w:tc>
          <w:tcPr>
            <w:tcW w:w="0" w:type="auto"/>
          </w:tcPr>
          <w:p w14:paraId="696602FC" w14:textId="27E3E521" w:rsidR="00EE0238" w:rsidRPr="00BF6D98" w:rsidRDefault="00A36E81" w:rsidP="00A110BB">
            <w:pPr>
              <w:spacing w:line="240" w:lineRule="auto"/>
              <w:jc w:val="left"/>
              <w:rPr>
                <w:rFonts w:cstheme="minorHAnsi"/>
                <w:color w:val="000000"/>
                <w:szCs w:val="24"/>
              </w:rPr>
            </w:pPr>
            <w:r w:rsidRPr="00BF6D98">
              <w:rPr>
                <w:rFonts w:cstheme="minorHAnsi"/>
                <w:szCs w:val="24"/>
              </w:rPr>
              <w:t>PR24 DD PCD appendix 4.2.2</w:t>
            </w:r>
          </w:p>
        </w:tc>
      </w:tr>
      <w:tr w:rsidR="005F15AC" w:rsidRPr="00361CC1" w14:paraId="16A3008F" w14:textId="77777777" w:rsidTr="00D04C95">
        <w:tc>
          <w:tcPr>
            <w:tcW w:w="0" w:type="auto"/>
            <w:gridSpan w:val="5"/>
            <w:shd w:val="clear" w:color="auto" w:fill="D9D9D9" w:themeFill="background1" w:themeFillShade="D9"/>
          </w:tcPr>
          <w:p w14:paraId="1FE105AA" w14:textId="32F45189" w:rsidR="005F15AC" w:rsidRPr="00DE609B" w:rsidRDefault="00EF4B1D">
            <w:pPr>
              <w:pStyle w:val="TableParagraph"/>
              <w:rPr>
                <w:rFonts w:cstheme="minorHAnsi"/>
                <w:sz w:val="24"/>
                <w:szCs w:val="24"/>
              </w:rPr>
            </w:pPr>
            <w:r>
              <w:rPr>
                <w:rFonts w:cstheme="minorHAnsi"/>
                <w:b/>
                <w:sz w:val="24"/>
                <w:szCs w:val="24"/>
              </w:rPr>
              <w:t xml:space="preserve">Block N: </w:t>
            </w:r>
            <w:r w:rsidR="005F15AC" w:rsidRPr="00DE609B">
              <w:rPr>
                <w:rFonts w:cstheme="minorHAnsi"/>
                <w:b/>
                <w:sz w:val="24"/>
                <w:szCs w:val="24"/>
              </w:rPr>
              <w:t xml:space="preserve">Water Resources </w:t>
            </w:r>
            <w:r w:rsidR="005F15AC" w:rsidRPr="008B2183">
              <w:rPr>
                <w:rFonts w:cstheme="minorHAnsi"/>
                <w:b/>
                <w:bCs/>
                <w:sz w:val="24"/>
                <w:szCs w:val="24"/>
              </w:rPr>
              <w:t>Project</w:t>
            </w:r>
          </w:p>
        </w:tc>
      </w:tr>
      <w:tr w:rsidR="00CD275D" w:rsidRPr="00361CC1" w14:paraId="018DEB6A" w14:textId="77777777" w:rsidTr="00D04C95">
        <w:tc>
          <w:tcPr>
            <w:tcW w:w="0" w:type="auto"/>
          </w:tcPr>
          <w:p w14:paraId="0FD656D7" w14:textId="379952E5" w:rsidR="00986536" w:rsidRPr="00DE609B" w:rsidRDefault="0020066D" w:rsidP="00986536">
            <w:pPr>
              <w:pStyle w:val="TableParagraph"/>
              <w:rPr>
                <w:rFonts w:cstheme="minorHAnsi"/>
                <w:sz w:val="24"/>
                <w:szCs w:val="24"/>
              </w:rPr>
            </w:pPr>
            <w:r>
              <w:rPr>
                <w:rFonts w:cstheme="minorHAnsi"/>
                <w:sz w:val="24"/>
                <w:szCs w:val="24"/>
              </w:rPr>
              <w:t>12</w:t>
            </w:r>
            <w:r w:rsidR="00B84AF6">
              <w:rPr>
                <w:rFonts w:cstheme="minorHAnsi"/>
                <w:sz w:val="24"/>
                <w:szCs w:val="24"/>
              </w:rPr>
              <w:t>8</w:t>
            </w:r>
          </w:p>
        </w:tc>
        <w:tc>
          <w:tcPr>
            <w:tcW w:w="0" w:type="auto"/>
          </w:tcPr>
          <w:p w14:paraId="2CCE24F0" w14:textId="100DDB55" w:rsidR="00986536" w:rsidRPr="00EC6BC0" w:rsidRDefault="00986536" w:rsidP="00986536">
            <w:pPr>
              <w:pStyle w:val="TableParagraph"/>
              <w:rPr>
                <w:rFonts w:cstheme="minorHAnsi"/>
                <w:b/>
                <w:sz w:val="24"/>
                <w:szCs w:val="24"/>
              </w:rPr>
            </w:pPr>
            <w:r w:rsidRPr="00DE609B">
              <w:rPr>
                <w:rFonts w:cstheme="minorHAnsi"/>
                <w:sz w:val="24"/>
                <w:szCs w:val="24"/>
              </w:rPr>
              <w:t xml:space="preserve">Is this a water resources </w:t>
            </w:r>
            <w:r>
              <w:rPr>
                <w:rFonts w:cstheme="minorHAnsi"/>
                <w:sz w:val="24"/>
                <w:szCs w:val="24"/>
              </w:rPr>
              <w:t>project</w:t>
            </w:r>
            <w:r w:rsidRPr="00EC6BC0">
              <w:rPr>
                <w:rFonts w:cstheme="minorHAnsi"/>
                <w:sz w:val="24"/>
                <w:szCs w:val="24"/>
              </w:rPr>
              <w:t>?</w:t>
            </w:r>
            <w:r w:rsidRPr="00EC6BC0">
              <w:rPr>
                <w:rFonts w:cstheme="minorHAnsi"/>
                <w:sz w:val="24"/>
                <w:szCs w:val="24"/>
              </w:rPr>
              <w:tab/>
            </w:r>
          </w:p>
        </w:tc>
        <w:tc>
          <w:tcPr>
            <w:tcW w:w="0" w:type="auto"/>
          </w:tcPr>
          <w:p w14:paraId="033B24ED" w14:textId="117A3D55" w:rsidR="00986536" w:rsidRDefault="00986536" w:rsidP="0020066D">
            <w:pPr>
              <w:pStyle w:val="TableParagraph"/>
              <w:spacing w:after="60"/>
              <w:rPr>
                <w:rFonts w:ascii="Calibri" w:hAnsi="Calibri" w:cs="Calibri"/>
                <w:sz w:val="24"/>
                <w:szCs w:val="24"/>
              </w:rPr>
            </w:pPr>
            <w:r>
              <w:rPr>
                <w:rFonts w:ascii="Calibri" w:hAnsi="Calibri" w:cs="Calibri"/>
                <w:sz w:val="24"/>
                <w:szCs w:val="24"/>
              </w:rPr>
              <w:t>Drop-down menu. Options: Yes, No.</w:t>
            </w:r>
          </w:p>
          <w:p w14:paraId="7B6BD2D1" w14:textId="7EA411EF" w:rsidR="00C96F21" w:rsidRPr="00A0034C" w:rsidRDefault="00764F11" w:rsidP="0020066D">
            <w:pPr>
              <w:pStyle w:val="TableParagraph"/>
              <w:spacing w:after="60"/>
              <w:rPr>
                <w:rFonts w:cstheme="minorHAnsi"/>
                <w:sz w:val="24"/>
                <w:szCs w:val="24"/>
              </w:rPr>
            </w:pPr>
            <w:r w:rsidRPr="00EC6BC0">
              <w:rPr>
                <w:rFonts w:cstheme="minorHAnsi"/>
                <w:sz w:val="24"/>
                <w:szCs w:val="24"/>
              </w:rPr>
              <w:t xml:space="preserve">These are projects associated with the 25-year </w:t>
            </w:r>
            <w:r w:rsidR="00555079" w:rsidRPr="00EC6BC0">
              <w:rPr>
                <w:rFonts w:cstheme="minorHAnsi"/>
                <w:sz w:val="24"/>
                <w:szCs w:val="24"/>
              </w:rPr>
              <w:t xml:space="preserve">strategic </w:t>
            </w:r>
            <w:r w:rsidR="00093913" w:rsidRPr="00EC6BC0">
              <w:rPr>
                <w:rFonts w:cstheme="minorHAnsi"/>
                <w:sz w:val="24"/>
                <w:szCs w:val="24"/>
              </w:rPr>
              <w:t>Water Resource Plan</w:t>
            </w:r>
            <w:r w:rsidR="00674C2C">
              <w:rPr>
                <w:rFonts w:cstheme="minorHAnsi"/>
                <w:sz w:val="24"/>
                <w:szCs w:val="24"/>
              </w:rPr>
              <w:t xml:space="preserve"> (</w:t>
            </w:r>
            <w:r w:rsidR="005F7DF3">
              <w:rPr>
                <w:rFonts w:cstheme="minorHAnsi"/>
                <w:sz w:val="24"/>
                <w:szCs w:val="24"/>
              </w:rPr>
              <w:t>or the Water Resources Management Plans (WRMP) in England and Wales).</w:t>
            </w:r>
          </w:p>
        </w:tc>
        <w:tc>
          <w:tcPr>
            <w:tcW w:w="0" w:type="auto"/>
          </w:tcPr>
          <w:p w14:paraId="72838EA3" w14:textId="358BD09B" w:rsidR="00986536" w:rsidRPr="00A0034C" w:rsidRDefault="00986536" w:rsidP="00986536">
            <w:pPr>
              <w:pStyle w:val="TableParagraph"/>
              <w:rPr>
                <w:rFonts w:cstheme="minorHAnsi"/>
                <w:sz w:val="24"/>
                <w:szCs w:val="24"/>
              </w:rPr>
            </w:pPr>
            <w:r>
              <w:rPr>
                <w:rFonts w:cstheme="minorHAnsi"/>
                <w:sz w:val="24"/>
                <w:szCs w:val="24"/>
              </w:rPr>
              <w:t>N/A</w:t>
            </w:r>
          </w:p>
        </w:tc>
        <w:tc>
          <w:tcPr>
            <w:tcW w:w="0" w:type="auto"/>
          </w:tcPr>
          <w:p w14:paraId="0D7E725B" w14:textId="77777777" w:rsidR="00986536" w:rsidRPr="00A0034C" w:rsidRDefault="00986536" w:rsidP="00986536">
            <w:pPr>
              <w:spacing w:line="240" w:lineRule="auto"/>
              <w:jc w:val="left"/>
              <w:rPr>
                <w:rFonts w:cstheme="minorHAnsi"/>
                <w:color w:val="000000"/>
                <w:szCs w:val="24"/>
              </w:rPr>
            </w:pPr>
            <w:r w:rsidRPr="00A0034C">
              <w:rPr>
                <w:rFonts w:cstheme="minorHAnsi"/>
                <w:color w:val="000000"/>
                <w:szCs w:val="24"/>
              </w:rPr>
              <w:t>CW8</w:t>
            </w:r>
          </w:p>
          <w:p w14:paraId="3C040704" w14:textId="77777777" w:rsidR="00986536" w:rsidRPr="00A0034C" w:rsidRDefault="00986536" w:rsidP="00986536">
            <w:pPr>
              <w:pStyle w:val="TableParagraph"/>
              <w:rPr>
                <w:rFonts w:cstheme="minorHAnsi"/>
                <w:sz w:val="24"/>
                <w:szCs w:val="24"/>
              </w:rPr>
            </w:pPr>
          </w:p>
        </w:tc>
      </w:tr>
      <w:tr w:rsidR="00CD275D" w:rsidRPr="00361CC1" w14:paraId="0B485351" w14:textId="77777777" w:rsidTr="00D04C95">
        <w:tc>
          <w:tcPr>
            <w:tcW w:w="0" w:type="auto"/>
          </w:tcPr>
          <w:p w14:paraId="24126684" w14:textId="7839CF5B" w:rsidR="00251059" w:rsidRPr="00A0034C" w:rsidRDefault="003403B8" w:rsidP="00251059">
            <w:pPr>
              <w:pStyle w:val="TableParagraph"/>
              <w:rPr>
                <w:rFonts w:cstheme="minorHAnsi"/>
                <w:sz w:val="24"/>
                <w:szCs w:val="24"/>
              </w:rPr>
            </w:pPr>
            <w:r>
              <w:rPr>
                <w:rFonts w:cstheme="minorHAnsi"/>
                <w:sz w:val="24"/>
                <w:szCs w:val="24"/>
              </w:rPr>
              <w:t>1</w:t>
            </w:r>
            <w:r w:rsidR="00B84AF6">
              <w:rPr>
                <w:rFonts w:cstheme="minorHAnsi"/>
                <w:sz w:val="24"/>
                <w:szCs w:val="24"/>
              </w:rPr>
              <w:t>29</w:t>
            </w:r>
          </w:p>
        </w:tc>
        <w:tc>
          <w:tcPr>
            <w:tcW w:w="0" w:type="auto"/>
          </w:tcPr>
          <w:p w14:paraId="70F3A7D9" w14:textId="5CD4C27A" w:rsidR="00251059" w:rsidRPr="00A0034C" w:rsidRDefault="00251059" w:rsidP="00251059">
            <w:pPr>
              <w:pStyle w:val="TableParagraph"/>
              <w:rPr>
                <w:rFonts w:cstheme="minorHAnsi"/>
                <w:b/>
                <w:sz w:val="24"/>
                <w:szCs w:val="24"/>
              </w:rPr>
            </w:pPr>
            <w:r w:rsidRPr="00A0034C">
              <w:rPr>
                <w:rFonts w:cstheme="minorHAnsi"/>
                <w:sz w:val="24"/>
                <w:szCs w:val="24"/>
              </w:rPr>
              <w:t xml:space="preserve">Project </w:t>
            </w:r>
            <w:r w:rsidRPr="00A0034C" w:rsidDel="005B494C">
              <w:rPr>
                <w:rFonts w:cstheme="minorHAnsi"/>
                <w:sz w:val="24"/>
                <w:szCs w:val="24"/>
              </w:rPr>
              <w:t>type</w:t>
            </w:r>
          </w:p>
        </w:tc>
        <w:tc>
          <w:tcPr>
            <w:tcW w:w="0" w:type="auto"/>
          </w:tcPr>
          <w:p w14:paraId="01ACC948" w14:textId="43B6EEF4" w:rsidR="00251059" w:rsidRPr="00A0034C" w:rsidRDefault="00166CB4" w:rsidP="0020066D">
            <w:pPr>
              <w:pStyle w:val="TableParagraph"/>
              <w:spacing w:after="60"/>
              <w:rPr>
                <w:rFonts w:cstheme="minorHAnsi"/>
                <w:sz w:val="24"/>
                <w:szCs w:val="24"/>
              </w:rPr>
            </w:pPr>
            <w:r>
              <w:rPr>
                <w:rFonts w:ascii="Calibri" w:hAnsi="Calibri" w:cs="Calibri"/>
                <w:sz w:val="24"/>
                <w:szCs w:val="24"/>
              </w:rPr>
              <w:t>Drop-down menu. Options:</w:t>
            </w:r>
          </w:p>
          <w:p w14:paraId="54AE3CAF" w14:textId="6CEFC84F"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lastRenderedPageBreak/>
              <w:t>Demand-side improvements delivering benefits in 2027-32 (excl</w:t>
            </w:r>
            <w:r w:rsidR="00780B22">
              <w:rPr>
                <w:rFonts w:cstheme="minorHAnsi"/>
                <w:sz w:val="24"/>
                <w:szCs w:val="24"/>
              </w:rPr>
              <w:t>uding</w:t>
            </w:r>
            <w:r w:rsidRPr="00A0034C">
              <w:rPr>
                <w:rFonts w:cstheme="minorHAnsi"/>
                <w:sz w:val="24"/>
                <w:szCs w:val="24"/>
              </w:rPr>
              <w:t xml:space="preserve"> leakage and metering) </w:t>
            </w:r>
          </w:p>
          <w:p w14:paraId="0EAE8EDC" w14:textId="2683A0C0"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t xml:space="preserve">Supply-demand balance improvements delivering benefits starting from 2032 </w:t>
            </w:r>
          </w:p>
          <w:p w14:paraId="07FD000D" w14:textId="77777777"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t xml:space="preserve">Supply-side improvements delivering benefits in 2027-32 </w:t>
            </w:r>
          </w:p>
          <w:p w14:paraId="20D2ADEC" w14:textId="77777777" w:rsidR="00251059" w:rsidRDefault="00251059" w:rsidP="000A01AB">
            <w:pPr>
              <w:pStyle w:val="TableParagraph"/>
              <w:numPr>
                <w:ilvl w:val="0"/>
                <w:numId w:val="11"/>
              </w:numPr>
              <w:spacing w:after="60"/>
              <w:rPr>
                <w:rFonts w:cstheme="minorHAnsi"/>
                <w:sz w:val="24"/>
                <w:szCs w:val="24"/>
              </w:rPr>
            </w:pPr>
            <w:r w:rsidRPr="00A0034C">
              <w:rPr>
                <w:rFonts w:cstheme="minorHAnsi"/>
                <w:sz w:val="24"/>
                <w:szCs w:val="24"/>
              </w:rPr>
              <w:t>Internal interconnectors delivering benefits in 2027-32</w:t>
            </w:r>
          </w:p>
          <w:p w14:paraId="4E7B1E20" w14:textId="4D82EB37" w:rsidR="00251059" w:rsidRPr="00A0034C" w:rsidRDefault="002F74AC" w:rsidP="002F74AC">
            <w:pPr>
              <w:pStyle w:val="TableParagraph"/>
              <w:spacing w:after="60"/>
              <w:rPr>
                <w:rFonts w:cstheme="minorHAnsi"/>
                <w:sz w:val="24"/>
                <w:szCs w:val="24"/>
              </w:rPr>
            </w:pPr>
            <w:r w:rsidRPr="002F74AC">
              <w:rPr>
                <w:rFonts w:cstheme="minorHAnsi"/>
                <w:sz w:val="24"/>
                <w:szCs w:val="24"/>
              </w:rPr>
              <w:t xml:space="preserve">Scottish Water should </w:t>
            </w:r>
            <w:r w:rsidR="00DF329C">
              <w:rPr>
                <w:rFonts w:cstheme="minorHAnsi"/>
                <w:sz w:val="24"/>
                <w:szCs w:val="24"/>
              </w:rPr>
              <w:t>complete</w:t>
            </w:r>
            <w:r w:rsidRPr="002F74AC">
              <w:rPr>
                <w:rFonts w:cstheme="minorHAnsi"/>
                <w:sz w:val="24"/>
                <w:szCs w:val="24"/>
              </w:rPr>
              <w:t xml:space="preserve"> this column only if the input in column </w:t>
            </w:r>
            <w:r w:rsidR="00E56C28">
              <w:rPr>
                <w:rFonts w:cstheme="minorHAnsi"/>
                <w:sz w:val="24"/>
                <w:szCs w:val="24"/>
              </w:rPr>
              <w:t>128</w:t>
            </w:r>
            <w:r w:rsidRPr="002F74AC">
              <w:rPr>
                <w:rFonts w:cstheme="minorHAnsi"/>
                <w:sz w:val="24"/>
                <w:szCs w:val="24"/>
              </w:rPr>
              <w:t xml:space="preserve"> is “Yes”.</w:t>
            </w:r>
          </w:p>
        </w:tc>
        <w:tc>
          <w:tcPr>
            <w:tcW w:w="0" w:type="auto"/>
          </w:tcPr>
          <w:p w14:paraId="643F99D9" w14:textId="203A5279" w:rsidR="00251059" w:rsidRPr="00A0034C" w:rsidRDefault="00251059" w:rsidP="00251059">
            <w:pPr>
              <w:pStyle w:val="TableParagraph"/>
              <w:rPr>
                <w:rFonts w:cstheme="minorHAnsi"/>
                <w:sz w:val="24"/>
                <w:szCs w:val="24"/>
              </w:rPr>
            </w:pPr>
            <w:r w:rsidRPr="00A0034C">
              <w:rPr>
                <w:rFonts w:cstheme="minorHAnsi"/>
                <w:sz w:val="24"/>
                <w:szCs w:val="24"/>
              </w:rPr>
              <w:lastRenderedPageBreak/>
              <w:t>N/A</w:t>
            </w:r>
          </w:p>
        </w:tc>
        <w:tc>
          <w:tcPr>
            <w:tcW w:w="0" w:type="auto"/>
          </w:tcPr>
          <w:p w14:paraId="16EC8B1D" w14:textId="77777777" w:rsidR="00251059" w:rsidRPr="00A0034C" w:rsidRDefault="00251059" w:rsidP="00251059">
            <w:pPr>
              <w:spacing w:line="240" w:lineRule="auto"/>
              <w:jc w:val="left"/>
              <w:rPr>
                <w:rFonts w:cstheme="minorHAnsi"/>
                <w:color w:val="000000"/>
                <w:szCs w:val="24"/>
              </w:rPr>
            </w:pPr>
            <w:r w:rsidRPr="00A0034C">
              <w:rPr>
                <w:rFonts w:cstheme="minorHAnsi"/>
                <w:color w:val="000000"/>
                <w:szCs w:val="24"/>
              </w:rPr>
              <w:t>CW8</w:t>
            </w:r>
          </w:p>
          <w:p w14:paraId="76FE0D12" w14:textId="77777777" w:rsidR="00251059" w:rsidRPr="00A0034C" w:rsidRDefault="00251059" w:rsidP="00251059">
            <w:pPr>
              <w:pStyle w:val="TableParagraph"/>
              <w:rPr>
                <w:rFonts w:cstheme="minorHAnsi"/>
                <w:sz w:val="24"/>
                <w:szCs w:val="24"/>
              </w:rPr>
            </w:pPr>
          </w:p>
        </w:tc>
      </w:tr>
      <w:tr w:rsidR="00CD275D" w:rsidRPr="00361CC1" w14:paraId="162240B2" w14:textId="77777777" w:rsidTr="00D04C95">
        <w:tc>
          <w:tcPr>
            <w:tcW w:w="0" w:type="auto"/>
          </w:tcPr>
          <w:p w14:paraId="5AB246B2" w14:textId="6B9A672F" w:rsidR="00251059" w:rsidRPr="00A0034C" w:rsidRDefault="00D05F4D" w:rsidP="00251059">
            <w:pPr>
              <w:pStyle w:val="TableParagraph"/>
              <w:rPr>
                <w:rFonts w:cstheme="minorHAnsi"/>
                <w:sz w:val="24"/>
                <w:szCs w:val="24"/>
              </w:rPr>
            </w:pPr>
            <w:r>
              <w:rPr>
                <w:rFonts w:cstheme="minorHAnsi"/>
                <w:sz w:val="24"/>
                <w:szCs w:val="24"/>
              </w:rPr>
              <w:lastRenderedPageBreak/>
              <w:t>1</w:t>
            </w:r>
            <w:r w:rsidR="00E116E0">
              <w:rPr>
                <w:rFonts w:cstheme="minorHAnsi"/>
                <w:sz w:val="24"/>
                <w:szCs w:val="24"/>
              </w:rPr>
              <w:t>3</w:t>
            </w:r>
            <w:r w:rsidR="00B84AF6">
              <w:rPr>
                <w:rFonts w:cstheme="minorHAnsi"/>
                <w:sz w:val="24"/>
                <w:szCs w:val="24"/>
              </w:rPr>
              <w:t>0</w:t>
            </w:r>
          </w:p>
        </w:tc>
        <w:tc>
          <w:tcPr>
            <w:tcW w:w="0" w:type="auto"/>
          </w:tcPr>
          <w:p w14:paraId="044EF3D5" w14:textId="7F47F08F" w:rsidR="00251059" w:rsidRPr="00A0034C" w:rsidRDefault="00251059" w:rsidP="00251059">
            <w:pPr>
              <w:pStyle w:val="TableParagraph"/>
              <w:rPr>
                <w:rFonts w:cstheme="minorHAnsi"/>
                <w:b/>
                <w:sz w:val="24"/>
                <w:szCs w:val="24"/>
              </w:rPr>
            </w:pPr>
            <w:r w:rsidRPr="00A0034C">
              <w:rPr>
                <w:rFonts w:cstheme="minorHAnsi"/>
                <w:sz w:val="24"/>
                <w:szCs w:val="24"/>
              </w:rPr>
              <w:t>Delivery year (in use)</w:t>
            </w:r>
          </w:p>
        </w:tc>
        <w:tc>
          <w:tcPr>
            <w:tcW w:w="0" w:type="auto"/>
          </w:tcPr>
          <w:p w14:paraId="3975F930" w14:textId="77777777" w:rsidR="001A38DD" w:rsidRDefault="00251059" w:rsidP="0020066D">
            <w:pPr>
              <w:pStyle w:val="TableParagraph"/>
              <w:spacing w:after="60"/>
              <w:rPr>
                <w:rFonts w:cstheme="minorHAnsi"/>
                <w:sz w:val="24"/>
                <w:szCs w:val="24"/>
              </w:rPr>
            </w:pPr>
            <w:r w:rsidRPr="00A0034C">
              <w:rPr>
                <w:rFonts w:cstheme="minorHAnsi"/>
                <w:sz w:val="24"/>
                <w:szCs w:val="24"/>
              </w:rPr>
              <w:t>The year in which the project is forecast to come into use</w:t>
            </w:r>
            <w:r w:rsidR="002F74AC">
              <w:rPr>
                <w:rFonts w:cstheme="minorHAnsi"/>
                <w:sz w:val="24"/>
                <w:szCs w:val="24"/>
              </w:rPr>
              <w:t xml:space="preserve">. </w:t>
            </w:r>
          </w:p>
          <w:p w14:paraId="63ECEBB2" w14:textId="1D755D1A" w:rsidR="00251059" w:rsidRPr="00A0034C" w:rsidRDefault="002F74AC" w:rsidP="0020066D">
            <w:pPr>
              <w:pStyle w:val="TableParagraph"/>
              <w:spacing w:after="60"/>
              <w:rPr>
                <w:rFonts w:cstheme="minorHAnsi"/>
                <w:sz w:val="24"/>
                <w:szCs w:val="24"/>
              </w:rPr>
            </w:pPr>
            <w:r w:rsidRPr="002F74AC">
              <w:rPr>
                <w:rFonts w:cstheme="minorHAnsi"/>
                <w:sz w:val="24"/>
                <w:szCs w:val="24"/>
              </w:rPr>
              <w:t xml:space="preserve">Scottish Water should provide input in this column only if the input in column </w:t>
            </w:r>
            <w:r w:rsidR="00E56C28">
              <w:rPr>
                <w:rFonts w:cstheme="minorHAnsi"/>
                <w:sz w:val="24"/>
                <w:szCs w:val="24"/>
              </w:rPr>
              <w:t>128</w:t>
            </w:r>
            <w:r w:rsidRPr="002F74AC">
              <w:rPr>
                <w:rFonts w:cstheme="minorHAnsi"/>
                <w:sz w:val="24"/>
                <w:szCs w:val="24"/>
              </w:rPr>
              <w:t xml:space="preserve"> is “Yes”.</w:t>
            </w:r>
          </w:p>
        </w:tc>
        <w:tc>
          <w:tcPr>
            <w:tcW w:w="0" w:type="auto"/>
          </w:tcPr>
          <w:p w14:paraId="131B0A25" w14:textId="5316FFBC" w:rsidR="00251059" w:rsidRPr="00A0034C" w:rsidRDefault="00166CB4" w:rsidP="00251059">
            <w:pPr>
              <w:pStyle w:val="TableParagraph"/>
              <w:rPr>
                <w:rFonts w:cstheme="minorHAnsi"/>
                <w:sz w:val="24"/>
                <w:szCs w:val="24"/>
              </w:rPr>
            </w:pPr>
            <w:r>
              <w:rPr>
                <w:rFonts w:cstheme="minorHAnsi"/>
                <w:sz w:val="24"/>
                <w:szCs w:val="24"/>
              </w:rPr>
              <w:t>Y</w:t>
            </w:r>
            <w:r w:rsidR="00251059" w:rsidRPr="00A0034C">
              <w:rPr>
                <w:rFonts w:cstheme="minorHAnsi"/>
                <w:sz w:val="24"/>
                <w:szCs w:val="24"/>
              </w:rPr>
              <w:t>ear</w:t>
            </w:r>
          </w:p>
        </w:tc>
        <w:tc>
          <w:tcPr>
            <w:tcW w:w="0" w:type="auto"/>
          </w:tcPr>
          <w:p w14:paraId="0F60F84C" w14:textId="77037CB1" w:rsidR="00251059" w:rsidRPr="00A0034C" w:rsidRDefault="00251059" w:rsidP="00251059">
            <w:pPr>
              <w:spacing w:line="240" w:lineRule="auto"/>
              <w:jc w:val="left"/>
              <w:rPr>
                <w:rFonts w:cstheme="minorHAnsi"/>
                <w:color w:val="000000"/>
                <w:szCs w:val="24"/>
              </w:rPr>
            </w:pPr>
            <w:r w:rsidRPr="00A0034C">
              <w:rPr>
                <w:rFonts w:cstheme="minorHAnsi"/>
                <w:color w:val="000000"/>
                <w:szCs w:val="24"/>
              </w:rPr>
              <w:t>CW8</w:t>
            </w:r>
          </w:p>
        </w:tc>
      </w:tr>
      <w:tr w:rsidR="00CD275D" w:rsidRPr="00361CC1" w14:paraId="30015C16" w14:textId="77777777" w:rsidTr="00D04C95">
        <w:tc>
          <w:tcPr>
            <w:tcW w:w="0" w:type="auto"/>
          </w:tcPr>
          <w:p w14:paraId="43BB644B" w14:textId="14F1BA3B" w:rsidR="00251059" w:rsidRPr="00A0034C" w:rsidRDefault="00D05F4D" w:rsidP="00251059">
            <w:pPr>
              <w:pStyle w:val="TableParagraph"/>
              <w:rPr>
                <w:rFonts w:cstheme="minorHAnsi"/>
                <w:sz w:val="24"/>
                <w:szCs w:val="24"/>
              </w:rPr>
            </w:pPr>
            <w:r>
              <w:rPr>
                <w:rFonts w:cstheme="minorHAnsi"/>
                <w:sz w:val="24"/>
                <w:szCs w:val="24"/>
              </w:rPr>
              <w:t>1</w:t>
            </w:r>
            <w:r w:rsidR="00E116E0">
              <w:rPr>
                <w:rFonts w:cstheme="minorHAnsi"/>
                <w:sz w:val="24"/>
                <w:szCs w:val="24"/>
              </w:rPr>
              <w:t>3</w:t>
            </w:r>
            <w:r w:rsidR="00B84AF6">
              <w:rPr>
                <w:rFonts w:cstheme="minorHAnsi"/>
                <w:sz w:val="24"/>
                <w:szCs w:val="24"/>
              </w:rPr>
              <w:t>1</w:t>
            </w:r>
          </w:p>
        </w:tc>
        <w:tc>
          <w:tcPr>
            <w:tcW w:w="0" w:type="auto"/>
          </w:tcPr>
          <w:p w14:paraId="07035DFA" w14:textId="188BCA7F" w:rsidR="00251059" w:rsidRPr="00A265E4" w:rsidRDefault="00251059" w:rsidP="00251059">
            <w:pPr>
              <w:pStyle w:val="TableParagraph"/>
              <w:rPr>
                <w:rFonts w:cstheme="minorHAnsi"/>
                <w:b/>
                <w:sz w:val="24"/>
                <w:szCs w:val="24"/>
              </w:rPr>
            </w:pPr>
            <w:r w:rsidRPr="00A0034C">
              <w:rPr>
                <w:rFonts w:cstheme="minorHAnsi"/>
                <w:sz w:val="24"/>
                <w:szCs w:val="24"/>
              </w:rPr>
              <w:t xml:space="preserve">Interconnectors only: </w:t>
            </w:r>
            <w:r w:rsidR="00F553AF">
              <w:rPr>
                <w:rFonts w:cstheme="minorHAnsi"/>
                <w:sz w:val="24"/>
                <w:szCs w:val="24"/>
              </w:rPr>
              <w:t>l</w:t>
            </w:r>
            <w:r w:rsidRPr="00A0034C">
              <w:rPr>
                <w:rFonts w:cstheme="minorHAnsi"/>
                <w:sz w:val="24"/>
                <w:szCs w:val="24"/>
              </w:rPr>
              <w:t>ength</w:t>
            </w:r>
            <w:r w:rsidR="00F553AF">
              <w:rPr>
                <w:rFonts w:cstheme="minorHAnsi"/>
                <w:sz w:val="24"/>
                <w:szCs w:val="24"/>
              </w:rPr>
              <w:t xml:space="preserve"> (km)</w:t>
            </w:r>
            <w:r w:rsidRPr="00A265E4">
              <w:rPr>
                <w:rFonts w:cstheme="minorHAnsi"/>
                <w:sz w:val="24"/>
                <w:szCs w:val="24"/>
              </w:rPr>
              <w:t xml:space="preserve"> </w:t>
            </w:r>
          </w:p>
        </w:tc>
        <w:tc>
          <w:tcPr>
            <w:tcW w:w="0" w:type="auto"/>
          </w:tcPr>
          <w:p w14:paraId="2738F34C" w14:textId="29C81D4C"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695C4C">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A265E4">
              <w:rPr>
                <w:rFonts w:cstheme="minorHAnsi"/>
                <w:sz w:val="24"/>
                <w:szCs w:val="24"/>
              </w:rPr>
              <w:t>, input the length of the interconnector</w:t>
            </w:r>
            <w:r w:rsidR="00FB25F5">
              <w:rPr>
                <w:rFonts w:cstheme="minorHAnsi"/>
                <w:sz w:val="24"/>
                <w:szCs w:val="24"/>
              </w:rPr>
              <w:t>.</w:t>
            </w:r>
          </w:p>
        </w:tc>
        <w:tc>
          <w:tcPr>
            <w:tcW w:w="0" w:type="auto"/>
          </w:tcPr>
          <w:p w14:paraId="4EDA7C48" w14:textId="134FC43F" w:rsidR="00251059" w:rsidRPr="00A265E4" w:rsidRDefault="00251059" w:rsidP="00251059">
            <w:pPr>
              <w:pStyle w:val="TableParagraph"/>
              <w:rPr>
                <w:rFonts w:cstheme="minorHAnsi"/>
                <w:sz w:val="24"/>
                <w:szCs w:val="24"/>
              </w:rPr>
            </w:pPr>
            <w:r w:rsidRPr="00A265E4">
              <w:rPr>
                <w:rFonts w:cstheme="minorHAnsi"/>
                <w:sz w:val="24"/>
                <w:szCs w:val="24"/>
                <w:lang w:eastAsia="zh-CN"/>
              </w:rPr>
              <w:t>k</w:t>
            </w:r>
            <w:r w:rsidRPr="00A265E4">
              <w:rPr>
                <w:rFonts w:cstheme="minorHAnsi"/>
                <w:sz w:val="24"/>
                <w:szCs w:val="24"/>
              </w:rPr>
              <w:t>m</w:t>
            </w:r>
          </w:p>
        </w:tc>
        <w:tc>
          <w:tcPr>
            <w:tcW w:w="0" w:type="auto"/>
          </w:tcPr>
          <w:p w14:paraId="2EDEAF8C" w14:textId="4C2D9439"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1B2925C5" w14:textId="77777777" w:rsidTr="00D04C95">
        <w:tc>
          <w:tcPr>
            <w:tcW w:w="0" w:type="auto"/>
          </w:tcPr>
          <w:p w14:paraId="3DA50CF7" w14:textId="51A19F8A" w:rsidR="00251059" w:rsidRPr="00A265E4" w:rsidRDefault="00D05F4D" w:rsidP="00251059">
            <w:pPr>
              <w:pStyle w:val="TableParagraph"/>
              <w:rPr>
                <w:rFonts w:cstheme="minorHAnsi"/>
                <w:sz w:val="24"/>
                <w:szCs w:val="24"/>
              </w:rPr>
            </w:pPr>
            <w:r>
              <w:rPr>
                <w:rFonts w:cstheme="minorHAnsi"/>
                <w:sz w:val="24"/>
                <w:szCs w:val="24"/>
              </w:rPr>
              <w:t>13</w:t>
            </w:r>
            <w:r w:rsidR="00B84AF6">
              <w:rPr>
                <w:rFonts w:cstheme="minorHAnsi"/>
                <w:sz w:val="24"/>
                <w:szCs w:val="24"/>
              </w:rPr>
              <w:t>2</w:t>
            </w:r>
          </w:p>
        </w:tc>
        <w:tc>
          <w:tcPr>
            <w:tcW w:w="0" w:type="auto"/>
          </w:tcPr>
          <w:p w14:paraId="7FEF3E70" w14:textId="6227B847" w:rsidR="00251059" w:rsidRPr="00A265E4" w:rsidRDefault="00251059" w:rsidP="00251059">
            <w:pPr>
              <w:pStyle w:val="TableParagraph"/>
              <w:rPr>
                <w:rFonts w:cstheme="minorHAnsi"/>
                <w:b/>
                <w:sz w:val="24"/>
                <w:szCs w:val="24"/>
              </w:rPr>
            </w:pPr>
            <w:r w:rsidRPr="00A265E4">
              <w:rPr>
                <w:rFonts w:cstheme="minorHAnsi"/>
                <w:sz w:val="24"/>
                <w:szCs w:val="24"/>
              </w:rPr>
              <w:t xml:space="preserve">Interconnectors only: </w:t>
            </w:r>
            <w:r w:rsidR="00F553AF">
              <w:rPr>
                <w:rFonts w:cstheme="minorHAnsi"/>
                <w:sz w:val="24"/>
                <w:szCs w:val="24"/>
              </w:rPr>
              <w:t>d</w:t>
            </w:r>
            <w:r w:rsidRPr="00A265E4">
              <w:rPr>
                <w:rFonts w:cstheme="minorHAnsi"/>
                <w:sz w:val="24"/>
                <w:szCs w:val="24"/>
              </w:rPr>
              <w:t xml:space="preserve">iameter </w:t>
            </w:r>
            <w:r w:rsidR="00F553AF">
              <w:rPr>
                <w:rFonts w:cstheme="minorHAnsi"/>
                <w:sz w:val="24"/>
                <w:szCs w:val="24"/>
              </w:rPr>
              <w:t>(mm)</w:t>
            </w:r>
          </w:p>
        </w:tc>
        <w:tc>
          <w:tcPr>
            <w:tcW w:w="0" w:type="auto"/>
          </w:tcPr>
          <w:p w14:paraId="183B3F4F" w14:textId="703D30F6"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D05F4D">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A265E4">
              <w:rPr>
                <w:rFonts w:cstheme="minorHAnsi"/>
                <w:sz w:val="24"/>
                <w:szCs w:val="24"/>
              </w:rPr>
              <w:t>, input the diameter of the interconnector</w:t>
            </w:r>
            <w:r w:rsidR="00FB25F5">
              <w:rPr>
                <w:rFonts w:cstheme="minorHAnsi"/>
                <w:sz w:val="24"/>
                <w:szCs w:val="24"/>
              </w:rPr>
              <w:t>.</w:t>
            </w:r>
          </w:p>
        </w:tc>
        <w:tc>
          <w:tcPr>
            <w:tcW w:w="0" w:type="auto"/>
          </w:tcPr>
          <w:p w14:paraId="33F86D7A" w14:textId="6215E344" w:rsidR="00251059" w:rsidRPr="00A265E4" w:rsidRDefault="00251059" w:rsidP="00251059">
            <w:pPr>
              <w:pStyle w:val="TableParagraph"/>
              <w:rPr>
                <w:rFonts w:cstheme="minorHAnsi"/>
                <w:sz w:val="24"/>
                <w:szCs w:val="24"/>
              </w:rPr>
            </w:pPr>
            <w:r w:rsidRPr="00A265E4">
              <w:rPr>
                <w:rFonts w:cstheme="minorHAnsi"/>
                <w:sz w:val="24"/>
                <w:szCs w:val="24"/>
                <w:lang w:eastAsia="zh-CN"/>
              </w:rPr>
              <w:t>m</w:t>
            </w:r>
            <w:r w:rsidRPr="00A265E4">
              <w:rPr>
                <w:rFonts w:cstheme="minorHAnsi"/>
                <w:sz w:val="24"/>
                <w:szCs w:val="24"/>
              </w:rPr>
              <w:t>m</w:t>
            </w:r>
          </w:p>
        </w:tc>
        <w:tc>
          <w:tcPr>
            <w:tcW w:w="0" w:type="auto"/>
          </w:tcPr>
          <w:p w14:paraId="5C8CA880" w14:textId="1CE5ED63"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6750EC8B" w14:textId="77777777" w:rsidTr="00D04C95">
        <w:tc>
          <w:tcPr>
            <w:tcW w:w="0" w:type="auto"/>
          </w:tcPr>
          <w:p w14:paraId="593EBD76" w14:textId="19871FEF" w:rsidR="00251059" w:rsidRPr="00A265E4" w:rsidRDefault="00D05F4D" w:rsidP="00251059">
            <w:pPr>
              <w:pStyle w:val="TableParagraph"/>
              <w:rPr>
                <w:rFonts w:cstheme="minorHAnsi"/>
                <w:sz w:val="24"/>
                <w:szCs w:val="24"/>
              </w:rPr>
            </w:pPr>
            <w:r>
              <w:rPr>
                <w:rFonts w:cstheme="minorHAnsi"/>
                <w:sz w:val="24"/>
                <w:szCs w:val="24"/>
              </w:rPr>
              <w:t>13</w:t>
            </w:r>
            <w:r w:rsidR="00B84AF6">
              <w:rPr>
                <w:rFonts w:cstheme="minorHAnsi"/>
                <w:sz w:val="24"/>
                <w:szCs w:val="24"/>
              </w:rPr>
              <w:t>3</w:t>
            </w:r>
          </w:p>
        </w:tc>
        <w:tc>
          <w:tcPr>
            <w:tcW w:w="0" w:type="auto"/>
          </w:tcPr>
          <w:p w14:paraId="56F749AF" w14:textId="794CA82E" w:rsidR="00251059" w:rsidRPr="00A265E4" w:rsidRDefault="00251059" w:rsidP="00251059">
            <w:pPr>
              <w:pStyle w:val="TableParagraph"/>
              <w:rPr>
                <w:rFonts w:cstheme="minorHAnsi"/>
                <w:b/>
                <w:sz w:val="24"/>
                <w:szCs w:val="24"/>
              </w:rPr>
            </w:pPr>
            <w:r w:rsidRPr="00A265E4">
              <w:rPr>
                <w:rFonts w:cstheme="minorHAnsi"/>
                <w:sz w:val="24"/>
                <w:szCs w:val="24"/>
              </w:rPr>
              <w:t xml:space="preserve">Interconnectors only: </w:t>
            </w:r>
            <w:r w:rsidR="00F553AF">
              <w:rPr>
                <w:rFonts w:cstheme="minorHAnsi"/>
                <w:sz w:val="24"/>
                <w:szCs w:val="24"/>
              </w:rPr>
              <w:t>p</w:t>
            </w:r>
            <w:r w:rsidRPr="00A265E4">
              <w:rPr>
                <w:rFonts w:cstheme="minorHAnsi"/>
                <w:sz w:val="24"/>
                <w:szCs w:val="24"/>
              </w:rPr>
              <w:t>ipe material (</w:t>
            </w:r>
            <w:r w:rsidR="00F553AF">
              <w:rPr>
                <w:rFonts w:cstheme="minorHAnsi"/>
                <w:sz w:val="24"/>
                <w:szCs w:val="24"/>
              </w:rPr>
              <w:t>freeform text input</w:t>
            </w:r>
            <w:r w:rsidRPr="00A265E4">
              <w:rPr>
                <w:rFonts w:cstheme="minorHAnsi"/>
                <w:sz w:val="24"/>
                <w:szCs w:val="24"/>
              </w:rPr>
              <w:t>)</w:t>
            </w:r>
          </w:p>
        </w:tc>
        <w:tc>
          <w:tcPr>
            <w:tcW w:w="0" w:type="auto"/>
          </w:tcPr>
          <w:p w14:paraId="67D2950A" w14:textId="5DDD5D04"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D05F4D">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A265E4">
              <w:rPr>
                <w:rFonts w:cstheme="minorHAnsi"/>
                <w:sz w:val="24"/>
                <w:szCs w:val="24"/>
              </w:rPr>
              <w:t>, input the pipe material of the interconnector</w:t>
            </w:r>
            <w:r w:rsidR="00FB25F5">
              <w:rPr>
                <w:rFonts w:cstheme="minorHAnsi"/>
                <w:sz w:val="24"/>
                <w:szCs w:val="24"/>
              </w:rPr>
              <w:t>.</w:t>
            </w:r>
          </w:p>
        </w:tc>
        <w:tc>
          <w:tcPr>
            <w:tcW w:w="0" w:type="auto"/>
          </w:tcPr>
          <w:p w14:paraId="14AC9201" w14:textId="4FD66659" w:rsidR="00251059" w:rsidRPr="00A265E4" w:rsidRDefault="00F07549" w:rsidP="00251059">
            <w:pPr>
              <w:pStyle w:val="TableParagraph"/>
              <w:rPr>
                <w:rFonts w:cstheme="minorHAnsi"/>
                <w:sz w:val="24"/>
                <w:szCs w:val="24"/>
              </w:rPr>
            </w:pPr>
            <w:r>
              <w:rPr>
                <w:rFonts w:cstheme="minorHAnsi"/>
                <w:sz w:val="24"/>
                <w:szCs w:val="24"/>
              </w:rPr>
              <w:t>N/A</w:t>
            </w:r>
          </w:p>
        </w:tc>
        <w:tc>
          <w:tcPr>
            <w:tcW w:w="0" w:type="auto"/>
          </w:tcPr>
          <w:p w14:paraId="3B69DD05" w14:textId="77FA2C7A"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65779D76" w14:textId="77777777" w:rsidTr="00D04C95">
        <w:tc>
          <w:tcPr>
            <w:tcW w:w="0" w:type="auto"/>
          </w:tcPr>
          <w:p w14:paraId="47F211B3" w14:textId="6D9A5F2A" w:rsidR="00251059" w:rsidRPr="00A265E4" w:rsidRDefault="00D05F4D" w:rsidP="00251059">
            <w:pPr>
              <w:pStyle w:val="TableParagraph"/>
              <w:rPr>
                <w:rFonts w:cstheme="minorHAnsi"/>
                <w:sz w:val="24"/>
                <w:szCs w:val="24"/>
              </w:rPr>
            </w:pPr>
            <w:r>
              <w:rPr>
                <w:rFonts w:cstheme="minorHAnsi"/>
                <w:sz w:val="24"/>
                <w:szCs w:val="24"/>
              </w:rPr>
              <w:t>13</w:t>
            </w:r>
            <w:r w:rsidR="00B84AF6">
              <w:rPr>
                <w:rFonts w:cstheme="minorHAnsi"/>
                <w:sz w:val="24"/>
                <w:szCs w:val="24"/>
              </w:rPr>
              <w:t>4</w:t>
            </w:r>
          </w:p>
        </w:tc>
        <w:tc>
          <w:tcPr>
            <w:tcW w:w="0" w:type="auto"/>
          </w:tcPr>
          <w:p w14:paraId="2C9DE2DC" w14:textId="3E88756A" w:rsidR="00251059" w:rsidRPr="00A265E4" w:rsidRDefault="00251059" w:rsidP="00251059">
            <w:pPr>
              <w:pStyle w:val="TableParagraph"/>
              <w:rPr>
                <w:rFonts w:cstheme="minorHAnsi"/>
                <w:sz w:val="24"/>
                <w:szCs w:val="24"/>
              </w:rPr>
            </w:pPr>
            <w:r w:rsidRPr="00A265E4">
              <w:rPr>
                <w:rFonts w:cstheme="minorHAnsi"/>
                <w:sz w:val="24"/>
                <w:szCs w:val="24"/>
              </w:rPr>
              <w:t xml:space="preserve">Interconnectors only: </w:t>
            </w:r>
            <w:r w:rsidR="00F553AF">
              <w:rPr>
                <w:rFonts w:cstheme="minorHAnsi"/>
                <w:sz w:val="24"/>
                <w:szCs w:val="24"/>
              </w:rPr>
              <w:t>p</w:t>
            </w:r>
            <w:r w:rsidRPr="00A265E4">
              <w:rPr>
                <w:rFonts w:cstheme="minorHAnsi"/>
                <w:sz w:val="24"/>
                <w:szCs w:val="24"/>
              </w:rPr>
              <w:t>umping capacity</w:t>
            </w:r>
            <w:r w:rsidRPr="00A265E4" w:rsidDel="00A4606A">
              <w:rPr>
                <w:rFonts w:cstheme="minorHAnsi"/>
                <w:sz w:val="24"/>
                <w:szCs w:val="24"/>
              </w:rPr>
              <w:t xml:space="preserve"> </w:t>
            </w:r>
            <w:r w:rsidRPr="00A265E4">
              <w:rPr>
                <w:rFonts w:cstheme="minorHAnsi"/>
                <w:sz w:val="24"/>
                <w:szCs w:val="24"/>
              </w:rPr>
              <w:t xml:space="preserve">installed </w:t>
            </w:r>
            <w:r w:rsidR="00F553AF">
              <w:rPr>
                <w:rFonts w:cstheme="minorHAnsi"/>
                <w:sz w:val="24"/>
                <w:szCs w:val="24"/>
              </w:rPr>
              <w:t>(kW)</w:t>
            </w:r>
          </w:p>
        </w:tc>
        <w:tc>
          <w:tcPr>
            <w:tcW w:w="0" w:type="auto"/>
          </w:tcPr>
          <w:p w14:paraId="4014DBCD" w14:textId="305DBCAB"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D05F4D">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A265E4">
              <w:rPr>
                <w:rFonts w:cstheme="minorHAnsi"/>
                <w:sz w:val="24"/>
                <w:szCs w:val="24"/>
              </w:rPr>
              <w:t>, input the pumping capacity of the interconnector</w:t>
            </w:r>
            <w:r w:rsidR="00FB25F5">
              <w:rPr>
                <w:rFonts w:cstheme="minorHAnsi"/>
                <w:sz w:val="24"/>
                <w:szCs w:val="24"/>
              </w:rPr>
              <w:t>.</w:t>
            </w:r>
          </w:p>
        </w:tc>
        <w:tc>
          <w:tcPr>
            <w:tcW w:w="0" w:type="auto"/>
          </w:tcPr>
          <w:p w14:paraId="7B41250E" w14:textId="757825AB" w:rsidR="00251059" w:rsidRPr="00A265E4" w:rsidRDefault="00251059" w:rsidP="00251059">
            <w:pPr>
              <w:pStyle w:val="TableParagraph"/>
              <w:rPr>
                <w:rFonts w:cstheme="minorHAnsi"/>
                <w:sz w:val="24"/>
                <w:szCs w:val="24"/>
              </w:rPr>
            </w:pPr>
            <w:r w:rsidRPr="00A265E4">
              <w:rPr>
                <w:rFonts w:cstheme="minorHAnsi"/>
                <w:sz w:val="24"/>
                <w:szCs w:val="24"/>
              </w:rPr>
              <w:t>kW</w:t>
            </w:r>
          </w:p>
        </w:tc>
        <w:tc>
          <w:tcPr>
            <w:tcW w:w="0" w:type="auto"/>
          </w:tcPr>
          <w:p w14:paraId="1251C177" w14:textId="272E926D"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3B4695CD" w14:textId="77777777" w:rsidTr="00D04C95">
        <w:tc>
          <w:tcPr>
            <w:tcW w:w="0" w:type="auto"/>
          </w:tcPr>
          <w:p w14:paraId="38E0B0A7" w14:textId="57FFCC4D" w:rsidR="00251059" w:rsidRPr="00A265E4" w:rsidRDefault="00D05F4D" w:rsidP="00251059">
            <w:pPr>
              <w:pStyle w:val="TableParagraph"/>
              <w:rPr>
                <w:rFonts w:cstheme="minorHAnsi"/>
                <w:sz w:val="24"/>
                <w:szCs w:val="24"/>
              </w:rPr>
            </w:pPr>
            <w:r>
              <w:rPr>
                <w:rFonts w:cstheme="minorHAnsi"/>
                <w:sz w:val="24"/>
                <w:szCs w:val="24"/>
              </w:rPr>
              <w:lastRenderedPageBreak/>
              <w:t>13</w:t>
            </w:r>
            <w:r w:rsidR="00B84AF6">
              <w:rPr>
                <w:rFonts w:cstheme="minorHAnsi"/>
                <w:sz w:val="24"/>
                <w:szCs w:val="24"/>
              </w:rPr>
              <w:t>5</w:t>
            </w:r>
          </w:p>
        </w:tc>
        <w:tc>
          <w:tcPr>
            <w:tcW w:w="0" w:type="auto"/>
          </w:tcPr>
          <w:p w14:paraId="1EE5C904" w14:textId="5E935BD8" w:rsidR="00251059" w:rsidRPr="002B3FCC" w:rsidRDefault="00251059" w:rsidP="00251059">
            <w:pPr>
              <w:pStyle w:val="TableParagraph"/>
              <w:rPr>
                <w:rFonts w:cstheme="minorHAnsi"/>
                <w:sz w:val="24"/>
                <w:szCs w:val="24"/>
              </w:rPr>
            </w:pPr>
            <w:r w:rsidRPr="00A265E4">
              <w:rPr>
                <w:rFonts w:cstheme="minorHAnsi"/>
                <w:sz w:val="24"/>
                <w:szCs w:val="24"/>
              </w:rPr>
              <w:t xml:space="preserve">Interconnectors only: </w:t>
            </w:r>
            <w:r w:rsidR="000E1B1F">
              <w:rPr>
                <w:rFonts w:cstheme="minorHAnsi"/>
                <w:sz w:val="24"/>
                <w:szCs w:val="24"/>
              </w:rPr>
              <w:t>s</w:t>
            </w:r>
            <w:r w:rsidR="000E1B1F" w:rsidRPr="00A265E4">
              <w:rPr>
                <w:rFonts w:cstheme="minorHAnsi"/>
                <w:sz w:val="24"/>
                <w:szCs w:val="24"/>
              </w:rPr>
              <w:t xml:space="preserve">torage </w:t>
            </w:r>
            <w:r w:rsidRPr="00A265E4">
              <w:rPr>
                <w:rFonts w:cstheme="minorHAnsi"/>
                <w:sz w:val="24"/>
                <w:szCs w:val="24"/>
              </w:rPr>
              <w:t>capacity installed</w:t>
            </w:r>
            <w:r w:rsidR="000E1B1F">
              <w:rPr>
                <w:rFonts w:cstheme="minorHAnsi"/>
                <w:sz w:val="24"/>
                <w:szCs w:val="24"/>
              </w:rPr>
              <w:t xml:space="preserve"> (m</w:t>
            </w:r>
            <w:r w:rsidR="000E1B1F" w:rsidRPr="002B3FCC">
              <w:rPr>
                <w:rFonts w:cstheme="minorHAnsi"/>
                <w:sz w:val="24"/>
                <w:szCs w:val="24"/>
                <w:vertAlign w:val="superscript"/>
              </w:rPr>
              <w:t>3</w:t>
            </w:r>
            <w:r w:rsidR="000E1B1F">
              <w:rPr>
                <w:rFonts w:cstheme="minorHAnsi"/>
                <w:sz w:val="24"/>
                <w:szCs w:val="24"/>
              </w:rPr>
              <w:t>)</w:t>
            </w:r>
            <w:r w:rsidRPr="002B3FCC">
              <w:rPr>
                <w:rFonts w:cstheme="minorHAnsi"/>
                <w:sz w:val="24"/>
                <w:szCs w:val="24"/>
              </w:rPr>
              <w:t xml:space="preserve"> </w:t>
            </w:r>
          </w:p>
        </w:tc>
        <w:tc>
          <w:tcPr>
            <w:tcW w:w="0" w:type="auto"/>
          </w:tcPr>
          <w:p w14:paraId="705D69D4" w14:textId="0B4D8942" w:rsidR="00251059" w:rsidRPr="002B3FCC" w:rsidRDefault="00251059" w:rsidP="0020066D">
            <w:pPr>
              <w:pStyle w:val="TableParagraph"/>
              <w:spacing w:after="60"/>
              <w:rPr>
                <w:rFonts w:cstheme="minorHAnsi"/>
                <w:sz w:val="24"/>
                <w:szCs w:val="24"/>
              </w:rPr>
            </w:pPr>
            <w:r w:rsidRPr="002B3FCC">
              <w:rPr>
                <w:rFonts w:cstheme="minorHAnsi"/>
                <w:sz w:val="24"/>
                <w:szCs w:val="24"/>
              </w:rPr>
              <w:t>For interconnectors only</w:t>
            </w:r>
            <w:r w:rsidR="00D05F4D">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2B3FCC">
              <w:rPr>
                <w:rFonts w:cstheme="minorHAnsi"/>
                <w:sz w:val="24"/>
                <w:szCs w:val="24"/>
              </w:rPr>
              <w:t xml:space="preserve">, input the storage capacity of the interconnector. </w:t>
            </w:r>
          </w:p>
        </w:tc>
        <w:tc>
          <w:tcPr>
            <w:tcW w:w="0" w:type="auto"/>
          </w:tcPr>
          <w:p w14:paraId="4AB1DFE1" w14:textId="72BCBA30" w:rsidR="00251059" w:rsidRPr="002B3FCC" w:rsidRDefault="00251059" w:rsidP="00251059">
            <w:pPr>
              <w:pStyle w:val="TableParagraph"/>
              <w:rPr>
                <w:rFonts w:cstheme="minorHAnsi"/>
                <w:sz w:val="24"/>
                <w:szCs w:val="24"/>
              </w:rPr>
            </w:pPr>
            <w:r w:rsidRPr="002B3FCC">
              <w:rPr>
                <w:rFonts w:cstheme="minorHAnsi"/>
                <w:sz w:val="24"/>
                <w:szCs w:val="24"/>
                <w:lang w:eastAsia="zh-CN"/>
              </w:rPr>
              <w:t>m</w:t>
            </w:r>
            <w:r w:rsidRPr="002B3FCC">
              <w:rPr>
                <w:rFonts w:cstheme="minorHAnsi"/>
                <w:sz w:val="24"/>
                <w:szCs w:val="24"/>
                <w:vertAlign w:val="superscript"/>
              </w:rPr>
              <w:t>3</w:t>
            </w:r>
          </w:p>
        </w:tc>
        <w:tc>
          <w:tcPr>
            <w:tcW w:w="0" w:type="auto"/>
          </w:tcPr>
          <w:p w14:paraId="24E689F1" w14:textId="3AA20C16" w:rsidR="00251059" w:rsidRPr="002B3FCC" w:rsidRDefault="00251059" w:rsidP="00251059">
            <w:pPr>
              <w:pStyle w:val="TableParagraph"/>
              <w:rPr>
                <w:rFonts w:cstheme="minorHAnsi"/>
                <w:sz w:val="24"/>
                <w:szCs w:val="24"/>
              </w:rPr>
            </w:pPr>
            <w:r w:rsidRPr="002B3FCC">
              <w:rPr>
                <w:rFonts w:cstheme="minorHAnsi"/>
                <w:color w:val="000000"/>
                <w:sz w:val="24"/>
                <w:szCs w:val="24"/>
              </w:rPr>
              <w:t>CW8</w:t>
            </w:r>
          </w:p>
        </w:tc>
      </w:tr>
      <w:tr w:rsidR="00CD275D" w:rsidRPr="00361CC1" w14:paraId="623C00DC" w14:textId="77777777" w:rsidTr="00D04C95">
        <w:tc>
          <w:tcPr>
            <w:tcW w:w="0" w:type="auto"/>
          </w:tcPr>
          <w:p w14:paraId="7BF30BD5" w14:textId="1FE2956A" w:rsidR="00251059" w:rsidRPr="00774CAF" w:rsidRDefault="00D05F4D" w:rsidP="00251059">
            <w:pPr>
              <w:pStyle w:val="TableParagraph"/>
              <w:rPr>
                <w:rFonts w:cstheme="minorHAnsi"/>
                <w:sz w:val="24"/>
                <w:szCs w:val="24"/>
              </w:rPr>
            </w:pPr>
            <w:r>
              <w:rPr>
                <w:rFonts w:cstheme="minorHAnsi"/>
                <w:sz w:val="24"/>
                <w:szCs w:val="24"/>
              </w:rPr>
              <w:t>13</w:t>
            </w:r>
            <w:r w:rsidR="00B84AF6">
              <w:rPr>
                <w:rFonts w:cstheme="minorHAnsi"/>
                <w:sz w:val="24"/>
                <w:szCs w:val="24"/>
              </w:rPr>
              <w:t>6</w:t>
            </w:r>
          </w:p>
        </w:tc>
        <w:tc>
          <w:tcPr>
            <w:tcW w:w="0" w:type="auto"/>
          </w:tcPr>
          <w:p w14:paraId="3619E38A" w14:textId="72119E9B" w:rsidR="00251059" w:rsidRPr="00774CAF" w:rsidRDefault="00251059" w:rsidP="00251059">
            <w:pPr>
              <w:pStyle w:val="TableParagraph"/>
              <w:rPr>
                <w:rFonts w:cstheme="minorHAnsi"/>
                <w:sz w:val="24"/>
                <w:szCs w:val="24"/>
              </w:rPr>
            </w:pPr>
            <w:r w:rsidRPr="00774CAF">
              <w:rPr>
                <w:rFonts w:cstheme="minorHAnsi"/>
                <w:sz w:val="24"/>
                <w:szCs w:val="24"/>
              </w:rPr>
              <w:t xml:space="preserve">Interconnectors only: </w:t>
            </w:r>
            <w:r w:rsidR="000E1B1F">
              <w:rPr>
                <w:rFonts w:cstheme="minorHAnsi"/>
                <w:sz w:val="24"/>
                <w:szCs w:val="24"/>
              </w:rPr>
              <w:t>t</w:t>
            </w:r>
            <w:r w:rsidRPr="00774CAF">
              <w:rPr>
                <w:rFonts w:cstheme="minorHAnsi"/>
                <w:sz w:val="24"/>
                <w:szCs w:val="24"/>
              </w:rPr>
              <w:t xml:space="preserve">ransfer capacity </w:t>
            </w:r>
            <w:r w:rsidR="000E1B1F">
              <w:rPr>
                <w:rFonts w:cstheme="minorHAnsi"/>
                <w:sz w:val="24"/>
                <w:szCs w:val="24"/>
              </w:rPr>
              <w:t>(Ml/d)</w:t>
            </w:r>
          </w:p>
        </w:tc>
        <w:tc>
          <w:tcPr>
            <w:tcW w:w="0" w:type="auto"/>
          </w:tcPr>
          <w:p w14:paraId="1A3AF409" w14:textId="799BA6B5" w:rsidR="00251059" w:rsidRPr="00774CAF" w:rsidRDefault="00251059" w:rsidP="0020066D">
            <w:pPr>
              <w:pStyle w:val="TableParagraph"/>
              <w:spacing w:after="60"/>
              <w:rPr>
                <w:rFonts w:cstheme="minorHAnsi"/>
                <w:sz w:val="24"/>
                <w:szCs w:val="24"/>
              </w:rPr>
            </w:pPr>
            <w:r w:rsidRPr="00774CAF">
              <w:rPr>
                <w:rFonts w:cstheme="minorHAnsi"/>
                <w:sz w:val="24"/>
                <w:szCs w:val="24"/>
              </w:rPr>
              <w:t>For interconnectors only</w:t>
            </w:r>
            <w:r w:rsidR="00D05F4D">
              <w:rPr>
                <w:rFonts w:cstheme="minorHAnsi"/>
                <w:sz w:val="24"/>
                <w:szCs w:val="24"/>
              </w:rPr>
              <w:t xml:space="preserve"> (as per column </w:t>
            </w:r>
            <w:r w:rsidR="004B1AB2">
              <w:rPr>
                <w:rFonts w:cstheme="minorHAnsi"/>
                <w:sz w:val="24"/>
                <w:szCs w:val="24"/>
              </w:rPr>
              <w:t>129</w:t>
            </w:r>
            <w:r w:rsidR="00D05F4D">
              <w:rPr>
                <w:rFonts w:cstheme="minorHAnsi"/>
                <w:sz w:val="24"/>
                <w:szCs w:val="24"/>
              </w:rPr>
              <w:t>)</w:t>
            </w:r>
            <w:r w:rsidRPr="00774CAF">
              <w:rPr>
                <w:rFonts w:cstheme="minorHAnsi"/>
                <w:sz w:val="24"/>
                <w:szCs w:val="24"/>
              </w:rPr>
              <w:t>, input the transfer capacity of the interconnector</w:t>
            </w:r>
            <w:r w:rsidR="00FB25F5">
              <w:rPr>
                <w:rFonts w:cstheme="minorHAnsi"/>
                <w:sz w:val="24"/>
                <w:szCs w:val="24"/>
              </w:rPr>
              <w:t>.</w:t>
            </w:r>
          </w:p>
        </w:tc>
        <w:tc>
          <w:tcPr>
            <w:tcW w:w="0" w:type="auto"/>
          </w:tcPr>
          <w:p w14:paraId="62B0BB02" w14:textId="3CD256F9" w:rsidR="00251059" w:rsidRPr="00774CAF" w:rsidRDefault="00251059" w:rsidP="00251059">
            <w:pPr>
              <w:pStyle w:val="TableParagraph"/>
              <w:rPr>
                <w:rFonts w:cstheme="minorHAnsi"/>
                <w:sz w:val="24"/>
                <w:szCs w:val="24"/>
              </w:rPr>
            </w:pPr>
            <w:r w:rsidRPr="00774CAF">
              <w:rPr>
                <w:rFonts w:cstheme="minorHAnsi"/>
                <w:sz w:val="24"/>
                <w:szCs w:val="24"/>
              </w:rPr>
              <w:t>Ml/d</w:t>
            </w:r>
          </w:p>
        </w:tc>
        <w:tc>
          <w:tcPr>
            <w:tcW w:w="0" w:type="auto"/>
          </w:tcPr>
          <w:p w14:paraId="31032F58" w14:textId="05B9790A" w:rsidR="00251059" w:rsidRPr="00774CAF" w:rsidRDefault="00251059" w:rsidP="00251059">
            <w:pPr>
              <w:pStyle w:val="TableParagraph"/>
              <w:rPr>
                <w:rFonts w:cstheme="minorHAnsi"/>
                <w:sz w:val="24"/>
                <w:szCs w:val="24"/>
              </w:rPr>
            </w:pPr>
            <w:r w:rsidRPr="00774CAF">
              <w:rPr>
                <w:rFonts w:cstheme="minorHAnsi"/>
                <w:color w:val="000000"/>
                <w:sz w:val="24"/>
                <w:szCs w:val="24"/>
              </w:rPr>
              <w:t>CW8</w:t>
            </w:r>
          </w:p>
        </w:tc>
      </w:tr>
    </w:tbl>
    <w:p w14:paraId="130C4F89" w14:textId="1DB1F3A8" w:rsidR="007F3E3F" w:rsidRPr="00EC650E" w:rsidRDefault="007F3E3F" w:rsidP="00E5706E"/>
    <w:p w14:paraId="694CFAAC" w14:textId="77777777" w:rsidR="00B60CFF" w:rsidRDefault="00B60CFF" w:rsidP="00E5706E">
      <w:pPr>
        <w:sectPr w:rsidR="00B60CFF" w:rsidSect="005F04A1">
          <w:pgSz w:w="16838" w:h="11906" w:orient="landscape" w:code="9"/>
          <w:pgMar w:top="1134" w:right="1134" w:bottom="1134" w:left="1134" w:header="567" w:footer="567" w:gutter="0"/>
          <w:cols w:space="708"/>
          <w:docGrid w:linePitch="360"/>
        </w:sectPr>
      </w:pPr>
    </w:p>
    <w:p w14:paraId="5B68B230" w14:textId="44830DFE" w:rsidR="00FE1B9D" w:rsidRDefault="00FE1B9D" w:rsidP="00954233">
      <w:pPr>
        <w:pStyle w:val="heading10"/>
        <w:outlineLvl w:val="0"/>
      </w:pPr>
      <w:bookmarkStart w:id="29" w:name="_Toc184736048"/>
      <w:r>
        <w:lastRenderedPageBreak/>
        <w:t xml:space="preserve">Transformation </w:t>
      </w:r>
      <w:r w:rsidR="00F14757">
        <w:t>initiatives</w:t>
      </w:r>
      <w:bookmarkEnd w:id="29"/>
      <w:r w:rsidR="00F14757">
        <w:t xml:space="preserve"> </w:t>
      </w:r>
    </w:p>
    <w:p w14:paraId="5A88CD1A" w14:textId="77777777" w:rsidR="00FE1B9D" w:rsidRDefault="00FE1B9D" w:rsidP="00FE1B9D">
      <w:pPr>
        <w:pStyle w:val="heading20"/>
        <w:ind w:left="788" w:hanging="431"/>
        <w:outlineLvl w:val="1"/>
      </w:pPr>
      <w:bookmarkStart w:id="30" w:name="_Toc184736049"/>
      <w:r>
        <w:t>Purpose</w:t>
      </w:r>
      <w:bookmarkEnd w:id="30"/>
    </w:p>
    <w:p w14:paraId="4D314D57" w14:textId="77777777" w:rsidR="00FE1B9D" w:rsidRDefault="00FE1B9D" w:rsidP="00FE1B9D"/>
    <w:p w14:paraId="24B57B34" w14:textId="129F50A1" w:rsidR="003830E3" w:rsidRDefault="008461FC" w:rsidP="003830E3">
      <w:r>
        <w:t>W</w:t>
      </w:r>
      <w:r w:rsidR="003830E3">
        <w:t>e consider that there should be transparency over the transformation programme</w:t>
      </w:r>
      <w:r>
        <w:t>, recognising</w:t>
      </w:r>
      <w:r w:rsidR="003830E3">
        <w:t xml:space="preserve"> that funding on spend-to-save or transformation investment will mean that there is less funding available for investment in other areas in the short term</w:t>
      </w:r>
      <w:r w:rsidR="00D71872">
        <w:t>.</w:t>
      </w:r>
    </w:p>
    <w:p w14:paraId="4D014CE4" w14:textId="3A768B1F" w:rsidR="00C25419" w:rsidRDefault="00C25419" w:rsidP="00FE1B9D"/>
    <w:p w14:paraId="7770D5D9" w14:textId="5155A73B" w:rsidR="00FE1B9D" w:rsidRDefault="006C053B" w:rsidP="00FE1B9D">
      <w:r>
        <w:t xml:space="preserve">This table provides cost and benefit data on Scottish Water’s transformation programmes over the SRC27 period. This data will provide a baseline for monitoring </w:t>
      </w:r>
      <w:r w:rsidR="00115BBA">
        <w:t>these initiatives' delivery and outturn performance</w:t>
      </w:r>
      <w:r w:rsidR="00041EE0">
        <w:t>, ultimately benefi</w:t>
      </w:r>
      <w:r w:rsidR="00627070">
        <w:t>t</w:t>
      </w:r>
      <w:r w:rsidR="00041EE0">
        <w:t>ting</w:t>
      </w:r>
      <w:r w:rsidR="00FE1B9D">
        <w:t xml:space="preserve"> Scottish Water customers. </w:t>
      </w:r>
    </w:p>
    <w:p w14:paraId="3EC8DE78" w14:textId="77777777" w:rsidR="00FE1B9D" w:rsidRDefault="00FE1B9D" w:rsidP="00FE1B9D"/>
    <w:p w14:paraId="3B0B6627" w14:textId="77777777" w:rsidR="00FE1B9D" w:rsidRDefault="00FE1B9D" w:rsidP="00FE1B9D">
      <w:pPr>
        <w:pStyle w:val="heading20"/>
        <w:ind w:left="788" w:hanging="431"/>
        <w:outlineLvl w:val="1"/>
      </w:pPr>
      <w:bookmarkStart w:id="31" w:name="_Toc184736050"/>
      <w:r>
        <w:t>Guidance</w:t>
      </w:r>
      <w:bookmarkEnd w:id="31"/>
    </w:p>
    <w:p w14:paraId="3F5AC7BA" w14:textId="77777777" w:rsidR="00FE1B9D" w:rsidRDefault="00FE1B9D" w:rsidP="00FE1B9D"/>
    <w:p w14:paraId="7614B859" w14:textId="2BACF3E2" w:rsidR="00FE1B9D" w:rsidRDefault="00FE1B9D" w:rsidP="00FE1B9D">
      <w:r>
        <w:t xml:space="preserve">Scottish Water should enter data for each </w:t>
      </w:r>
      <w:r w:rsidR="007E1EC7">
        <w:t>p</w:t>
      </w:r>
      <w:r>
        <w:t xml:space="preserve">rogramme within the defined threshold. Different data is required depending on whether the </w:t>
      </w:r>
      <w:r w:rsidR="007938F5">
        <w:t>p</w:t>
      </w:r>
      <w:r>
        <w:t>rogramme objective is to reduce existing costs</w:t>
      </w:r>
      <w:r w:rsidR="00FA395E">
        <w:t xml:space="preserve"> incurred</w:t>
      </w:r>
      <w:r>
        <w:t xml:space="preserve"> or to avoid future costs materialising</w:t>
      </w:r>
      <w:r w:rsidR="00FA395E">
        <w:t xml:space="preserve"> (i.e. avoided costs)</w:t>
      </w:r>
      <w:r>
        <w:t xml:space="preserve">. </w:t>
      </w:r>
    </w:p>
    <w:p w14:paraId="13F11EA7" w14:textId="77777777" w:rsidR="00FE1B9D" w:rsidRDefault="00FE1B9D" w:rsidP="00FE1B9D"/>
    <w:p w14:paraId="66D221DF" w14:textId="77777777" w:rsidR="00421AEC" w:rsidRDefault="00421AEC" w:rsidP="00421AEC">
      <w:r>
        <w:t>We expect Scottish Water to populate this table on an ongoing basis during the regulatory period as part of its initial and subsequent delivery plans. However, if there are any relevant initiatives that Scottish Water is aware of at the time of the business plan submission, we request that Scottish Water provide this information in the table for those initiatives as part of its business plan submission.</w:t>
      </w:r>
    </w:p>
    <w:p w14:paraId="04CA1A73" w14:textId="77777777" w:rsidR="00421AEC" w:rsidRDefault="00421AEC" w:rsidP="00421AEC"/>
    <w:p w14:paraId="087F3307" w14:textId="2EB9756D" w:rsidR="00C54F5C" w:rsidRDefault="00FE1B9D" w:rsidP="00C54F5C">
      <w:r w:rsidRPr="003874E2">
        <w:t xml:space="preserve">Scottish Water should </w:t>
      </w:r>
      <w:r w:rsidR="00A76F30">
        <w:t xml:space="preserve">outline </w:t>
      </w:r>
      <w:r w:rsidRPr="00E04470">
        <w:t xml:space="preserve">how </w:t>
      </w:r>
      <w:r w:rsidR="00FA395E">
        <w:t>it</w:t>
      </w:r>
      <w:r w:rsidRPr="00E04470">
        <w:t xml:space="preserve"> will measure and report on whether the initiative is successful within the business plan narrative.</w:t>
      </w:r>
      <w:r>
        <w:t xml:space="preserve"> </w:t>
      </w:r>
    </w:p>
    <w:p w14:paraId="77B46042" w14:textId="77777777" w:rsidR="009039EE" w:rsidRDefault="009039EE" w:rsidP="00C54F5C"/>
    <w:p w14:paraId="77913162" w14:textId="056ACBE6" w:rsidR="00655788" w:rsidRDefault="009039EE" w:rsidP="00954233">
      <w:r>
        <w:t>We also request that Scottish Water provide</w:t>
      </w:r>
      <w:r w:rsidR="00851A25">
        <w:t>s</w:t>
      </w:r>
      <w:r>
        <w:t xml:space="preserve"> its overall approach to transformation in narrative form in its business plan submission. </w:t>
      </w:r>
    </w:p>
    <w:p w14:paraId="41E9FAD2" w14:textId="77777777" w:rsidR="00C73337" w:rsidRDefault="00C73337" w:rsidP="00FE1B9D">
      <w:pPr>
        <w:pStyle w:val="heading20"/>
        <w:ind w:left="788" w:hanging="431"/>
        <w:outlineLvl w:val="1"/>
        <w:sectPr w:rsidR="00C73337" w:rsidSect="003606EA">
          <w:pgSz w:w="11906" w:h="16838" w:code="9"/>
          <w:pgMar w:top="1134" w:right="1134" w:bottom="1134" w:left="1134" w:header="567" w:footer="567" w:gutter="0"/>
          <w:cols w:space="708"/>
          <w:docGrid w:linePitch="360"/>
        </w:sectPr>
      </w:pPr>
    </w:p>
    <w:p w14:paraId="489405C9" w14:textId="5ADB7F5D" w:rsidR="00FE1B9D" w:rsidRDefault="00FE1B9D" w:rsidP="00FE1B9D">
      <w:pPr>
        <w:pStyle w:val="heading20"/>
        <w:ind w:left="788" w:hanging="431"/>
        <w:outlineLvl w:val="1"/>
      </w:pPr>
      <w:bookmarkStart w:id="32" w:name="_Toc184736051"/>
      <w:r>
        <w:lastRenderedPageBreak/>
        <w:t>Definitions</w:t>
      </w:r>
      <w:bookmarkEnd w:id="32"/>
    </w:p>
    <w:p w14:paraId="71AED23F" w14:textId="77777777" w:rsidR="00FE1B9D" w:rsidRDefault="00FE1B9D" w:rsidP="00FE1B9D"/>
    <w:p w14:paraId="40744D58" w14:textId="637F8E36" w:rsidR="00730259" w:rsidRDefault="00FE1B9D" w:rsidP="00FE1B9D">
      <w:r w:rsidRPr="00EA0BBF">
        <w:t xml:space="preserve">A transformation initiative is a </w:t>
      </w:r>
      <w:r w:rsidR="00013410" w:rsidRPr="00EA0BBF">
        <w:t>programme</w:t>
      </w:r>
      <w:r w:rsidRPr="00EA0BBF">
        <w:t xml:space="preserve"> which aims to evolve and grow Scottish Water’s capabilities and value to customers</w:t>
      </w:r>
      <w:r>
        <w:t xml:space="preserve">. These </w:t>
      </w:r>
      <w:r w:rsidRPr="007422A2">
        <w:t xml:space="preserve">should be discrete </w:t>
      </w:r>
      <w:r>
        <w:t>i</w:t>
      </w:r>
      <w:r w:rsidRPr="007422A2">
        <w:t xml:space="preserve">nitiatives that </w:t>
      </w:r>
      <w:r w:rsidR="00A32151">
        <w:t>involve an upfront expenditure</w:t>
      </w:r>
      <w:r w:rsidRPr="007422A2">
        <w:t xml:space="preserve"> to generate additional cost savings </w:t>
      </w:r>
      <w:r w:rsidRPr="00EA0BBF">
        <w:t xml:space="preserve">and wider benefits </w:t>
      </w:r>
      <w:r w:rsidRPr="007422A2">
        <w:t>that more than offset the initial outlay</w:t>
      </w:r>
      <w:r w:rsidR="00D32335">
        <w:t xml:space="preserve"> </w:t>
      </w:r>
      <w:r w:rsidR="00D32335" w:rsidRPr="0030124D">
        <w:t>(when expressed on a net present value basis, discounted based on the company’s cost of capital)</w:t>
      </w:r>
      <w:r w:rsidRPr="007422A2">
        <w:t>.</w:t>
      </w:r>
      <w:r w:rsidRPr="003E187D">
        <w:t xml:space="preserve"> </w:t>
      </w:r>
      <w:r w:rsidR="002811D1">
        <w:t>T</w:t>
      </w:r>
      <w:r w:rsidR="00730259">
        <w:t xml:space="preserve">he following criteria </w:t>
      </w:r>
      <w:r w:rsidR="002811D1">
        <w:t xml:space="preserve">apply </w:t>
      </w:r>
      <w:r w:rsidR="00730259">
        <w:t>for including transformation initiatives:</w:t>
      </w:r>
    </w:p>
    <w:p w14:paraId="20DF170B" w14:textId="2F7F8882" w:rsidR="007B51D4" w:rsidRDefault="00C810E9" w:rsidP="007B51D4">
      <w:pPr>
        <w:pStyle w:val="Bullet1"/>
      </w:pPr>
      <w:r>
        <w:t>a mat</w:t>
      </w:r>
      <w:r w:rsidR="00245ED6">
        <w:t>eriality threshold of £</w:t>
      </w:r>
      <w:r w:rsidR="00611C45">
        <w:t>6m</w:t>
      </w:r>
      <w:r w:rsidR="007B51D4">
        <w:t>; or</w:t>
      </w:r>
    </w:p>
    <w:p w14:paraId="34A6BB2A" w14:textId="4FA78338" w:rsidR="007B51D4" w:rsidRDefault="007B51D4" w:rsidP="007B51D4">
      <w:pPr>
        <w:pStyle w:val="Bullet1"/>
      </w:pPr>
      <w:r>
        <w:t xml:space="preserve">the initiative is </w:t>
      </w:r>
      <w:r w:rsidR="007B18A3">
        <w:t>novel or contentious.</w:t>
      </w:r>
    </w:p>
    <w:p w14:paraId="490ACA83" w14:textId="77777777" w:rsidR="00FE1B9D" w:rsidRDefault="00FE1B9D" w:rsidP="00FE1B9D">
      <w:pPr>
        <w:rPr>
          <w:color w:val="FF0000"/>
        </w:rPr>
      </w:pPr>
    </w:p>
    <w:p w14:paraId="3E07E359" w14:textId="76AC4BD7" w:rsidR="00FE1B9D" w:rsidRPr="004D3CCC" w:rsidRDefault="00FE1B9D" w:rsidP="001002E2">
      <w:pPr>
        <w:pStyle w:val="SMALLHEADINGALLCAPS"/>
        <w:rPr>
          <w:b w:val="0"/>
          <w:u w:val="single"/>
        </w:rPr>
      </w:pPr>
      <w:r w:rsidRPr="004D3CCC">
        <w:t>Transformation Data Table</w:t>
      </w:r>
    </w:p>
    <w:tbl>
      <w:tblPr>
        <w:tblStyle w:val="Blueline"/>
        <w:tblW w:w="0" w:type="auto"/>
        <w:tblLook w:val="04A0" w:firstRow="1" w:lastRow="0" w:firstColumn="1" w:lastColumn="0" w:noHBand="0" w:noVBand="1"/>
      </w:tblPr>
      <w:tblGrid>
        <w:gridCol w:w="1371"/>
        <w:gridCol w:w="4274"/>
        <w:gridCol w:w="7070"/>
        <w:gridCol w:w="1855"/>
      </w:tblGrid>
      <w:tr w:rsidR="00FE1B9D" w:rsidRPr="001002E2" w14:paraId="4C0E5430"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auto"/>
          </w:tcPr>
          <w:p w14:paraId="3B484B9B" w14:textId="34C0261B" w:rsidR="00FE1B9D" w:rsidRPr="001002E2" w:rsidRDefault="00AF7DD5">
            <w:pPr>
              <w:pStyle w:val="BodyText"/>
              <w:rPr>
                <w:rFonts w:asciiTheme="minorHAnsi" w:hAnsiTheme="minorHAnsi" w:cstheme="minorHAnsi"/>
              </w:rPr>
            </w:pPr>
            <w:r w:rsidRPr="001002E2">
              <w:rPr>
                <w:rFonts w:asciiTheme="minorHAnsi" w:hAnsiTheme="minorHAnsi" w:cstheme="minorHAnsi"/>
              </w:rPr>
              <w:t>Column</w:t>
            </w:r>
            <w:r w:rsidR="00FE1B9D" w:rsidRPr="001002E2">
              <w:rPr>
                <w:rFonts w:asciiTheme="minorHAnsi" w:hAnsiTheme="minorHAnsi" w:cstheme="minorHAnsi"/>
              </w:rPr>
              <w:t xml:space="preserve"> Reference</w:t>
            </w:r>
          </w:p>
        </w:tc>
        <w:tc>
          <w:tcPr>
            <w:tcW w:w="0" w:type="auto"/>
          </w:tcPr>
          <w:p w14:paraId="5F893EC4"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Column Title</w:t>
            </w:r>
          </w:p>
        </w:tc>
        <w:tc>
          <w:tcPr>
            <w:tcW w:w="0" w:type="auto"/>
          </w:tcPr>
          <w:p w14:paraId="2F39CDA8"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Description</w:t>
            </w:r>
          </w:p>
        </w:tc>
        <w:tc>
          <w:tcPr>
            <w:tcW w:w="0" w:type="auto"/>
          </w:tcPr>
          <w:p w14:paraId="57936173"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Units</w:t>
            </w:r>
          </w:p>
        </w:tc>
      </w:tr>
      <w:tr w:rsidR="00FE1B9D" w:rsidRPr="001002E2" w14:paraId="0111F651" w14:textId="77777777" w:rsidTr="00954233">
        <w:tc>
          <w:tcPr>
            <w:tcW w:w="0" w:type="auto"/>
          </w:tcPr>
          <w:p w14:paraId="5CC0A65A" w14:textId="1CF8D4EF" w:rsidR="00FE1B9D" w:rsidRPr="001002E2" w:rsidRDefault="00AF7DD5">
            <w:pPr>
              <w:pStyle w:val="BodyText"/>
              <w:rPr>
                <w:rFonts w:asciiTheme="minorHAnsi" w:hAnsiTheme="minorHAnsi" w:cstheme="minorHAnsi"/>
              </w:rPr>
            </w:pPr>
            <w:r w:rsidRPr="001002E2">
              <w:rPr>
                <w:rFonts w:asciiTheme="minorHAnsi" w:hAnsiTheme="minorHAnsi" w:cstheme="minorHAnsi"/>
              </w:rPr>
              <w:t>1</w:t>
            </w:r>
          </w:p>
        </w:tc>
        <w:tc>
          <w:tcPr>
            <w:tcW w:w="0" w:type="auto"/>
          </w:tcPr>
          <w:p w14:paraId="65BAC0A1"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Programme Name</w:t>
            </w:r>
            <w:r w:rsidRPr="001002E2">
              <w:rPr>
                <w:rFonts w:asciiTheme="minorHAnsi" w:hAnsiTheme="minorHAnsi" w:cstheme="minorHAnsi"/>
              </w:rPr>
              <w:tab/>
            </w:r>
          </w:p>
        </w:tc>
        <w:tc>
          <w:tcPr>
            <w:tcW w:w="0" w:type="auto"/>
          </w:tcPr>
          <w:p w14:paraId="487CDCF2" w14:textId="69F30017" w:rsidR="00FE1B9D" w:rsidRPr="001002E2" w:rsidRDefault="00FE1B9D">
            <w:pPr>
              <w:pStyle w:val="BodyText"/>
              <w:rPr>
                <w:rFonts w:asciiTheme="minorHAnsi" w:hAnsiTheme="minorHAnsi" w:cstheme="minorHAnsi"/>
              </w:rPr>
            </w:pPr>
            <w:r w:rsidRPr="001002E2">
              <w:rPr>
                <w:rFonts w:asciiTheme="minorHAnsi" w:hAnsiTheme="minorHAnsi" w:cstheme="minorHAnsi"/>
              </w:rPr>
              <w:t>To align with the business plan narrative</w:t>
            </w:r>
            <w:r w:rsidR="008A63A6">
              <w:rPr>
                <w:rFonts w:asciiTheme="minorHAnsi" w:hAnsiTheme="minorHAnsi" w:cstheme="minorHAnsi"/>
              </w:rPr>
              <w:t>.</w:t>
            </w:r>
          </w:p>
        </w:tc>
        <w:tc>
          <w:tcPr>
            <w:tcW w:w="0" w:type="auto"/>
          </w:tcPr>
          <w:p w14:paraId="7934FE70"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03D03A4C" w14:textId="77777777" w:rsidTr="00954233">
        <w:tc>
          <w:tcPr>
            <w:tcW w:w="0" w:type="auto"/>
          </w:tcPr>
          <w:p w14:paraId="29233CFF" w14:textId="5527D780" w:rsidR="00FE1B9D" w:rsidRPr="001002E2" w:rsidRDefault="00D0733B">
            <w:pPr>
              <w:pStyle w:val="BodyText"/>
              <w:rPr>
                <w:rFonts w:asciiTheme="minorHAnsi" w:hAnsiTheme="minorHAnsi" w:cstheme="minorHAnsi"/>
              </w:rPr>
            </w:pPr>
            <w:r w:rsidRPr="001002E2">
              <w:rPr>
                <w:rFonts w:asciiTheme="minorHAnsi" w:hAnsiTheme="minorHAnsi" w:cstheme="minorHAnsi"/>
              </w:rPr>
              <w:t>2-8</w:t>
            </w:r>
          </w:p>
        </w:tc>
        <w:tc>
          <w:tcPr>
            <w:tcW w:w="0" w:type="auto"/>
          </w:tcPr>
          <w:p w14:paraId="47E7C5A0"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Initial Expenditure</w:t>
            </w:r>
            <w:r w:rsidRPr="001002E2">
              <w:rPr>
                <w:rFonts w:asciiTheme="minorHAnsi" w:hAnsiTheme="minorHAnsi" w:cstheme="minorHAnsi"/>
              </w:rPr>
              <w:tab/>
            </w:r>
          </w:p>
        </w:tc>
        <w:tc>
          <w:tcPr>
            <w:tcW w:w="0" w:type="auto"/>
          </w:tcPr>
          <w:p w14:paraId="219558F1"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Expenditure on all the transformation programmes annually over the SRC27 period. </w:t>
            </w:r>
          </w:p>
        </w:tc>
        <w:tc>
          <w:tcPr>
            <w:tcW w:w="0" w:type="auto"/>
          </w:tcPr>
          <w:p w14:paraId="7981CE32" w14:textId="17B11043"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73389D11" w14:textId="77777777" w:rsidTr="00954233">
        <w:tc>
          <w:tcPr>
            <w:tcW w:w="0" w:type="auto"/>
          </w:tcPr>
          <w:p w14:paraId="665918E6" w14:textId="02B40C2D" w:rsidR="00FE1B9D" w:rsidRPr="001002E2" w:rsidRDefault="00D0733B">
            <w:pPr>
              <w:pStyle w:val="BodyText"/>
              <w:rPr>
                <w:rFonts w:asciiTheme="minorHAnsi" w:hAnsiTheme="minorHAnsi" w:cstheme="minorHAnsi"/>
              </w:rPr>
            </w:pPr>
            <w:r w:rsidRPr="001002E2">
              <w:rPr>
                <w:rFonts w:asciiTheme="minorHAnsi" w:hAnsiTheme="minorHAnsi" w:cstheme="minorHAnsi"/>
              </w:rPr>
              <w:t>9</w:t>
            </w:r>
          </w:p>
        </w:tc>
        <w:tc>
          <w:tcPr>
            <w:tcW w:w="0" w:type="auto"/>
          </w:tcPr>
          <w:p w14:paraId="031D1E9A"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Programme Type</w:t>
            </w:r>
          </w:p>
        </w:tc>
        <w:tc>
          <w:tcPr>
            <w:tcW w:w="0" w:type="auto"/>
          </w:tcPr>
          <w:p w14:paraId="0F2BB4C4" w14:textId="07FD8358"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Classify </w:t>
            </w:r>
            <w:r w:rsidR="00FA395E">
              <w:rPr>
                <w:rFonts w:asciiTheme="minorHAnsi" w:hAnsiTheme="minorHAnsi" w:cstheme="minorHAnsi"/>
              </w:rPr>
              <w:t>whether</w:t>
            </w:r>
            <w:r w:rsidRPr="001002E2">
              <w:rPr>
                <w:rFonts w:asciiTheme="minorHAnsi" w:hAnsiTheme="minorHAnsi" w:cstheme="minorHAnsi"/>
              </w:rPr>
              <w:t xml:space="preserve"> the programme </w:t>
            </w:r>
            <w:r w:rsidR="006E02D1">
              <w:rPr>
                <w:rFonts w:asciiTheme="minorHAnsi" w:hAnsiTheme="minorHAnsi" w:cstheme="minorHAnsi"/>
              </w:rPr>
              <w:t>objective is</w:t>
            </w:r>
            <w:r w:rsidRPr="001002E2">
              <w:rPr>
                <w:rFonts w:asciiTheme="minorHAnsi" w:hAnsiTheme="minorHAnsi" w:cstheme="minorHAnsi"/>
              </w:rPr>
              <w:t xml:space="preserve"> reducing existing costs or avoiding future costs materialising.</w:t>
            </w:r>
          </w:p>
          <w:p w14:paraId="1AC28D3D" w14:textId="23E1EBBF" w:rsidR="00FE1B9D" w:rsidRPr="001002E2" w:rsidRDefault="00FE1B9D">
            <w:pPr>
              <w:pStyle w:val="BodyText"/>
              <w:rPr>
                <w:rFonts w:asciiTheme="minorHAnsi" w:hAnsiTheme="minorHAnsi" w:cstheme="minorHAnsi"/>
              </w:rPr>
            </w:pPr>
            <w:r w:rsidRPr="001002E2">
              <w:rPr>
                <w:rFonts w:asciiTheme="minorHAnsi" w:hAnsiTheme="minorHAnsi" w:cstheme="minorHAnsi"/>
              </w:rPr>
              <w:t>Select using the drop</w:t>
            </w:r>
            <w:r w:rsidR="00FC3E9F">
              <w:rPr>
                <w:rFonts w:asciiTheme="minorHAnsi" w:hAnsiTheme="minorHAnsi" w:cstheme="minorHAnsi"/>
              </w:rPr>
              <w:t>-</w:t>
            </w:r>
            <w:r w:rsidRPr="001002E2">
              <w:rPr>
                <w:rFonts w:asciiTheme="minorHAnsi" w:hAnsiTheme="minorHAnsi" w:cstheme="minorHAnsi"/>
              </w:rPr>
              <w:t>down menu</w:t>
            </w:r>
            <w:r w:rsidR="00650CF1">
              <w:rPr>
                <w:rFonts w:asciiTheme="minorHAnsi" w:hAnsiTheme="minorHAnsi" w:cstheme="minorHAnsi"/>
              </w:rPr>
              <w:t>.</w:t>
            </w:r>
          </w:p>
        </w:tc>
        <w:tc>
          <w:tcPr>
            <w:tcW w:w="0" w:type="auto"/>
          </w:tcPr>
          <w:p w14:paraId="34B112F6"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Two options:</w:t>
            </w:r>
          </w:p>
          <w:p w14:paraId="08312AE2"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Reducing existing costs</w:t>
            </w:r>
          </w:p>
          <w:p w14:paraId="6146C677"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Avoiding future costs materialising</w:t>
            </w:r>
          </w:p>
        </w:tc>
      </w:tr>
      <w:tr w:rsidR="00FE1B9D" w:rsidRPr="001002E2" w14:paraId="6B94ADBD" w14:textId="77777777" w:rsidTr="00954233">
        <w:tc>
          <w:tcPr>
            <w:tcW w:w="0" w:type="auto"/>
          </w:tcPr>
          <w:p w14:paraId="5DEE8D36" w14:textId="63E332F9" w:rsidR="00FE1B9D" w:rsidRPr="001002E2" w:rsidRDefault="00E20872">
            <w:pPr>
              <w:pStyle w:val="BodyText"/>
              <w:rPr>
                <w:rFonts w:asciiTheme="minorHAnsi" w:hAnsiTheme="minorHAnsi" w:cstheme="minorHAnsi"/>
              </w:rPr>
            </w:pPr>
            <w:r w:rsidRPr="001002E2">
              <w:rPr>
                <w:rFonts w:asciiTheme="minorHAnsi" w:hAnsiTheme="minorHAnsi" w:cstheme="minorHAnsi"/>
              </w:rPr>
              <w:t>10-16</w:t>
            </w:r>
          </w:p>
        </w:tc>
        <w:tc>
          <w:tcPr>
            <w:tcW w:w="0" w:type="auto"/>
          </w:tcPr>
          <w:p w14:paraId="23AC2A29" w14:textId="7ED04DB4"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in </w:t>
            </w:r>
            <w:r w:rsidR="00AD41B5" w:rsidRPr="001002E2">
              <w:rPr>
                <w:rFonts w:asciiTheme="minorHAnsi" w:hAnsiTheme="minorHAnsi" w:cstheme="minorHAnsi"/>
              </w:rPr>
              <w:t>Operating</w:t>
            </w:r>
            <w:r w:rsidRPr="001002E2">
              <w:rPr>
                <w:rFonts w:asciiTheme="minorHAnsi" w:hAnsiTheme="minorHAnsi" w:cstheme="minorHAnsi"/>
              </w:rPr>
              <w:t xml:space="preserve"> Expenditure </w:t>
            </w:r>
            <w:r w:rsidR="00AD41B5" w:rsidRPr="001002E2">
              <w:rPr>
                <w:rFonts w:asciiTheme="minorHAnsi" w:hAnsiTheme="minorHAnsi" w:cstheme="minorHAnsi"/>
              </w:rPr>
              <w:t>Compared</w:t>
            </w:r>
            <w:r w:rsidRPr="001002E2">
              <w:rPr>
                <w:rFonts w:asciiTheme="minorHAnsi" w:hAnsiTheme="minorHAnsi" w:cstheme="minorHAnsi"/>
              </w:rPr>
              <w:t xml:space="preserve"> to 2024</w:t>
            </w:r>
            <w:r w:rsidR="00AD41B5" w:rsidRPr="001002E2">
              <w:rPr>
                <w:rFonts w:asciiTheme="minorHAnsi" w:hAnsiTheme="minorHAnsi" w:cstheme="minorHAnsi"/>
              </w:rPr>
              <w:t>-</w:t>
            </w:r>
            <w:r w:rsidRPr="001002E2">
              <w:rPr>
                <w:rFonts w:asciiTheme="minorHAnsi" w:hAnsiTheme="minorHAnsi" w:cstheme="minorHAnsi"/>
              </w:rPr>
              <w:t>25</w:t>
            </w:r>
          </w:p>
        </w:tc>
        <w:tc>
          <w:tcPr>
            <w:tcW w:w="0" w:type="auto"/>
          </w:tcPr>
          <w:p w14:paraId="1EDA1CB2" w14:textId="619DF94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This data is only required for programmes </w:t>
            </w:r>
            <w:r w:rsidR="00FA395E">
              <w:rPr>
                <w:rFonts w:asciiTheme="minorHAnsi" w:hAnsiTheme="minorHAnsi" w:cstheme="minorHAnsi"/>
              </w:rPr>
              <w:t>that</w:t>
            </w:r>
            <w:r w:rsidR="00FA395E" w:rsidRPr="001002E2">
              <w:rPr>
                <w:rFonts w:asciiTheme="minorHAnsi" w:hAnsiTheme="minorHAnsi" w:cstheme="minorHAnsi"/>
              </w:rPr>
              <w:t xml:space="preserve"> </w:t>
            </w:r>
            <w:r w:rsidR="00FA395E">
              <w:rPr>
                <w:rFonts w:asciiTheme="minorHAnsi" w:hAnsiTheme="minorHAnsi" w:cstheme="minorHAnsi"/>
              </w:rPr>
              <w:t>reduce</w:t>
            </w:r>
            <w:r w:rsidRPr="001002E2">
              <w:rPr>
                <w:rFonts w:asciiTheme="minorHAnsi" w:hAnsiTheme="minorHAnsi" w:cstheme="minorHAnsi"/>
              </w:rPr>
              <w:t xml:space="preserve"> existing costs.</w:t>
            </w:r>
          </w:p>
          <w:p w14:paraId="308B9C2D" w14:textId="62D925F9" w:rsidR="00FE1B9D" w:rsidRPr="001002E2" w:rsidRDefault="00FE1B9D">
            <w:pPr>
              <w:pStyle w:val="BodyText"/>
              <w:rPr>
                <w:rFonts w:asciiTheme="minorHAnsi" w:hAnsiTheme="minorHAnsi" w:cstheme="minorHAnsi"/>
              </w:rPr>
            </w:pPr>
            <w:r w:rsidRPr="001002E2">
              <w:rPr>
                <w:rFonts w:asciiTheme="minorHAnsi" w:hAnsiTheme="minorHAnsi" w:cstheme="minorHAnsi"/>
              </w:rPr>
              <w:t>This is the forecast reduction in operatin</w:t>
            </w:r>
            <w:r w:rsidR="00F50C16">
              <w:rPr>
                <w:rFonts w:asciiTheme="minorHAnsi" w:eastAsia="SimSun" w:hAnsiTheme="minorHAnsi" w:cstheme="minorHAnsi" w:hint="eastAsia"/>
                <w:lang w:eastAsia="zh-CN"/>
              </w:rPr>
              <w:t>g</w:t>
            </w:r>
            <w:r w:rsidRPr="001002E2">
              <w:rPr>
                <w:rFonts w:asciiTheme="minorHAnsi" w:hAnsiTheme="minorHAnsi" w:cstheme="minorHAnsi"/>
              </w:rPr>
              <w:t xml:space="preserve"> expenditure from the levels </w:t>
            </w:r>
            <w:r w:rsidRPr="001002E2">
              <w:rPr>
                <w:rFonts w:asciiTheme="minorHAnsi" w:hAnsiTheme="minorHAnsi" w:cstheme="minorHAnsi"/>
              </w:rPr>
              <w:lastRenderedPageBreak/>
              <w:t>reported in 2024-25 for each year over the SRC27 period.</w:t>
            </w:r>
          </w:p>
        </w:tc>
        <w:tc>
          <w:tcPr>
            <w:tcW w:w="0" w:type="auto"/>
          </w:tcPr>
          <w:p w14:paraId="76F33712" w14:textId="7D877A51" w:rsidR="00FE1B9D" w:rsidRPr="001002E2" w:rsidRDefault="00FE1B9D">
            <w:pPr>
              <w:pStyle w:val="BodyText"/>
              <w:rPr>
                <w:rFonts w:asciiTheme="minorHAnsi" w:hAnsiTheme="minorHAnsi" w:cstheme="minorHAnsi"/>
              </w:rPr>
            </w:pPr>
            <w:r w:rsidRPr="001002E2">
              <w:rPr>
                <w:rFonts w:asciiTheme="minorHAnsi" w:hAnsiTheme="minorHAnsi" w:cstheme="minorHAnsi"/>
              </w:rPr>
              <w:lastRenderedPageBreak/>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753F7A13" w14:textId="77777777" w:rsidTr="00954233">
        <w:tc>
          <w:tcPr>
            <w:tcW w:w="0" w:type="auto"/>
          </w:tcPr>
          <w:p w14:paraId="41DA23C5" w14:textId="1F108656" w:rsidR="00FE1B9D" w:rsidRPr="001002E2" w:rsidRDefault="002E211D">
            <w:pPr>
              <w:pStyle w:val="BodyText"/>
              <w:rPr>
                <w:rFonts w:asciiTheme="minorHAnsi" w:hAnsiTheme="minorHAnsi" w:cstheme="minorHAnsi"/>
              </w:rPr>
            </w:pPr>
            <w:r w:rsidRPr="001002E2">
              <w:rPr>
                <w:rFonts w:asciiTheme="minorHAnsi" w:hAnsiTheme="minorHAnsi" w:cstheme="minorHAnsi"/>
              </w:rPr>
              <w:t>17-23</w:t>
            </w:r>
          </w:p>
        </w:tc>
        <w:tc>
          <w:tcPr>
            <w:tcW w:w="0" w:type="auto"/>
          </w:tcPr>
          <w:p w14:paraId="689B1CFF" w14:textId="635D3BF5"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in </w:t>
            </w:r>
            <w:r w:rsidR="00932490" w:rsidRPr="001002E2">
              <w:rPr>
                <w:rFonts w:asciiTheme="minorHAnsi" w:hAnsiTheme="minorHAnsi" w:cstheme="minorHAnsi"/>
              </w:rPr>
              <w:t>Capital</w:t>
            </w:r>
            <w:r w:rsidRPr="001002E2">
              <w:rPr>
                <w:rFonts w:asciiTheme="minorHAnsi" w:hAnsiTheme="minorHAnsi" w:cstheme="minorHAnsi"/>
              </w:rPr>
              <w:t xml:space="preserve"> Expenditure </w:t>
            </w:r>
            <w:r w:rsidR="00932490" w:rsidRPr="001002E2">
              <w:rPr>
                <w:rFonts w:asciiTheme="minorHAnsi" w:hAnsiTheme="minorHAnsi" w:cstheme="minorHAnsi"/>
              </w:rPr>
              <w:t>Compared</w:t>
            </w:r>
            <w:r w:rsidRPr="001002E2">
              <w:rPr>
                <w:rFonts w:asciiTheme="minorHAnsi" w:hAnsiTheme="minorHAnsi" w:cstheme="minorHAnsi"/>
              </w:rPr>
              <w:t xml:space="preserve"> to 2024</w:t>
            </w:r>
            <w:r w:rsidR="00932490" w:rsidRPr="001002E2">
              <w:rPr>
                <w:rFonts w:asciiTheme="minorHAnsi" w:hAnsiTheme="minorHAnsi" w:cstheme="minorHAnsi"/>
              </w:rPr>
              <w:t>-</w:t>
            </w:r>
            <w:r w:rsidRPr="001002E2">
              <w:rPr>
                <w:rFonts w:asciiTheme="minorHAnsi" w:hAnsiTheme="minorHAnsi" w:cstheme="minorHAnsi"/>
              </w:rPr>
              <w:t>25</w:t>
            </w:r>
          </w:p>
        </w:tc>
        <w:tc>
          <w:tcPr>
            <w:tcW w:w="0" w:type="auto"/>
          </w:tcPr>
          <w:p w14:paraId="21B45A13" w14:textId="0470482D"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This data is only required for programmes </w:t>
            </w:r>
            <w:r w:rsidR="00FA395E">
              <w:rPr>
                <w:rFonts w:asciiTheme="minorHAnsi" w:hAnsiTheme="minorHAnsi" w:cstheme="minorHAnsi"/>
              </w:rPr>
              <w:t>that reduce</w:t>
            </w:r>
            <w:r w:rsidRPr="001002E2">
              <w:rPr>
                <w:rFonts w:asciiTheme="minorHAnsi" w:hAnsiTheme="minorHAnsi" w:cstheme="minorHAnsi"/>
              </w:rPr>
              <w:t xml:space="preserve"> existing costs.</w:t>
            </w:r>
          </w:p>
          <w:p w14:paraId="1EF052E9" w14:textId="3C78C14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forecast annually over the SRC27 period in capital expenditure from the levels reported in 2024-25 </w:t>
            </w:r>
            <w:r w:rsidR="00D84BE6" w:rsidRPr="001002E2">
              <w:rPr>
                <w:rFonts w:asciiTheme="minorHAnsi" w:hAnsiTheme="minorHAnsi" w:cstheme="minorHAnsi"/>
              </w:rPr>
              <w:t>(</w:t>
            </w:r>
            <w:r w:rsidRPr="001002E2">
              <w:rPr>
                <w:rFonts w:asciiTheme="minorHAnsi" w:hAnsiTheme="minorHAnsi" w:cstheme="minorHAnsi"/>
              </w:rPr>
              <w:t>e.g. this may apply if the transformation initiative relates to improving existing asset management processes)</w:t>
            </w:r>
            <w:r w:rsidR="00225C51">
              <w:rPr>
                <w:rFonts w:asciiTheme="minorHAnsi" w:hAnsiTheme="minorHAnsi" w:cstheme="minorHAnsi"/>
              </w:rPr>
              <w:t>.</w:t>
            </w:r>
          </w:p>
        </w:tc>
        <w:tc>
          <w:tcPr>
            <w:tcW w:w="0" w:type="auto"/>
          </w:tcPr>
          <w:p w14:paraId="04A97D7B" w14:textId="49EF5174"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438812C1" w14:textId="77777777" w:rsidTr="00954233">
        <w:tc>
          <w:tcPr>
            <w:tcW w:w="0" w:type="auto"/>
          </w:tcPr>
          <w:p w14:paraId="1F3B130E" w14:textId="32DFA203" w:rsidR="00FE1B9D" w:rsidRPr="001002E2" w:rsidRDefault="00073EBF" w:rsidP="00954233">
            <w:pPr>
              <w:pStyle w:val="BodyText"/>
              <w:keepNext/>
              <w:rPr>
                <w:rFonts w:asciiTheme="minorHAnsi" w:hAnsiTheme="minorHAnsi" w:cstheme="minorHAnsi"/>
              </w:rPr>
            </w:pPr>
            <w:r w:rsidRPr="001002E2">
              <w:rPr>
                <w:rFonts w:asciiTheme="minorHAnsi" w:hAnsiTheme="minorHAnsi" w:cstheme="minorHAnsi"/>
              </w:rPr>
              <w:t>24-</w:t>
            </w:r>
            <w:r w:rsidR="00B54DF9" w:rsidRPr="001002E2">
              <w:rPr>
                <w:rFonts w:asciiTheme="minorHAnsi" w:hAnsiTheme="minorHAnsi" w:cstheme="minorHAnsi"/>
              </w:rPr>
              <w:t>51</w:t>
            </w:r>
          </w:p>
        </w:tc>
        <w:tc>
          <w:tcPr>
            <w:tcW w:w="0" w:type="auto"/>
          </w:tcPr>
          <w:p w14:paraId="73FC4CE9" w14:textId="3976D755" w:rsidR="00FE1B9D" w:rsidRPr="001002E2" w:rsidRDefault="003161EB" w:rsidP="00954233">
            <w:pPr>
              <w:pStyle w:val="BodyText"/>
              <w:keepNext/>
              <w:rPr>
                <w:rFonts w:asciiTheme="minorHAnsi" w:hAnsiTheme="minorHAnsi" w:cstheme="minorHAnsi"/>
              </w:rPr>
            </w:pPr>
            <w:r w:rsidRPr="001002E2">
              <w:rPr>
                <w:rFonts w:asciiTheme="minorHAnsi" w:hAnsiTheme="minorHAnsi" w:cstheme="minorHAnsi"/>
              </w:rPr>
              <w:t xml:space="preserve">The Counterfactual [Forecast Operating </w:t>
            </w:r>
            <w:r w:rsidR="00FC675B" w:rsidRPr="001002E2">
              <w:rPr>
                <w:rFonts w:asciiTheme="minorHAnsi" w:hAnsiTheme="minorHAnsi" w:cstheme="minorHAnsi"/>
              </w:rPr>
              <w:t xml:space="preserve">and Capital </w:t>
            </w:r>
            <w:r w:rsidRPr="001002E2">
              <w:rPr>
                <w:rFonts w:asciiTheme="minorHAnsi" w:hAnsiTheme="minorHAnsi" w:cstheme="minorHAnsi"/>
              </w:rPr>
              <w:t>Expenditure</w:t>
            </w:r>
            <w:r w:rsidR="00FC675B" w:rsidRPr="001002E2">
              <w:rPr>
                <w:rFonts w:asciiTheme="minorHAnsi" w:hAnsiTheme="minorHAnsi" w:cstheme="minorHAnsi"/>
              </w:rPr>
              <w:t>s</w:t>
            </w:r>
            <w:r w:rsidRPr="001002E2">
              <w:rPr>
                <w:rFonts w:asciiTheme="minorHAnsi" w:hAnsiTheme="minorHAnsi" w:cstheme="minorHAnsi"/>
              </w:rPr>
              <w:t xml:space="preserve"> in the Absence of Transformation Project]</w:t>
            </w:r>
            <w:r w:rsidR="00B54DF9" w:rsidRPr="001002E2">
              <w:rPr>
                <w:rFonts w:asciiTheme="minorHAnsi" w:hAnsiTheme="minorHAnsi" w:cstheme="minorHAnsi"/>
              </w:rPr>
              <w:t>, Forecast Operating and Capital Expenditure Avoided</w:t>
            </w:r>
          </w:p>
        </w:tc>
        <w:tc>
          <w:tcPr>
            <w:tcW w:w="0" w:type="auto"/>
          </w:tcPr>
          <w:p w14:paraId="311F6DD2" w14:textId="6E49CB78" w:rsidR="00FE1B9D" w:rsidRPr="001002E2" w:rsidRDefault="00FE1B9D" w:rsidP="00954233">
            <w:pPr>
              <w:pStyle w:val="BodyText"/>
              <w:keepNext/>
              <w:rPr>
                <w:rFonts w:asciiTheme="minorHAnsi" w:hAnsiTheme="minorHAnsi" w:cstheme="minorHAnsi"/>
              </w:rPr>
            </w:pPr>
            <w:r w:rsidRPr="001002E2">
              <w:rPr>
                <w:rFonts w:asciiTheme="minorHAnsi" w:hAnsiTheme="minorHAnsi" w:cstheme="minorHAnsi"/>
              </w:rPr>
              <w:t xml:space="preserve">This data is only required for programmes </w:t>
            </w:r>
            <w:r w:rsidR="00FA395E">
              <w:rPr>
                <w:rFonts w:asciiTheme="minorHAnsi" w:hAnsiTheme="minorHAnsi" w:cstheme="minorHAnsi"/>
              </w:rPr>
              <w:t>that</w:t>
            </w:r>
            <w:r w:rsidR="00FA395E" w:rsidRPr="001002E2">
              <w:rPr>
                <w:rFonts w:asciiTheme="minorHAnsi" w:hAnsiTheme="minorHAnsi" w:cstheme="minorHAnsi"/>
              </w:rPr>
              <w:t xml:space="preserve"> </w:t>
            </w:r>
            <w:r w:rsidRPr="001002E2">
              <w:rPr>
                <w:rFonts w:asciiTheme="minorHAnsi" w:hAnsiTheme="minorHAnsi" w:cstheme="minorHAnsi"/>
              </w:rPr>
              <w:t xml:space="preserve">are avoiding future costs materialising. </w:t>
            </w:r>
          </w:p>
          <w:p w14:paraId="676607D0" w14:textId="1B598791" w:rsidR="00FE1B9D" w:rsidRPr="001002E2" w:rsidRDefault="00FE1B9D" w:rsidP="00954233">
            <w:pPr>
              <w:pStyle w:val="BodyText"/>
              <w:keepNext/>
              <w:rPr>
                <w:rFonts w:asciiTheme="minorHAnsi" w:hAnsiTheme="minorHAnsi" w:cstheme="minorHAnsi"/>
              </w:rPr>
            </w:pPr>
            <w:r w:rsidRPr="001002E2">
              <w:rPr>
                <w:rFonts w:asciiTheme="minorHAnsi" w:hAnsiTheme="minorHAnsi" w:cstheme="minorHAnsi"/>
              </w:rPr>
              <w:t>If the initiative results in avoided costs, the forecast expenditure of both cap</w:t>
            </w:r>
            <w:r w:rsidR="00607DE1">
              <w:rPr>
                <w:rFonts w:asciiTheme="minorHAnsi" w:eastAsia="SimSun" w:hAnsiTheme="minorHAnsi" w:cstheme="minorHAnsi" w:hint="eastAsia"/>
                <w:lang w:eastAsia="zh-CN"/>
              </w:rPr>
              <w:t xml:space="preserve">ital </w:t>
            </w:r>
            <w:r w:rsidRPr="001002E2">
              <w:rPr>
                <w:rFonts w:asciiTheme="minorHAnsi" w:hAnsiTheme="minorHAnsi" w:cstheme="minorHAnsi"/>
              </w:rPr>
              <w:t>ex</w:t>
            </w:r>
            <w:r w:rsidR="00607DE1">
              <w:rPr>
                <w:rFonts w:asciiTheme="minorHAnsi" w:eastAsia="SimSun" w:hAnsiTheme="minorHAnsi" w:cstheme="minorHAnsi" w:hint="eastAsia"/>
                <w:lang w:eastAsia="zh-CN"/>
              </w:rPr>
              <w:t>penditure</w:t>
            </w:r>
            <w:r w:rsidRPr="001002E2">
              <w:rPr>
                <w:rFonts w:asciiTheme="minorHAnsi" w:hAnsiTheme="minorHAnsi" w:cstheme="minorHAnsi"/>
              </w:rPr>
              <w:t xml:space="preserve"> and ope</w:t>
            </w:r>
            <w:r w:rsidR="00607DE1">
              <w:rPr>
                <w:rFonts w:asciiTheme="minorHAnsi" w:eastAsia="SimSun" w:hAnsiTheme="minorHAnsi" w:cstheme="minorHAnsi" w:hint="eastAsia"/>
                <w:lang w:eastAsia="zh-CN"/>
              </w:rPr>
              <w:t>rating e</w:t>
            </w:r>
            <w:r w:rsidRPr="001002E2">
              <w:rPr>
                <w:rFonts w:asciiTheme="minorHAnsi" w:hAnsiTheme="minorHAnsi" w:cstheme="minorHAnsi"/>
              </w:rPr>
              <w:t>x</w:t>
            </w:r>
            <w:r w:rsidR="00607DE1">
              <w:rPr>
                <w:rFonts w:asciiTheme="minorHAnsi" w:eastAsia="SimSun" w:hAnsiTheme="minorHAnsi" w:cstheme="minorHAnsi" w:hint="eastAsia"/>
                <w:lang w:eastAsia="zh-CN"/>
              </w:rPr>
              <w:t>penditure</w:t>
            </w:r>
            <w:r w:rsidRPr="001002E2">
              <w:rPr>
                <w:rFonts w:asciiTheme="minorHAnsi" w:hAnsiTheme="minorHAnsi" w:cstheme="minorHAnsi"/>
              </w:rPr>
              <w:t xml:space="preserve"> in the absence of the transformation project annually over the S</w:t>
            </w:r>
            <w:r w:rsidR="005A556E">
              <w:rPr>
                <w:rFonts w:asciiTheme="minorHAnsi" w:hAnsiTheme="minorHAnsi" w:cstheme="minorHAnsi"/>
              </w:rPr>
              <w:t>RC</w:t>
            </w:r>
            <w:r w:rsidRPr="001002E2">
              <w:rPr>
                <w:rFonts w:asciiTheme="minorHAnsi" w:hAnsiTheme="minorHAnsi" w:cstheme="minorHAnsi"/>
              </w:rPr>
              <w:t xml:space="preserve">27 period should be provided. </w:t>
            </w:r>
            <w:r w:rsidRPr="001002E2" w:rsidDel="00F534BA">
              <w:rPr>
                <w:rFonts w:asciiTheme="minorHAnsi" w:hAnsiTheme="minorHAnsi" w:cstheme="minorHAnsi"/>
              </w:rPr>
              <w:t>Forecast Ope</w:t>
            </w:r>
            <w:r w:rsidR="006735E1" w:rsidDel="00F534BA">
              <w:rPr>
                <w:rFonts w:asciiTheme="minorHAnsi" w:eastAsia="SimSun" w:hAnsiTheme="minorHAnsi" w:cstheme="minorHAnsi" w:hint="eastAsia"/>
                <w:lang w:eastAsia="zh-CN"/>
              </w:rPr>
              <w:t>rating</w:t>
            </w:r>
            <w:r w:rsidDel="00F534BA">
              <w:rPr>
                <w:rFonts w:asciiTheme="minorHAnsi" w:eastAsia="SimSun" w:hAnsiTheme="minorHAnsi" w:cstheme="minorHAnsi"/>
                <w:lang w:eastAsia="zh-CN"/>
              </w:rPr>
              <w:t xml:space="preserve"> </w:t>
            </w:r>
            <w:r w:rsidRPr="001002E2" w:rsidDel="00F534BA">
              <w:rPr>
                <w:rFonts w:asciiTheme="minorHAnsi" w:hAnsiTheme="minorHAnsi" w:cstheme="minorHAnsi"/>
              </w:rPr>
              <w:t>and Cap</w:t>
            </w:r>
            <w:r w:rsidR="006735E1" w:rsidDel="00F534BA">
              <w:rPr>
                <w:rFonts w:asciiTheme="minorHAnsi" w:eastAsia="SimSun" w:hAnsiTheme="minorHAnsi" w:cstheme="minorHAnsi" w:hint="eastAsia"/>
                <w:lang w:eastAsia="zh-CN"/>
              </w:rPr>
              <w:t>ital E</w:t>
            </w:r>
            <w:r w:rsidRPr="001002E2" w:rsidDel="00F534BA">
              <w:rPr>
                <w:rFonts w:asciiTheme="minorHAnsi" w:hAnsiTheme="minorHAnsi" w:cstheme="minorHAnsi"/>
              </w:rPr>
              <w:t>x</w:t>
            </w:r>
            <w:r w:rsidR="006735E1" w:rsidDel="00F534BA">
              <w:rPr>
                <w:rFonts w:asciiTheme="minorHAnsi" w:eastAsia="SimSun" w:hAnsiTheme="minorHAnsi" w:cstheme="minorHAnsi" w:hint="eastAsia"/>
                <w:lang w:eastAsia="zh-CN"/>
              </w:rPr>
              <w:t>penditure</w:t>
            </w:r>
            <w:r w:rsidRPr="001002E2" w:rsidDel="00F534BA">
              <w:rPr>
                <w:rFonts w:asciiTheme="minorHAnsi" w:hAnsiTheme="minorHAnsi" w:cstheme="minorHAnsi"/>
              </w:rPr>
              <w:t xml:space="preserve"> avoided: </w:t>
            </w:r>
            <w:r w:rsidR="00A77908">
              <w:rPr>
                <w:rFonts w:asciiTheme="minorHAnsi" w:hAnsiTheme="minorHAnsi" w:cstheme="minorHAnsi"/>
              </w:rPr>
              <w:t>The operating or capital</w:t>
            </w:r>
            <w:r w:rsidRPr="001002E2">
              <w:rPr>
                <w:rFonts w:asciiTheme="minorHAnsi" w:hAnsiTheme="minorHAnsi" w:cstheme="minorHAnsi"/>
              </w:rPr>
              <w:t xml:space="preserve"> expenditure </w:t>
            </w:r>
            <w:r w:rsidRPr="001002E2" w:rsidDel="00F534BA">
              <w:rPr>
                <w:rFonts w:asciiTheme="minorHAnsi" w:hAnsiTheme="minorHAnsi" w:cstheme="minorHAnsi"/>
              </w:rPr>
              <w:t xml:space="preserve">avoided </w:t>
            </w:r>
            <w:r w:rsidR="00A77908">
              <w:rPr>
                <w:rFonts w:asciiTheme="minorHAnsi" w:hAnsiTheme="minorHAnsi" w:cstheme="minorHAnsi"/>
              </w:rPr>
              <w:t xml:space="preserve">by </w:t>
            </w:r>
            <w:r w:rsidR="00AA0989">
              <w:rPr>
                <w:rFonts w:asciiTheme="minorHAnsi" w:hAnsiTheme="minorHAnsi" w:cstheme="minorHAnsi"/>
              </w:rPr>
              <w:t>completing</w:t>
            </w:r>
            <w:r w:rsidR="00A77908">
              <w:rPr>
                <w:rFonts w:asciiTheme="minorHAnsi" w:hAnsiTheme="minorHAnsi" w:cstheme="minorHAnsi"/>
              </w:rPr>
              <w:t xml:space="preserve"> the transformation project</w:t>
            </w:r>
            <w:r w:rsidRPr="001002E2">
              <w:rPr>
                <w:rFonts w:asciiTheme="minorHAnsi" w:hAnsiTheme="minorHAnsi" w:cstheme="minorHAnsi"/>
              </w:rPr>
              <w:t xml:space="preserve">, </w:t>
            </w:r>
            <w:r w:rsidR="00845278" w:rsidRPr="001002E2">
              <w:rPr>
                <w:rFonts w:asciiTheme="minorHAnsi" w:hAnsiTheme="minorHAnsi" w:cstheme="minorHAnsi"/>
              </w:rPr>
              <w:t>e.g.</w:t>
            </w:r>
            <w:r w:rsidR="00A063F7">
              <w:rPr>
                <w:rFonts w:asciiTheme="minorHAnsi" w:hAnsiTheme="minorHAnsi" w:cstheme="minorHAnsi"/>
              </w:rPr>
              <w:t>,</w:t>
            </w:r>
            <w:r w:rsidRPr="001002E2" w:rsidDel="00F534BA">
              <w:rPr>
                <w:rFonts w:asciiTheme="minorHAnsi" w:hAnsiTheme="minorHAnsi" w:cstheme="minorHAnsi"/>
              </w:rPr>
              <w:t xml:space="preserve"> an investment forecast reducing through finding a better way to deliver the project and avoid costs.</w:t>
            </w:r>
          </w:p>
        </w:tc>
        <w:tc>
          <w:tcPr>
            <w:tcW w:w="0" w:type="auto"/>
          </w:tcPr>
          <w:p w14:paraId="5046B484" w14:textId="660C5D71"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2E9F9CC1" w14:textId="77777777" w:rsidTr="00954233">
        <w:tc>
          <w:tcPr>
            <w:tcW w:w="0" w:type="auto"/>
          </w:tcPr>
          <w:p w14:paraId="5644580B" w14:textId="541DD629" w:rsidR="00FE1B9D" w:rsidRPr="001002E2" w:rsidRDefault="00FB1630">
            <w:pPr>
              <w:pStyle w:val="BodyText"/>
              <w:rPr>
                <w:rFonts w:asciiTheme="minorHAnsi" w:hAnsiTheme="minorHAnsi" w:cstheme="minorHAnsi"/>
              </w:rPr>
            </w:pPr>
            <w:r w:rsidRPr="001002E2">
              <w:rPr>
                <w:rFonts w:asciiTheme="minorHAnsi" w:hAnsiTheme="minorHAnsi" w:cstheme="minorHAnsi"/>
              </w:rPr>
              <w:t>52-60</w:t>
            </w:r>
          </w:p>
        </w:tc>
        <w:tc>
          <w:tcPr>
            <w:tcW w:w="0" w:type="auto"/>
          </w:tcPr>
          <w:p w14:paraId="16F28759" w14:textId="73011642" w:rsidR="00FE1B9D" w:rsidRPr="001002E2" w:rsidRDefault="00FE1B9D">
            <w:pPr>
              <w:pStyle w:val="BodyText"/>
              <w:rPr>
                <w:rFonts w:asciiTheme="minorHAnsi" w:hAnsiTheme="minorHAnsi" w:cstheme="minorHAnsi"/>
              </w:rPr>
            </w:pPr>
            <w:r w:rsidRPr="001002E2">
              <w:rPr>
                <w:rFonts w:asciiTheme="minorHAnsi" w:hAnsiTheme="minorHAnsi" w:cstheme="minorHAnsi"/>
              </w:rPr>
              <w:t>Other Benefits (</w:t>
            </w:r>
            <w:r w:rsidR="00AC0CAE" w:rsidRPr="00AC0CAE">
              <w:rPr>
                <w:rFonts w:asciiTheme="minorHAnsi" w:hAnsiTheme="minorHAnsi" w:cstheme="minorHAnsi"/>
              </w:rPr>
              <w:t>Not Related</w:t>
            </w:r>
            <w:r w:rsidRPr="001002E2">
              <w:rPr>
                <w:rFonts w:asciiTheme="minorHAnsi" w:hAnsiTheme="minorHAnsi" w:cstheme="minorHAnsi"/>
              </w:rPr>
              <w:t xml:space="preserve"> to </w:t>
            </w:r>
            <w:r w:rsidR="00AC0CAE" w:rsidRPr="00AC0CAE">
              <w:rPr>
                <w:rFonts w:asciiTheme="minorHAnsi" w:hAnsiTheme="minorHAnsi" w:cstheme="minorHAnsi"/>
              </w:rPr>
              <w:t>Expenditure</w:t>
            </w:r>
            <w:r w:rsidRPr="001002E2">
              <w:rPr>
                <w:rFonts w:asciiTheme="minorHAnsi" w:hAnsiTheme="minorHAnsi" w:cstheme="minorHAnsi"/>
              </w:rPr>
              <w:t>)</w:t>
            </w:r>
          </w:p>
        </w:tc>
        <w:tc>
          <w:tcPr>
            <w:tcW w:w="0" w:type="auto"/>
          </w:tcPr>
          <w:p w14:paraId="713F23A4" w14:textId="5D14B8C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For all programmes, if the initiative delivers non-financial benefits, enter the benefit type and associated units with the predicted benefit </w:t>
            </w:r>
            <w:r w:rsidR="00A063F7">
              <w:rPr>
                <w:rFonts w:asciiTheme="minorHAnsi" w:hAnsiTheme="minorHAnsi" w:cstheme="minorHAnsi"/>
              </w:rPr>
              <w:t xml:space="preserve">expressed </w:t>
            </w:r>
            <w:r w:rsidRPr="001002E2">
              <w:rPr>
                <w:rFonts w:asciiTheme="minorHAnsi" w:hAnsiTheme="minorHAnsi" w:cstheme="minorHAnsi"/>
              </w:rPr>
              <w:t xml:space="preserve">annually over the SRC27 period. </w:t>
            </w:r>
          </w:p>
        </w:tc>
        <w:tc>
          <w:tcPr>
            <w:tcW w:w="0" w:type="auto"/>
          </w:tcPr>
          <w:p w14:paraId="1E474144"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38288229" w14:textId="77777777" w:rsidTr="00954233">
        <w:tc>
          <w:tcPr>
            <w:tcW w:w="0" w:type="auto"/>
          </w:tcPr>
          <w:p w14:paraId="3C4D63CB" w14:textId="441AB435" w:rsidR="00FE1B9D" w:rsidRPr="001002E2" w:rsidRDefault="00FB1630">
            <w:pPr>
              <w:pStyle w:val="BodyText"/>
              <w:rPr>
                <w:rFonts w:asciiTheme="minorHAnsi" w:hAnsiTheme="minorHAnsi" w:cstheme="minorHAnsi"/>
              </w:rPr>
            </w:pPr>
            <w:r w:rsidRPr="001002E2">
              <w:rPr>
                <w:rFonts w:asciiTheme="minorHAnsi" w:hAnsiTheme="minorHAnsi" w:cstheme="minorHAnsi"/>
              </w:rPr>
              <w:t>61</w:t>
            </w:r>
          </w:p>
        </w:tc>
        <w:tc>
          <w:tcPr>
            <w:tcW w:w="0" w:type="auto"/>
          </w:tcPr>
          <w:p w14:paraId="7FFA27C0" w14:textId="532E832D"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Other </w:t>
            </w:r>
            <w:r w:rsidR="00E76716">
              <w:rPr>
                <w:rFonts w:asciiTheme="minorHAnsi" w:hAnsiTheme="minorHAnsi" w:cstheme="minorHAnsi"/>
              </w:rPr>
              <w:t>Reporting C</w:t>
            </w:r>
            <w:r w:rsidRPr="001002E2">
              <w:rPr>
                <w:rFonts w:asciiTheme="minorHAnsi" w:hAnsiTheme="minorHAnsi" w:cstheme="minorHAnsi"/>
              </w:rPr>
              <w:t>omment</w:t>
            </w:r>
            <w:r w:rsidR="00E76716">
              <w:rPr>
                <w:rFonts w:asciiTheme="minorHAnsi" w:hAnsiTheme="minorHAnsi" w:cstheme="minorHAnsi"/>
              </w:rPr>
              <w:t>ary</w:t>
            </w:r>
          </w:p>
        </w:tc>
        <w:tc>
          <w:tcPr>
            <w:tcW w:w="0" w:type="auto"/>
          </w:tcPr>
          <w:p w14:paraId="3AD3FC1E"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Any other pertinent or explanatory information for the transformation initiative. </w:t>
            </w:r>
          </w:p>
        </w:tc>
        <w:tc>
          <w:tcPr>
            <w:tcW w:w="0" w:type="auto"/>
          </w:tcPr>
          <w:p w14:paraId="717BDF0A" w14:textId="26E404F1" w:rsidR="00FE1B9D" w:rsidRPr="001002E2" w:rsidRDefault="00CE36F5">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600F91B3" w14:textId="77777777" w:rsidTr="00954233">
        <w:tc>
          <w:tcPr>
            <w:tcW w:w="0" w:type="auto"/>
          </w:tcPr>
          <w:p w14:paraId="05163EBB" w14:textId="565F264E" w:rsidR="00FE1B9D" w:rsidRPr="001002E2" w:rsidRDefault="00FB1630">
            <w:pPr>
              <w:pStyle w:val="BodyText"/>
              <w:rPr>
                <w:rFonts w:asciiTheme="minorHAnsi" w:hAnsiTheme="minorHAnsi" w:cstheme="minorHAnsi"/>
              </w:rPr>
            </w:pPr>
            <w:r w:rsidRPr="001002E2">
              <w:rPr>
                <w:rFonts w:asciiTheme="minorHAnsi" w:hAnsiTheme="minorHAnsi" w:cstheme="minorHAnsi"/>
              </w:rPr>
              <w:t>-</w:t>
            </w:r>
          </w:p>
        </w:tc>
        <w:tc>
          <w:tcPr>
            <w:tcW w:w="0" w:type="auto"/>
          </w:tcPr>
          <w:p w14:paraId="41714B9F"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Total</w:t>
            </w:r>
          </w:p>
        </w:tc>
        <w:tc>
          <w:tcPr>
            <w:tcW w:w="0" w:type="auto"/>
          </w:tcPr>
          <w:p w14:paraId="326EFBBD" w14:textId="4FBC97AB" w:rsidR="00FE1B9D" w:rsidRPr="001002E2" w:rsidRDefault="00F534BA">
            <w:pPr>
              <w:pStyle w:val="BodyText"/>
              <w:rPr>
                <w:rFonts w:asciiTheme="minorHAnsi" w:hAnsiTheme="minorHAnsi" w:cstheme="minorHAnsi"/>
              </w:rPr>
            </w:pPr>
            <w:r>
              <w:rPr>
                <w:rFonts w:asciiTheme="minorHAnsi" w:hAnsiTheme="minorHAnsi" w:cstheme="minorHAnsi"/>
              </w:rPr>
              <w:t>The sum</w:t>
            </w:r>
            <w:r w:rsidRPr="001002E2">
              <w:rPr>
                <w:rFonts w:asciiTheme="minorHAnsi" w:hAnsiTheme="minorHAnsi" w:cstheme="minorHAnsi"/>
              </w:rPr>
              <w:t xml:space="preserve"> </w:t>
            </w:r>
            <w:r w:rsidR="00FE1B9D" w:rsidRPr="001002E2">
              <w:rPr>
                <w:rFonts w:asciiTheme="minorHAnsi" w:hAnsiTheme="minorHAnsi" w:cstheme="minorHAnsi"/>
              </w:rPr>
              <w:t>of expenditure columns for all projects</w:t>
            </w:r>
            <w:r w:rsidR="004531A2">
              <w:rPr>
                <w:rFonts w:asciiTheme="minorHAnsi" w:hAnsiTheme="minorHAnsi" w:cstheme="minorHAnsi"/>
              </w:rPr>
              <w:t>.</w:t>
            </w:r>
          </w:p>
        </w:tc>
        <w:tc>
          <w:tcPr>
            <w:tcW w:w="0" w:type="auto"/>
          </w:tcPr>
          <w:p w14:paraId="66BC477E" w14:textId="33C74DA9"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bl>
    <w:p w14:paraId="1AECBBD9" w14:textId="77777777" w:rsidR="00C91164" w:rsidRDefault="00C91164" w:rsidP="00D2612F">
      <w:pPr>
        <w:spacing w:after="160" w:line="259" w:lineRule="auto"/>
        <w:jc w:val="left"/>
        <w:sectPr w:rsidR="00C91164" w:rsidSect="00C73337">
          <w:pgSz w:w="16838" w:h="11906" w:orient="landscape" w:code="9"/>
          <w:pgMar w:top="1134" w:right="1134" w:bottom="1134" w:left="1134" w:header="567" w:footer="567" w:gutter="0"/>
          <w:cols w:space="708"/>
          <w:docGrid w:linePitch="360"/>
        </w:sectPr>
      </w:pPr>
    </w:p>
    <w:p w14:paraId="2F29363C" w14:textId="47B89455" w:rsidR="00191AE8" w:rsidRDefault="00191AE8" w:rsidP="00954233">
      <w:pPr>
        <w:pStyle w:val="heading10"/>
        <w:outlineLvl w:val="0"/>
      </w:pPr>
      <w:bookmarkStart w:id="33" w:name="_Toc184736052"/>
      <w:r>
        <w:lastRenderedPageBreak/>
        <w:t xml:space="preserve">Other </w:t>
      </w:r>
      <w:r w:rsidR="00F14757">
        <w:t xml:space="preserve">costs </w:t>
      </w:r>
      <w:r>
        <w:t xml:space="preserve">and </w:t>
      </w:r>
      <w:r w:rsidR="00F14757">
        <w:t>assumptions</w:t>
      </w:r>
      <w:bookmarkEnd w:id="33"/>
      <w:r w:rsidR="00F14757">
        <w:t xml:space="preserve"> </w:t>
      </w:r>
    </w:p>
    <w:p w14:paraId="5B12581D" w14:textId="77777777" w:rsidR="00191AE8" w:rsidRDefault="00191AE8" w:rsidP="00191AE8">
      <w:pPr>
        <w:pStyle w:val="heading20"/>
        <w:ind w:left="788" w:hanging="431"/>
        <w:outlineLvl w:val="1"/>
      </w:pPr>
      <w:bookmarkStart w:id="34" w:name="_Toc184736053"/>
      <w:r>
        <w:t>Purpose</w:t>
      </w:r>
      <w:bookmarkEnd w:id="34"/>
    </w:p>
    <w:p w14:paraId="2F632BBE" w14:textId="77777777" w:rsidR="00F92F1C" w:rsidRDefault="00F92F1C" w:rsidP="00F92F1C"/>
    <w:p w14:paraId="0BE0EA8C" w14:textId="6D406C19" w:rsidR="0009420B" w:rsidRDefault="0009420B" w:rsidP="00F92F1C">
      <w:pPr>
        <w:rPr>
          <w:rFonts w:ascii="Calibri" w:hAnsi="Calibri" w:cs="Calibri"/>
          <w:szCs w:val="24"/>
        </w:rPr>
      </w:pPr>
      <w:r w:rsidRPr="0009420B">
        <w:t xml:space="preserve">This table covers Scottish Water’s </w:t>
      </w:r>
      <w:r>
        <w:rPr>
          <w:rFonts w:ascii="Calibri" w:hAnsi="Calibri" w:cs="Calibri"/>
          <w:szCs w:val="24"/>
        </w:rPr>
        <w:t>op</w:t>
      </w:r>
      <w:r w:rsidR="00350ED8">
        <w:rPr>
          <w:rFonts w:ascii="Calibri" w:hAnsi="Calibri" w:cs="Calibri"/>
          <w:szCs w:val="24"/>
        </w:rPr>
        <w:t xml:space="preserve">erating </w:t>
      </w:r>
      <w:r>
        <w:rPr>
          <w:rFonts w:ascii="Calibri" w:hAnsi="Calibri" w:cs="Calibri"/>
          <w:szCs w:val="24"/>
        </w:rPr>
        <w:t>ex</w:t>
      </w:r>
      <w:r w:rsidR="00350ED8">
        <w:rPr>
          <w:rFonts w:ascii="Calibri" w:hAnsi="Calibri" w:cs="Calibri"/>
          <w:szCs w:val="24"/>
        </w:rPr>
        <w:t>penditure</w:t>
      </w:r>
      <w:r w:rsidR="00924E6C">
        <w:rPr>
          <w:rFonts w:ascii="Calibri" w:hAnsi="Calibri" w:cs="Calibri"/>
          <w:szCs w:val="24"/>
        </w:rPr>
        <w:t xml:space="preserve"> (</w:t>
      </w:r>
      <w:r w:rsidR="00EE7BB2">
        <w:rPr>
          <w:rFonts w:ascii="Calibri" w:hAnsi="Calibri" w:cs="Calibri"/>
          <w:szCs w:val="24"/>
        </w:rPr>
        <w:t>OPEX</w:t>
      </w:r>
      <w:r w:rsidR="00633F37">
        <w:rPr>
          <w:rFonts w:ascii="Calibri" w:hAnsi="Calibri" w:cs="Calibri"/>
          <w:szCs w:val="24"/>
        </w:rPr>
        <w:t>)</w:t>
      </w:r>
      <w:r>
        <w:rPr>
          <w:rFonts w:ascii="Calibri" w:hAnsi="Calibri" w:cs="Calibri"/>
          <w:szCs w:val="24"/>
        </w:rPr>
        <w:t xml:space="preserve"> forecasts, </w:t>
      </w:r>
      <w:r w:rsidR="004E2DF2">
        <w:rPr>
          <w:rFonts w:ascii="Calibri" w:hAnsi="Calibri" w:cs="Calibri"/>
          <w:szCs w:val="24"/>
        </w:rPr>
        <w:t xml:space="preserve">population and growth forecasts as well as a number of other financial assumptions and costs. </w:t>
      </w:r>
      <w:r w:rsidRPr="0009420B">
        <w:rPr>
          <w:rFonts w:ascii="Calibri" w:hAnsi="Calibri" w:cs="Calibri"/>
          <w:szCs w:val="24"/>
        </w:rPr>
        <w:t xml:space="preserve">The data required is forecast annually over the SRC27 period and then </w:t>
      </w:r>
      <w:r w:rsidR="00924E6C">
        <w:rPr>
          <w:rFonts w:ascii="Calibri" w:hAnsi="Calibri" w:cs="Calibri"/>
          <w:szCs w:val="24"/>
        </w:rPr>
        <w:t xml:space="preserve">in the final year of each subsequent regulatory control period – i.e., </w:t>
      </w:r>
      <w:r w:rsidR="003363BF" w:rsidRPr="003363BF">
        <w:rPr>
          <w:rFonts w:ascii="Calibri" w:hAnsi="Calibri" w:cs="Calibri"/>
          <w:szCs w:val="24"/>
        </w:rPr>
        <w:t>2038-39</w:t>
      </w:r>
      <w:r w:rsidR="003363BF">
        <w:rPr>
          <w:rFonts w:ascii="Calibri" w:hAnsi="Calibri" w:cs="Calibri"/>
          <w:szCs w:val="24"/>
        </w:rPr>
        <w:t xml:space="preserve">, </w:t>
      </w:r>
      <w:r w:rsidR="003363BF" w:rsidRPr="003363BF">
        <w:rPr>
          <w:rFonts w:ascii="Calibri" w:hAnsi="Calibri" w:cs="Calibri"/>
          <w:szCs w:val="24"/>
        </w:rPr>
        <w:t>2044-45</w:t>
      </w:r>
      <w:r w:rsidR="003363BF">
        <w:rPr>
          <w:rFonts w:ascii="Calibri" w:hAnsi="Calibri" w:cs="Calibri"/>
          <w:szCs w:val="24"/>
        </w:rPr>
        <w:t xml:space="preserve"> and </w:t>
      </w:r>
      <w:r w:rsidR="003363BF" w:rsidRPr="003363BF">
        <w:rPr>
          <w:rFonts w:ascii="Calibri" w:hAnsi="Calibri" w:cs="Calibri"/>
          <w:szCs w:val="24"/>
        </w:rPr>
        <w:t>2050-51</w:t>
      </w:r>
      <w:r w:rsidR="00C81FB8">
        <w:rPr>
          <w:rFonts w:ascii="Calibri" w:hAnsi="Calibri" w:cs="Calibri"/>
          <w:szCs w:val="24"/>
        </w:rPr>
        <w:t>.</w:t>
      </w:r>
    </w:p>
    <w:p w14:paraId="13A6DBD3" w14:textId="77777777" w:rsidR="00D6310D" w:rsidRDefault="00D6310D" w:rsidP="00F92F1C">
      <w:pPr>
        <w:rPr>
          <w:rFonts w:ascii="Calibri" w:hAnsi="Calibri" w:cs="Calibri"/>
          <w:szCs w:val="24"/>
        </w:rPr>
      </w:pPr>
    </w:p>
    <w:p w14:paraId="4FA0AA22" w14:textId="52F58973" w:rsidR="00D6310D" w:rsidRPr="00E6436F" w:rsidRDefault="00D6310D" w:rsidP="00D6310D">
      <w:r w:rsidRPr="00E6436F">
        <w:t xml:space="preserve">This will allow for assessment of the </w:t>
      </w:r>
      <w:r w:rsidR="00EE7BB2">
        <w:t xml:space="preserve">OPEX </w:t>
      </w:r>
      <w:r w:rsidR="00B152E7">
        <w:t xml:space="preserve">aspects of the business plan, in relation to changes from the base position in 2024-25. </w:t>
      </w:r>
      <w:r>
        <w:t xml:space="preserve">It will also inform the baseline </w:t>
      </w:r>
      <w:r w:rsidR="007D49FA">
        <w:t xml:space="preserve">against which </w:t>
      </w:r>
      <w:r>
        <w:t xml:space="preserve">WICS will assess Scottish Water’s </w:t>
      </w:r>
      <w:r w:rsidR="00EE7BB2">
        <w:t xml:space="preserve">OPEX </w:t>
      </w:r>
      <w:r>
        <w:t>performance over the SRC27 period</w:t>
      </w:r>
      <w:r w:rsidR="00B152E7">
        <w:t>.</w:t>
      </w:r>
    </w:p>
    <w:p w14:paraId="5EAB3509" w14:textId="77777777" w:rsidR="002B3E8B" w:rsidRDefault="002B3E8B" w:rsidP="00E818A1"/>
    <w:p w14:paraId="5B621C28" w14:textId="0939312D" w:rsidR="002406F6" w:rsidRDefault="002406F6" w:rsidP="002406F6">
      <w:pPr>
        <w:pStyle w:val="heading20"/>
        <w:ind w:left="788" w:hanging="431"/>
        <w:outlineLvl w:val="1"/>
      </w:pPr>
      <w:bookmarkStart w:id="35" w:name="_Toc184736054"/>
      <w:r>
        <w:t>Guidance</w:t>
      </w:r>
      <w:bookmarkEnd w:id="35"/>
      <w:r>
        <w:t xml:space="preserve"> </w:t>
      </w:r>
    </w:p>
    <w:p w14:paraId="45900C5D" w14:textId="77777777" w:rsidR="00F92F1C" w:rsidRDefault="00F92F1C" w:rsidP="00F92F1C"/>
    <w:p w14:paraId="6E8FD5BA" w14:textId="170496CC" w:rsidR="009805C4" w:rsidRPr="00D301DC" w:rsidRDefault="009805C4" w:rsidP="00F92F1C">
      <w:r w:rsidRPr="00D301DC">
        <w:t>Scottish Water should report expenditure data in 2024</w:t>
      </w:r>
      <w:r w:rsidR="008474EA">
        <w:t>-</w:t>
      </w:r>
      <w:r w:rsidRPr="00D301DC">
        <w:t xml:space="preserve">25 price base. The units of expenditure are £m to 3 decimal places. Units for each </w:t>
      </w:r>
      <w:r w:rsidR="00176A15" w:rsidRPr="00D301DC">
        <w:t>line</w:t>
      </w:r>
      <w:r w:rsidRPr="00D301DC">
        <w:t xml:space="preserve"> are given in the definition</w:t>
      </w:r>
      <w:r w:rsidR="00305CA5">
        <w:t>s</w:t>
      </w:r>
      <w:r w:rsidRPr="00D301DC">
        <w:t xml:space="preserve"> below.</w:t>
      </w:r>
    </w:p>
    <w:p w14:paraId="1DBB7CA6" w14:textId="77777777" w:rsidR="00B45707" w:rsidRPr="00D301DC" w:rsidRDefault="00B45707" w:rsidP="00E818A1"/>
    <w:p w14:paraId="2DBFCA9A" w14:textId="2F6F8435" w:rsidR="006E59EC" w:rsidRPr="00D301DC" w:rsidRDefault="006E59EC" w:rsidP="00F92F1C">
      <w:r w:rsidRPr="00D301DC">
        <w:t xml:space="preserve">There are </w:t>
      </w:r>
      <w:r w:rsidRPr="00D301DC" w:rsidDel="00BA7587">
        <w:t>sub</w:t>
      </w:r>
      <w:r w:rsidR="00BA7587">
        <w:t>-total and total lines in this table,</w:t>
      </w:r>
      <w:r w:rsidRPr="00D301DC">
        <w:t xml:space="preserve"> which are calculation</w:t>
      </w:r>
      <w:r w:rsidR="00B45707" w:rsidRPr="00D301DC">
        <w:t>s</w:t>
      </w:r>
      <w:r w:rsidRPr="00D301DC">
        <w:t xml:space="preserve">. </w:t>
      </w:r>
      <w:r w:rsidR="00B45707" w:rsidRPr="00D301DC">
        <w:t xml:space="preserve">Other </w:t>
      </w:r>
      <w:r w:rsidR="00AE7DB5">
        <w:t>lines</w:t>
      </w:r>
      <w:r w:rsidR="00B45707" w:rsidRPr="00D301DC">
        <w:t xml:space="preserve"> are input</w:t>
      </w:r>
      <w:r w:rsidR="00AE7DB5">
        <w:t xml:space="preserve"> fields</w:t>
      </w:r>
      <w:r w:rsidR="00B45707" w:rsidRPr="00D301DC">
        <w:t>.</w:t>
      </w:r>
    </w:p>
    <w:p w14:paraId="04D05A59" w14:textId="77777777" w:rsidR="00D301DC" w:rsidRDefault="00D301DC" w:rsidP="00E818A1"/>
    <w:p w14:paraId="23F43850" w14:textId="0A7CE3D3" w:rsidR="00191AE8" w:rsidRPr="001A7A59" w:rsidRDefault="00B04D46" w:rsidP="00F92F1C">
      <w:r w:rsidRPr="001A7A59">
        <w:t xml:space="preserve">The company should prepare its forecasts of </w:t>
      </w:r>
      <w:r w:rsidR="00EE7BB2">
        <w:t>OPEX</w:t>
      </w:r>
      <w:r w:rsidR="00EE7BB2" w:rsidRPr="001A7A59">
        <w:t xml:space="preserve"> </w:t>
      </w:r>
      <w:r w:rsidR="00204EC8">
        <w:t xml:space="preserve">and its </w:t>
      </w:r>
      <w:r w:rsidR="00204EC8" w:rsidRPr="00204EC8">
        <w:t xml:space="preserve">forecasts of </w:t>
      </w:r>
      <w:r w:rsidR="00204EC8">
        <w:t>p</w:t>
      </w:r>
      <w:r w:rsidR="00204EC8" w:rsidRPr="00204EC8">
        <w:t xml:space="preserve">roperty/ </w:t>
      </w:r>
      <w:r w:rsidR="00204EC8">
        <w:t>p</w:t>
      </w:r>
      <w:r w:rsidR="00204EC8" w:rsidRPr="00204EC8">
        <w:t xml:space="preserve">opulation </w:t>
      </w:r>
      <w:r w:rsidR="00204EC8">
        <w:t>g</w:t>
      </w:r>
      <w:r w:rsidR="00204EC8" w:rsidRPr="00204EC8">
        <w:t xml:space="preserve">rowth </w:t>
      </w:r>
      <w:r w:rsidR="00472533">
        <w:t>a</w:t>
      </w:r>
      <w:r w:rsidR="00204EC8" w:rsidRPr="00204EC8">
        <w:t>ssumptions</w:t>
      </w:r>
      <w:r w:rsidR="00204EC8" w:rsidRPr="001A7A59">
        <w:t xml:space="preserve"> </w:t>
      </w:r>
      <w:r w:rsidRPr="001A7A59">
        <w:t xml:space="preserve">on a basis </w:t>
      </w:r>
      <w:r w:rsidR="00BA7587">
        <w:t>that is wholly consistent with annual return</w:t>
      </w:r>
      <w:r w:rsidRPr="001A7A59">
        <w:t xml:space="preserve"> reporting for </w:t>
      </w:r>
      <w:r w:rsidR="001A7A59" w:rsidRPr="001A7A59">
        <w:t xml:space="preserve">the E </w:t>
      </w:r>
      <w:r w:rsidRPr="001A7A59">
        <w:t>tables. Where Scottish Water deviates from such a basis, it should set out such deviation – along with the rationale and supporting evidence – in its table commentary.</w:t>
      </w:r>
    </w:p>
    <w:p w14:paraId="25C34B87" w14:textId="77777777" w:rsidR="003020CB" w:rsidRDefault="003020CB" w:rsidP="00F92F1C">
      <w:pPr>
        <w:rPr>
          <w:color w:val="FF0000"/>
        </w:rPr>
      </w:pPr>
    </w:p>
    <w:p w14:paraId="7962C3C2" w14:textId="5E3B8349" w:rsidR="003020CB" w:rsidRDefault="00F755D4" w:rsidP="00F92F1C">
      <w:r w:rsidRPr="00B74E34">
        <w:t xml:space="preserve">Confidence grades should be </w:t>
      </w:r>
      <w:r>
        <w:t>assigned</w:t>
      </w:r>
      <w:r w:rsidRPr="00B74E34">
        <w:t xml:space="preserve"> in accordance with guidance in </w:t>
      </w:r>
      <w:r w:rsidR="000840A1">
        <w:rPr>
          <w:rFonts w:cstheme="minorHAnsi"/>
        </w:rPr>
        <w:t>c</w:t>
      </w:r>
      <w:r w:rsidR="00775266">
        <w:rPr>
          <w:rFonts w:cstheme="minorHAnsi"/>
        </w:rPr>
        <w:t xml:space="preserve">hapter </w:t>
      </w:r>
      <w:r w:rsidR="007E0840">
        <w:rPr>
          <w:rFonts w:cstheme="minorHAnsi"/>
        </w:rPr>
        <w:t>‘</w:t>
      </w:r>
      <w:r w:rsidR="00A91BF3">
        <w:rPr>
          <w:rFonts w:cstheme="minorHAnsi"/>
        </w:rPr>
        <w:t>Common Definitions</w:t>
      </w:r>
      <w:r w:rsidR="007E0840">
        <w:rPr>
          <w:rFonts w:cstheme="minorHAnsi"/>
        </w:rPr>
        <w:t>’</w:t>
      </w:r>
      <w:r w:rsidRPr="00B74E34">
        <w:t xml:space="preserve">. </w:t>
      </w:r>
    </w:p>
    <w:p w14:paraId="0A35C95B" w14:textId="77777777" w:rsidR="00617B13" w:rsidRDefault="00617B13" w:rsidP="00F92F1C"/>
    <w:p w14:paraId="40FF0E9D" w14:textId="60C5984E" w:rsidR="00EC1709" w:rsidRPr="0030124D" w:rsidRDefault="00EC1709" w:rsidP="00EC1709">
      <w:r>
        <w:t>W</w:t>
      </w:r>
      <w:r w:rsidRPr="0030124D">
        <w:t>e expect there will be step change increases and decreases from the reported operating expenditure in 2024-25 due to:</w:t>
      </w:r>
    </w:p>
    <w:p w14:paraId="13E06DD0" w14:textId="77777777" w:rsidR="00EC1709" w:rsidRPr="0030124D" w:rsidRDefault="00EC1709" w:rsidP="00EC1709">
      <w:pPr>
        <w:pStyle w:val="Bullet1"/>
        <w:ind w:left="360" w:hanging="360"/>
      </w:pPr>
      <w:r w:rsidRPr="0030124D">
        <w:t>the expiry of PFI contracts;</w:t>
      </w:r>
    </w:p>
    <w:p w14:paraId="23E170B3" w14:textId="77777777" w:rsidR="00EC1709" w:rsidRPr="0030124D" w:rsidRDefault="00EC1709" w:rsidP="00EC1709">
      <w:pPr>
        <w:pStyle w:val="Bullet1"/>
        <w:ind w:left="360" w:hanging="360"/>
      </w:pPr>
      <w:r w:rsidRPr="0030124D">
        <w:t>Scottish Water adopting operating-based solutions rather than capital solutions to deliver improvements; and</w:t>
      </w:r>
    </w:p>
    <w:p w14:paraId="1AAD35FB" w14:textId="77777777" w:rsidR="00EC1709" w:rsidRPr="0030124D" w:rsidRDefault="00EC1709" w:rsidP="00EC1709">
      <w:pPr>
        <w:pStyle w:val="Bullet1"/>
        <w:ind w:left="360" w:hanging="360"/>
      </w:pPr>
      <w:r w:rsidRPr="0030124D">
        <w:t>spend-to-save and transformation initiatives, where appropriate.</w:t>
      </w:r>
    </w:p>
    <w:p w14:paraId="301B5DF8" w14:textId="77777777" w:rsidR="00C50F47" w:rsidRDefault="00C50F47" w:rsidP="00F92F1C"/>
    <w:p w14:paraId="27659090" w14:textId="0C572238" w:rsidR="00EC1709" w:rsidRDefault="00C50F47" w:rsidP="00F92F1C">
      <w:r w:rsidRPr="0030124D">
        <w:t xml:space="preserve">We request that Scottish Water </w:t>
      </w:r>
      <w:r w:rsidR="00A72143">
        <w:t xml:space="preserve">provide forecasts for operating expenditure in each of these areas for the six-year period, recognising that some </w:t>
      </w:r>
      <w:r w:rsidRPr="0030124D">
        <w:t>may change during the period.</w:t>
      </w:r>
    </w:p>
    <w:p w14:paraId="64AB33F0" w14:textId="77777777" w:rsidR="006B585F" w:rsidRDefault="006B585F" w:rsidP="00F92F1C"/>
    <w:p w14:paraId="70FACB4B" w14:textId="2C285F43" w:rsidR="006B585F" w:rsidRDefault="006B585F" w:rsidP="00F92F1C">
      <w:r>
        <w:lastRenderedPageBreak/>
        <w:t>When a line</w:t>
      </w:r>
      <w:r w:rsidR="00C92D82">
        <w:t xml:space="preserve"> </w:t>
      </w:r>
      <w:r w:rsidR="00A72143">
        <w:t xml:space="preserve">reports a net change in projected </w:t>
      </w:r>
      <w:r w:rsidR="001F0B5F">
        <w:t xml:space="preserve">OPEX </w:t>
      </w:r>
      <w:r w:rsidR="00A72143">
        <w:t xml:space="preserve">due to different components of the line </w:t>
      </w:r>
      <w:r w:rsidR="002D426F">
        <w:t xml:space="preserve">increasing and decreasing, Scottish Water should report the </w:t>
      </w:r>
      <w:r w:rsidR="00C16A0D">
        <w:t>net</w:t>
      </w:r>
      <w:r w:rsidR="002D426F">
        <w:t xml:space="preserve"> increase </w:t>
      </w:r>
      <w:r w:rsidR="00C16A0D">
        <w:t>or</w:t>
      </w:r>
      <w:r w:rsidR="002D426F">
        <w:t xml:space="preserve"> decrease in the line</w:t>
      </w:r>
      <w:r w:rsidR="004904BE">
        <w:t xml:space="preserve"> with details </w:t>
      </w:r>
      <w:r w:rsidR="00C16A0D">
        <w:t>of</w:t>
      </w:r>
      <w:r w:rsidR="004904BE">
        <w:t xml:space="preserve"> the </w:t>
      </w:r>
      <w:r w:rsidR="009B1803">
        <w:t xml:space="preserve">component </w:t>
      </w:r>
      <w:r w:rsidR="00C16A0D">
        <w:t>movements</w:t>
      </w:r>
      <w:r w:rsidR="002D426F">
        <w:t xml:space="preserve"> in the commentary.</w:t>
      </w:r>
    </w:p>
    <w:p w14:paraId="0C9FC529" w14:textId="77777777" w:rsidR="00574A0F" w:rsidRDefault="00574A0F" w:rsidP="007C07A0"/>
    <w:p w14:paraId="3F35AC82" w14:textId="77777777" w:rsidR="00AD51F1" w:rsidRDefault="00AD51F1" w:rsidP="00191AE8">
      <w:pPr>
        <w:pStyle w:val="heading20"/>
        <w:ind w:left="788" w:hanging="431"/>
        <w:outlineLvl w:val="1"/>
        <w:sectPr w:rsidR="00AD51F1" w:rsidSect="003606EA">
          <w:pgSz w:w="11906" w:h="16838" w:code="9"/>
          <w:pgMar w:top="1134" w:right="1134" w:bottom="1134" w:left="1134" w:header="567" w:footer="567" w:gutter="0"/>
          <w:cols w:space="708"/>
          <w:docGrid w:linePitch="360"/>
        </w:sectPr>
      </w:pPr>
    </w:p>
    <w:p w14:paraId="6F0C13E3" w14:textId="0D9F2EF7" w:rsidR="00191AE8" w:rsidRDefault="00191AE8" w:rsidP="00191AE8">
      <w:pPr>
        <w:pStyle w:val="heading20"/>
        <w:ind w:left="788" w:hanging="431"/>
        <w:outlineLvl w:val="1"/>
      </w:pPr>
      <w:bookmarkStart w:id="36" w:name="_Toc184736055"/>
      <w:r>
        <w:lastRenderedPageBreak/>
        <w:t>Definitions</w:t>
      </w:r>
      <w:bookmarkEnd w:id="36"/>
    </w:p>
    <w:p w14:paraId="1BFE0072" w14:textId="77777777" w:rsidR="00626069" w:rsidRDefault="00626069" w:rsidP="00191AE8"/>
    <w:p w14:paraId="7F449352" w14:textId="4A406F8E" w:rsidR="002A6E48" w:rsidRDefault="002A6E48" w:rsidP="002A6E48">
      <w:pPr>
        <w:pStyle w:val="TableParagraph"/>
        <w:jc w:val="both"/>
        <w:rPr>
          <w:rFonts w:ascii="Calibri" w:hAnsi="Calibri" w:cs="Calibri"/>
          <w:b/>
          <w:color w:val="064276" w:themeColor="text2"/>
          <w:sz w:val="28"/>
          <w:szCs w:val="28"/>
        </w:rPr>
      </w:pPr>
      <w:r w:rsidRPr="00717E2F">
        <w:rPr>
          <w:rFonts w:ascii="Calibri" w:hAnsi="Calibri" w:cs="Calibri"/>
          <w:b/>
          <w:color w:val="064276" w:themeColor="text2"/>
          <w:sz w:val="28"/>
          <w:szCs w:val="28"/>
        </w:rPr>
        <w:t xml:space="preserve">Block A: </w:t>
      </w:r>
      <w:r>
        <w:rPr>
          <w:rFonts w:ascii="Calibri" w:hAnsi="Calibri" w:cs="Calibri"/>
          <w:b/>
          <w:color w:val="064276" w:themeColor="text2"/>
          <w:sz w:val="28"/>
          <w:szCs w:val="28"/>
        </w:rPr>
        <w:t xml:space="preserve">Operating </w:t>
      </w:r>
      <w:r w:rsidR="006B7C22">
        <w:rPr>
          <w:rFonts w:ascii="Calibri" w:hAnsi="Calibri" w:cs="Calibri"/>
          <w:b/>
          <w:color w:val="064276" w:themeColor="text2"/>
          <w:sz w:val="28"/>
          <w:szCs w:val="28"/>
        </w:rPr>
        <w:t>E</w:t>
      </w:r>
      <w:r>
        <w:rPr>
          <w:rFonts w:ascii="Calibri" w:hAnsi="Calibri" w:cs="Calibri"/>
          <w:b/>
          <w:color w:val="064276" w:themeColor="text2"/>
          <w:sz w:val="28"/>
          <w:szCs w:val="28"/>
        </w:rPr>
        <w:t>xpenditure</w:t>
      </w:r>
    </w:p>
    <w:tbl>
      <w:tblPr>
        <w:tblStyle w:val="Blueline"/>
        <w:tblW w:w="5000" w:type="pct"/>
        <w:tblLook w:val="04A0" w:firstRow="1" w:lastRow="0" w:firstColumn="1" w:lastColumn="0" w:noHBand="0" w:noVBand="1"/>
      </w:tblPr>
      <w:tblGrid>
        <w:gridCol w:w="2248"/>
        <w:gridCol w:w="2932"/>
        <w:gridCol w:w="7260"/>
        <w:gridCol w:w="2130"/>
      </w:tblGrid>
      <w:tr w:rsidR="00C567BA" w:rsidRPr="00FF4778" w14:paraId="12AF6F40"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771" w:type="pct"/>
          </w:tcPr>
          <w:p w14:paraId="346CCEE8" w14:textId="57D93F8D" w:rsidR="00C567BA" w:rsidRPr="00954233" w:rsidRDefault="00C567BA">
            <w:pPr>
              <w:pStyle w:val="TableParagraph"/>
              <w:rPr>
                <w:rFonts w:asciiTheme="minorHAnsi" w:hAnsiTheme="minorHAnsi" w:cstheme="minorHAnsi"/>
                <w:sz w:val="24"/>
                <w:szCs w:val="24"/>
              </w:rPr>
            </w:pPr>
            <w:r w:rsidRPr="00954233">
              <w:rPr>
                <w:rFonts w:asciiTheme="minorHAnsi" w:hAnsiTheme="minorHAnsi" w:cstheme="minorHAnsi"/>
                <w:sz w:val="24"/>
                <w:szCs w:val="24"/>
              </w:rPr>
              <w:t>Line</w:t>
            </w:r>
            <w:r w:rsidR="00BF3BBC" w:rsidRPr="00954233">
              <w:rPr>
                <w:rFonts w:asciiTheme="minorHAnsi" w:hAnsiTheme="minorHAnsi" w:cstheme="minorHAnsi"/>
                <w:sz w:val="24"/>
                <w:szCs w:val="24"/>
              </w:rPr>
              <w:t xml:space="preserve"> Reference</w:t>
            </w:r>
          </w:p>
        </w:tc>
        <w:tc>
          <w:tcPr>
            <w:tcW w:w="1006" w:type="pct"/>
          </w:tcPr>
          <w:p w14:paraId="4D4A64FC" w14:textId="77777777" w:rsidR="00C567BA" w:rsidRPr="00954233" w:rsidRDefault="00C567BA">
            <w:pPr>
              <w:pStyle w:val="TableParagraph"/>
              <w:rPr>
                <w:rFonts w:asciiTheme="minorHAnsi" w:hAnsiTheme="minorHAnsi" w:cstheme="minorHAnsi"/>
                <w:sz w:val="24"/>
                <w:szCs w:val="24"/>
              </w:rPr>
            </w:pPr>
            <w:r w:rsidRPr="00954233">
              <w:rPr>
                <w:rFonts w:asciiTheme="minorHAnsi" w:hAnsiTheme="minorHAnsi" w:cstheme="minorHAnsi"/>
                <w:sz w:val="24"/>
                <w:szCs w:val="24"/>
              </w:rPr>
              <w:t>Title</w:t>
            </w:r>
          </w:p>
        </w:tc>
        <w:tc>
          <w:tcPr>
            <w:tcW w:w="2491" w:type="pct"/>
          </w:tcPr>
          <w:p w14:paraId="3A10F50F" w14:textId="77777777" w:rsidR="00C567BA" w:rsidRPr="00954233" w:rsidRDefault="00C567BA">
            <w:pPr>
              <w:pStyle w:val="TableParagraph"/>
              <w:rPr>
                <w:rFonts w:asciiTheme="minorHAnsi" w:hAnsiTheme="minorHAnsi" w:cstheme="minorHAnsi"/>
                <w:sz w:val="24"/>
                <w:szCs w:val="24"/>
              </w:rPr>
            </w:pPr>
            <w:r w:rsidRPr="00954233">
              <w:rPr>
                <w:rFonts w:asciiTheme="minorHAnsi" w:hAnsiTheme="minorHAnsi" w:cstheme="minorHAnsi"/>
                <w:sz w:val="24"/>
                <w:szCs w:val="24"/>
              </w:rPr>
              <w:t>Definition</w:t>
            </w:r>
          </w:p>
        </w:tc>
        <w:tc>
          <w:tcPr>
            <w:tcW w:w="731" w:type="pct"/>
          </w:tcPr>
          <w:p w14:paraId="37960E4D" w14:textId="77777777" w:rsidR="00C567BA" w:rsidRPr="00954233" w:rsidRDefault="00C567BA">
            <w:pPr>
              <w:pStyle w:val="TableParagraph"/>
              <w:rPr>
                <w:rFonts w:asciiTheme="minorHAnsi" w:hAnsiTheme="minorHAnsi" w:cstheme="minorHAnsi"/>
                <w:sz w:val="24"/>
                <w:szCs w:val="24"/>
              </w:rPr>
            </w:pPr>
            <w:r w:rsidRPr="00954233">
              <w:rPr>
                <w:rFonts w:asciiTheme="minorHAnsi" w:hAnsiTheme="minorHAnsi" w:cstheme="minorHAnsi"/>
                <w:sz w:val="24"/>
                <w:szCs w:val="24"/>
              </w:rPr>
              <w:t xml:space="preserve">Unit </w:t>
            </w:r>
          </w:p>
        </w:tc>
      </w:tr>
      <w:tr w:rsidR="00AD3C95" w:rsidRPr="00FF4778" w14:paraId="5DE22F40" w14:textId="77777777" w:rsidTr="00954233">
        <w:tc>
          <w:tcPr>
            <w:tcW w:w="771" w:type="pct"/>
          </w:tcPr>
          <w:p w14:paraId="2E0159F7" w14:textId="13D87AF0" w:rsidR="00AD3C95" w:rsidRPr="00954233" w:rsidRDefault="00AD3C95">
            <w:pPr>
              <w:pStyle w:val="TableParagraph"/>
              <w:rPr>
                <w:rFonts w:cstheme="minorHAnsi"/>
                <w:sz w:val="24"/>
                <w:szCs w:val="24"/>
              </w:rPr>
            </w:pPr>
            <w:r w:rsidRPr="00954233">
              <w:rPr>
                <w:rFonts w:cstheme="minorHAnsi"/>
                <w:sz w:val="24"/>
                <w:szCs w:val="24"/>
              </w:rPr>
              <w:t>7.1</w:t>
            </w:r>
          </w:p>
        </w:tc>
        <w:tc>
          <w:tcPr>
            <w:tcW w:w="1006" w:type="pct"/>
          </w:tcPr>
          <w:p w14:paraId="04E51786" w14:textId="1B13C5CA" w:rsidR="00AD3C95" w:rsidRPr="00954233" w:rsidRDefault="00AD3C95" w:rsidP="001E6947">
            <w:pPr>
              <w:pStyle w:val="TableParagraph"/>
              <w:rPr>
                <w:rFonts w:cstheme="minorHAnsi"/>
                <w:sz w:val="24"/>
                <w:szCs w:val="24"/>
              </w:rPr>
            </w:pPr>
            <w:r w:rsidRPr="00954233">
              <w:rPr>
                <w:rFonts w:cstheme="minorHAnsi"/>
                <w:sz w:val="24"/>
                <w:szCs w:val="24"/>
              </w:rPr>
              <w:t>Base op</w:t>
            </w:r>
            <w:r w:rsidR="00DB5A6B" w:rsidRPr="00954233">
              <w:rPr>
                <w:rFonts w:cstheme="minorHAnsi"/>
                <w:sz w:val="24"/>
                <w:szCs w:val="24"/>
              </w:rPr>
              <w:t xml:space="preserve">erating </w:t>
            </w:r>
            <w:r w:rsidRPr="00954233">
              <w:rPr>
                <w:rFonts w:cstheme="minorHAnsi"/>
                <w:sz w:val="24"/>
                <w:szCs w:val="24"/>
              </w:rPr>
              <w:t>ex</w:t>
            </w:r>
            <w:r w:rsidR="00DB5A6B" w:rsidRPr="00954233">
              <w:rPr>
                <w:rFonts w:cstheme="minorHAnsi"/>
                <w:sz w:val="24"/>
                <w:szCs w:val="24"/>
              </w:rPr>
              <w:t>penditure</w:t>
            </w:r>
            <w:r w:rsidRPr="00954233">
              <w:rPr>
                <w:rFonts w:cstheme="minorHAnsi"/>
                <w:sz w:val="24"/>
                <w:szCs w:val="24"/>
              </w:rPr>
              <w:t xml:space="preserve"> in 2024-25</w:t>
            </w:r>
          </w:p>
        </w:tc>
        <w:tc>
          <w:tcPr>
            <w:tcW w:w="2491" w:type="pct"/>
          </w:tcPr>
          <w:p w14:paraId="63C42B65" w14:textId="73E90942" w:rsidR="00AD3C95" w:rsidRPr="00954233" w:rsidRDefault="006B18A8" w:rsidP="00954233">
            <w:pPr>
              <w:pStyle w:val="TableParagraph"/>
              <w:spacing w:afterLines="60" w:after="144"/>
              <w:rPr>
                <w:rFonts w:cstheme="minorHAnsi"/>
                <w:sz w:val="24"/>
                <w:szCs w:val="24"/>
              </w:rPr>
            </w:pPr>
            <w:r w:rsidRPr="00954233">
              <w:rPr>
                <w:rFonts w:cstheme="minorHAnsi"/>
                <w:sz w:val="24"/>
                <w:szCs w:val="24"/>
              </w:rPr>
              <w:t xml:space="preserve">The operating expenditure in 2024-25 </w:t>
            </w:r>
            <w:r w:rsidR="008474EA" w:rsidRPr="00954233">
              <w:rPr>
                <w:rFonts w:cstheme="minorHAnsi"/>
                <w:sz w:val="24"/>
                <w:szCs w:val="24"/>
              </w:rPr>
              <w:t>that will be used as the baseline for SRC27.</w:t>
            </w:r>
          </w:p>
        </w:tc>
        <w:tc>
          <w:tcPr>
            <w:tcW w:w="731" w:type="pct"/>
          </w:tcPr>
          <w:p w14:paraId="77C1B8F9" w14:textId="0EE970CF" w:rsidR="00AD3C95" w:rsidRPr="00954233" w:rsidRDefault="00AD3C95">
            <w:pPr>
              <w:pStyle w:val="TableParagraph"/>
              <w:rPr>
                <w:rFonts w:cstheme="minorHAnsi"/>
                <w:sz w:val="24"/>
                <w:szCs w:val="24"/>
              </w:rPr>
            </w:pPr>
            <w:r w:rsidRPr="00954233">
              <w:rPr>
                <w:rFonts w:cstheme="minorHAnsi"/>
                <w:sz w:val="24"/>
                <w:szCs w:val="24"/>
              </w:rPr>
              <w:t>£m</w:t>
            </w:r>
          </w:p>
        </w:tc>
      </w:tr>
      <w:tr w:rsidR="00C567BA" w:rsidRPr="00FF4778" w14:paraId="4251A0C2" w14:textId="77777777" w:rsidTr="00954233">
        <w:tc>
          <w:tcPr>
            <w:tcW w:w="771" w:type="pct"/>
          </w:tcPr>
          <w:p w14:paraId="6F4BA477" w14:textId="717190F8" w:rsidR="00C567BA" w:rsidRPr="00954233" w:rsidRDefault="00FA5833">
            <w:pPr>
              <w:pStyle w:val="TableParagraph"/>
              <w:rPr>
                <w:rFonts w:cstheme="minorHAnsi"/>
                <w:sz w:val="24"/>
                <w:szCs w:val="24"/>
              </w:rPr>
            </w:pPr>
            <w:r w:rsidRPr="00954233">
              <w:rPr>
                <w:rFonts w:cstheme="minorHAnsi"/>
                <w:sz w:val="24"/>
                <w:szCs w:val="24"/>
              </w:rPr>
              <w:t>7.2a - 7.2b</w:t>
            </w:r>
          </w:p>
        </w:tc>
        <w:tc>
          <w:tcPr>
            <w:tcW w:w="1006" w:type="pct"/>
          </w:tcPr>
          <w:p w14:paraId="43F16E9A" w14:textId="4DD0EDAA" w:rsidR="00C567BA" w:rsidRPr="00954233" w:rsidRDefault="001A0D2E" w:rsidP="001E6947">
            <w:pPr>
              <w:pStyle w:val="TableParagraph"/>
              <w:rPr>
                <w:rFonts w:cstheme="minorHAnsi"/>
                <w:sz w:val="24"/>
                <w:szCs w:val="24"/>
              </w:rPr>
            </w:pPr>
            <w:r w:rsidRPr="00954233">
              <w:rPr>
                <w:rFonts w:cstheme="minorHAnsi"/>
                <w:sz w:val="24"/>
                <w:szCs w:val="24"/>
              </w:rPr>
              <w:t xml:space="preserve">Projected changes </w:t>
            </w:r>
            <w:r w:rsidR="005A6544" w:rsidRPr="00954233">
              <w:rPr>
                <w:rFonts w:cstheme="minorHAnsi"/>
                <w:sz w:val="24"/>
                <w:szCs w:val="24"/>
              </w:rPr>
              <w:t>in op</w:t>
            </w:r>
            <w:r w:rsidR="00DB5A6B" w:rsidRPr="00954233">
              <w:rPr>
                <w:rFonts w:cstheme="minorHAnsi"/>
                <w:sz w:val="24"/>
                <w:szCs w:val="24"/>
              </w:rPr>
              <w:t xml:space="preserve">erating </w:t>
            </w:r>
            <w:r w:rsidR="005A6544" w:rsidRPr="00954233">
              <w:rPr>
                <w:rFonts w:cstheme="minorHAnsi"/>
                <w:sz w:val="24"/>
                <w:szCs w:val="24"/>
              </w:rPr>
              <w:t>ex</w:t>
            </w:r>
            <w:r w:rsidR="00DB5A6B" w:rsidRPr="00954233">
              <w:rPr>
                <w:rFonts w:cstheme="minorHAnsi"/>
                <w:sz w:val="24"/>
                <w:szCs w:val="24"/>
              </w:rPr>
              <w:t>penditure</w:t>
            </w:r>
          </w:p>
        </w:tc>
        <w:tc>
          <w:tcPr>
            <w:tcW w:w="2491" w:type="pct"/>
          </w:tcPr>
          <w:p w14:paraId="440D9BEE" w14:textId="412465B3" w:rsidR="009368A2" w:rsidRPr="00954233" w:rsidRDefault="009A4B4C" w:rsidP="00954233">
            <w:pPr>
              <w:pStyle w:val="TableParagraph"/>
              <w:spacing w:afterLines="60" w:after="144"/>
              <w:rPr>
                <w:rFonts w:cstheme="minorHAnsi"/>
                <w:sz w:val="24"/>
                <w:szCs w:val="24"/>
              </w:rPr>
            </w:pPr>
            <w:r w:rsidRPr="00954233">
              <w:rPr>
                <w:rFonts w:cstheme="minorHAnsi"/>
                <w:sz w:val="24"/>
                <w:szCs w:val="24"/>
              </w:rPr>
              <w:t xml:space="preserve">Provide </w:t>
            </w:r>
            <w:r w:rsidR="009368A2" w:rsidRPr="00954233">
              <w:rPr>
                <w:rFonts w:cstheme="minorHAnsi"/>
                <w:sz w:val="24"/>
                <w:szCs w:val="24"/>
              </w:rPr>
              <w:t xml:space="preserve">the forecast </w:t>
            </w:r>
            <w:r w:rsidR="000B3F4E" w:rsidRPr="00954233">
              <w:rPr>
                <w:rFonts w:cstheme="minorHAnsi"/>
                <w:sz w:val="24"/>
                <w:szCs w:val="24"/>
              </w:rPr>
              <w:t>incremental</w:t>
            </w:r>
            <w:r w:rsidR="009368A2" w:rsidRPr="00954233">
              <w:rPr>
                <w:rFonts w:cstheme="minorHAnsi"/>
                <w:sz w:val="24"/>
                <w:szCs w:val="24"/>
              </w:rPr>
              <w:t xml:space="preserve"> </w:t>
            </w:r>
            <w:r w:rsidR="00F06A33" w:rsidRPr="00954233">
              <w:rPr>
                <w:rFonts w:cstheme="minorHAnsi"/>
                <w:sz w:val="24"/>
                <w:szCs w:val="24"/>
              </w:rPr>
              <w:t>change</w:t>
            </w:r>
            <w:r w:rsidR="009368A2" w:rsidRPr="00954233">
              <w:rPr>
                <w:rFonts w:cstheme="minorHAnsi"/>
                <w:sz w:val="24"/>
                <w:szCs w:val="24"/>
              </w:rPr>
              <w:t xml:space="preserve"> in </w:t>
            </w:r>
            <w:r w:rsidR="001E018E" w:rsidRPr="00954233">
              <w:rPr>
                <w:rFonts w:cstheme="minorHAnsi" w:hint="eastAsia"/>
                <w:sz w:val="24"/>
                <w:szCs w:val="24"/>
                <w:lang w:eastAsia="zh-CN"/>
              </w:rPr>
              <w:t>OPEX</w:t>
            </w:r>
            <w:r w:rsidR="001E018E" w:rsidRPr="00954233">
              <w:rPr>
                <w:rFonts w:cstheme="minorHAnsi"/>
                <w:sz w:val="24"/>
                <w:szCs w:val="24"/>
              </w:rPr>
              <w:t xml:space="preserve"> </w:t>
            </w:r>
            <w:r w:rsidR="009368A2" w:rsidRPr="00954233">
              <w:rPr>
                <w:rFonts w:cstheme="minorHAnsi"/>
                <w:sz w:val="24"/>
                <w:szCs w:val="24"/>
              </w:rPr>
              <w:t>annually across the SRC27 period and at three future year</w:t>
            </w:r>
            <w:r w:rsidR="00A55018" w:rsidRPr="00954233">
              <w:rPr>
                <w:rFonts w:cstheme="minorHAnsi"/>
                <w:sz w:val="24"/>
                <w:szCs w:val="24"/>
              </w:rPr>
              <w:t>s</w:t>
            </w:r>
            <w:r w:rsidR="009368A2" w:rsidRPr="00954233">
              <w:rPr>
                <w:rFonts w:cstheme="minorHAnsi"/>
                <w:sz w:val="24"/>
                <w:szCs w:val="24"/>
              </w:rPr>
              <w:t xml:space="preserve">, 2038-39, 2044-45 and 2050-51. Working from a baseline total </w:t>
            </w:r>
            <w:r w:rsidR="001E018E" w:rsidRPr="00954233">
              <w:rPr>
                <w:rFonts w:cstheme="minorHAnsi" w:hint="eastAsia"/>
                <w:sz w:val="24"/>
                <w:szCs w:val="24"/>
                <w:lang w:eastAsia="zh-CN"/>
              </w:rPr>
              <w:t>OPEX</w:t>
            </w:r>
            <w:r w:rsidR="001E018E" w:rsidRPr="00954233">
              <w:rPr>
                <w:rFonts w:cstheme="minorHAnsi"/>
                <w:sz w:val="24"/>
                <w:szCs w:val="24"/>
              </w:rPr>
              <w:t xml:space="preserve"> </w:t>
            </w:r>
            <w:r w:rsidR="009368A2" w:rsidRPr="00954233">
              <w:rPr>
                <w:rFonts w:cstheme="minorHAnsi"/>
                <w:sz w:val="24"/>
                <w:szCs w:val="24"/>
              </w:rPr>
              <w:t>value in 2024-25.</w:t>
            </w:r>
          </w:p>
          <w:p w14:paraId="7507A4B8" w14:textId="6AB7F748" w:rsidR="006F2573" w:rsidRPr="00954233" w:rsidRDefault="005350CD" w:rsidP="00954233">
            <w:pPr>
              <w:pStyle w:val="TableParagraph"/>
              <w:spacing w:afterLines="60" w:after="144"/>
              <w:rPr>
                <w:rFonts w:cstheme="minorHAnsi"/>
                <w:sz w:val="24"/>
                <w:szCs w:val="24"/>
              </w:rPr>
            </w:pPr>
            <w:r w:rsidRPr="00954233">
              <w:rPr>
                <w:rFonts w:cstheme="minorHAnsi"/>
                <w:sz w:val="24"/>
                <w:szCs w:val="24"/>
              </w:rPr>
              <w:t xml:space="preserve">The </w:t>
            </w:r>
            <w:r w:rsidR="0028684D" w:rsidRPr="00954233">
              <w:rPr>
                <w:rFonts w:cstheme="minorHAnsi"/>
                <w:sz w:val="24"/>
                <w:szCs w:val="24"/>
              </w:rPr>
              <w:t xml:space="preserve">line </w:t>
            </w:r>
            <w:r w:rsidRPr="00954233">
              <w:rPr>
                <w:rFonts w:cstheme="minorHAnsi"/>
                <w:sz w:val="24"/>
                <w:szCs w:val="24"/>
              </w:rPr>
              <w:t xml:space="preserve">titles </w:t>
            </w:r>
            <w:r w:rsidR="0028684D" w:rsidRPr="00954233">
              <w:rPr>
                <w:rFonts w:cstheme="minorHAnsi"/>
                <w:sz w:val="24"/>
                <w:szCs w:val="24"/>
              </w:rPr>
              <w:t xml:space="preserve">have been </w:t>
            </w:r>
            <w:r w:rsidR="00C47BC5" w:rsidRPr="00954233">
              <w:rPr>
                <w:rFonts w:cstheme="minorHAnsi"/>
                <w:sz w:val="24"/>
                <w:szCs w:val="24"/>
              </w:rPr>
              <w:t>left as free text</w:t>
            </w:r>
            <w:r w:rsidR="004E56D8" w:rsidRPr="00954233">
              <w:rPr>
                <w:rFonts w:cstheme="minorHAnsi"/>
                <w:sz w:val="24"/>
                <w:szCs w:val="24"/>
              </w:rPr>
              <w:t>.</w:t>
            </w:r>
            <w:r w:rsidR="00C47BC5" w:rsidRPr="00954233">
              <w:rPr>
                <w:rFonts w:cstheme="minorHAnsi"/>
                <w:sz w:val="24"/>
                <w:szCs w:val="24"/>
              </w:rPr>
              <w:t xml:space="preserve"> </w:t>
            </w:r>
            <w:r w:rsidR="009A2E29" w:rsidRPr="00954233">
              <w:rPr>
                <w:rFonts w:cstheme="minorHAnsi"/>
                <w:sz w:val="24"/>
                <w:szCs w:val="24"/>
              </w:rPr>
              <w:t>Scottish Water should report a separate line for each item of expenditure</w:t>
            </w:r>
            <w:r w:rsidR="00583B42" w:rsidRPr="00954233">
              <w:rPr>
                <w:rFonts w:cstheme="minorHAnsi"/>
                <w:sz w:val="24"/>
                <w:szCs w:val="24"/>
              </w:rPr>
              <w:t xml:space="preserve"> that is forecast to change</w:t>
            </w:r>
            <w:r w:rsidR="009A2E29" w:rsidRPr="00954233">
              <w:rPr>
                <w:rFonts w:cstheme="minorHAnsi"/>
                <w:sz w:val="24"/>
                <w:szCs w:val="24"/>
              </w:rPr>
              <w:t xml:space="preserve">. </w:t>
            </w:r>
            <w:r w:rsidR="006F2573" w:rsidRPr="00954233">
              <w:rPr>
                <w:rFonts w:cstheme="minorHAnsi"/>
                <w:sz w:val="24"/>
                <w:szCs w:val="24"/>
              </w:rPr>
              <w:t>This could include</w:t>
            </w:r>
            <w:r w:rsidR="006563B8" w:rsidRPr="00954233">
              <w:rPr>
                <w:rFonts w:cstheme="minorHAnsi"/>
                <w:sz w:val="24"/>
                <w:szCs w:val="24"/>
              </w:rPr>
              <w:t>, for example, forecast</w:t>
            </w:r>
            <w:r w:rsidR="006F2573" w:rsidRPr="00954233">
              <w:rPr>
                <w:rFonts w:cstheme="minorHAnsi"/>
                <w:sz w:val="24"/>
                <w:szCs w:val="24"/>
              </w:rPr>
              <w:t xml:space="preserve"> changes in employment costs, local authority rates and taxes. </w:t>
            </w:r>
          </w:p>
          <w:p w14:paraId="202CF013" w14:textId="1EB918CC" w:rsidR="006F2573" w:rsidRPr="00954233" w:rsidRDefault="00C27B63" w:rsidP="00954233">
            <w:pPr>
              <w:pStyle w:val="TableParagraph"/>
              <w:spacing w:afterLines="60" w:after="144"/>
              <w:rPr>
                <w:rFonts w:cstheme="minorHAnsi"/>
                <w:sz w:val="24"/>
                <w:szCs w:val="24"/>
              </w:rPr>
            </w:pPr>
            <w:r w:rsidRPr="00954233">
              <w:rPr>
                <w:rFonts w:cstheme="minorHAnsi"/>
                <w:sz w:val="24"/>
                <w:szCs w:val="24"/>
              </w:rPr>
              <w:t xml:space="preserve">Scottish Water should </w:t>
            </w:r>
            <w:r w:rsidR="00D66E9E" w:rsidRPr="00954233">
              <w:rPr>
                <w:rFonts w:cstheme="minorHAnsi"/>
                <w:sz w:val="24"/>
                <w:szCs w:val="24"/>
              </w:rPr>
              <w:t>distinguish</w:t>
            </w:r>
            <w:r w:rsidR="00247BAD" w:rsidRPr="00954233">
              <w:rPr>
                <w:rFonts w:cstheme="minorHAnsi"/>
                <w:sz w:val="24"/>
                <w:szCs w:val="24"/>
              </w:rPr>
              <w:t xml:space="preserve"> between</w:t>
            </w:r>
            <w:r w:rsidR="00D66E9E" w:rsidRPr="00954233">
              <w:rPr>
                <w:rFonts w:cstheme="minorHAnsi"/>
                <w:sz w:val="24"/>
                <w:szCs w:val="24"/>
              </w:rPr>
              <w:t xml:space="preserve"> </w:t>
            </w:r>
            <w:r w:rsidR="00CE7F8E" w:rsidRPr="00954233">
              <w:rPr>
                <w:rFonts w:cstheme="minorHAnsi"/>
                <w:sz w:val="24"/>
                <w:szCs w:val="24"/>
              </w:rPr>
              <w:t xml:space="preserve">each </w:t>
            </w:r>
            <w:r w:rsidR="000A387C" w:rsidRPr="00954233">
              <w:rPr>
                <w:rFonts w:cstheme="minorHAnsi"/>
                <w:sz w:val="24"/>
                <w:szCs w:val="24"/>
              </w:rPr>
              <w:t xml:space="preserve">new </w:t>
            </w:r>
            <w:r w:rsidR="00D66E9E" w:rsidRPr="00954233">
              <w:rPr>
                <w:rFonts w:cstheme="minorHAnsi"/>
                <w:sz w:val="24"/>
                <w:szCs w:val="24"/>
              </w:rPr>
              <w:t xml:space="preserve">line by </w:t>
            </w:r>
            <w:r w:rsidRPr="00954233">
              <w:rPr>
                <w:rFonts w:cstheme="minorHAnsi"/>
                <w:sz w:val="24"/>
                <w:szCs w:val="24"/>
              </w:rPr>
              <w:t>add</w:t>
            </w:r>
            <w:r w:rsidR="00D66E9E" w:rsidRPr="00954233">
              <w:rPr>
                <w:rFonts w:cstheme="minorHAnsi"/>
                <w:sz w:val="24"/>
                <w:szCs w:val="24"/>
              </w:rPr>
              <w:t xml:space="preserve">ing </w:t>
            </w:r>
            <w:r w:rsidRPr="00954233">
              <w:rPr>
                <w:rFonts w:cstheme="minorHAnsi"/>
                <w:sz w:val="24"/>
                <w:szCs w:val="24"/>
              </w:rPr>
              <w:t>a suffix</w:t>
            </w:r>
            <w:r w:rsidR="005B60B1" w:rsidRPr="00954233">
              <w:rPr>
                <w:rFonts w:cstheme="minorHAnsi"/>
                <w:sz w:val="24"/>
                <w:szCs w:val="24"/>
              </w:rPr>
              <w:t xml:space="preserve"> (e.g. “a”, “b”, “c”) </w:t>
            </w:r>
            <w:r w:rsidRPr="00954233">
              <w:rPr>
                <w:rFonts w:cstheme="minorHAnsi"/>
                <w:sz w:val="24"/>
                <w:szCs w:val="24"/>
              </w:rPr>
              <w:t>to the line reference.</w:t>
            </w:r>
          </w:p>
        </w:tc>
        <w:tc>
          <w:tcPr>
            <w:tcW w:w="731" w:type="pct"/>
          </w:tcPr>
          <w:p w14:paraId="409BAF96" w14:textId="39E32032" w:rsidR="00B354F6" w:rsidRPr="00954233" w:rsidRDefault="00B354F6">
            <w:pPr>
              <w:pStyle w:val="TableParagraph"/>
              <w:rPr>
                <w:rFonts w:cstheme="minorHAnsi"/>
                <w:sz w:val="24"/>
                <w:szCs w:val="24"/>
              </w:rPr>
            </w:pPr>
            <w:r w:rsidRPr="00954233">
              <w:rPr>
                <w:rFonts w:cstheme="minorHAnsi"/>
                <w:sz w:val="24"/>
                <w:szCs w:val="24"/>
              </w:rPr>
              <w:t xml:space="preserve">£m </w:t>
            </w:r>
            <w:r w:rsidR="00881D79" w:rsidRPr="00954233">
              <w:rPr>
                <w:rFonts w:cstheme="minorHAnsi"/>
                <w:sz w:val="24"/>
                <w:szCs w:val="24"/>
              </w:rPr>
              <w:t>2024-25</w:t>
            </w:r>
          </w:p>
          <w:p w14:paraId="7702D27B" w14:textId="0F985425" w:rsidR="00C567BA" w:rsidRPr="00954233" w:rsidRDefault="00B354F6">
            <w:pPr>
              <w:pStyle w:val="TableParagraph"/>
              <w:rPr>
                <w:rFonts w:cstheme="minorHAnsi"/>
                <w:sz w:val="24"/>
                <w:szCs w:val="24"/>
              </w:rPr>
            </w:pPr>
            <w:r w:rsidRPr="00954233">
              <w:rPr>
                <w:rFonts w:cstheme="minorHAnsi"/>
                <w:sz w:val="24"/>
                <w:szCs w:val="24"/>
              </w:rPr>
              <w:t xml:space="preserve">Price base </w:t>
            </w:r>
          </w:p>
        </w:tc>
      </w:tr>
      <w:tr w:rsidR="00F6021E" w:rsidRPr="00FF4778" w14:paraId="663DB292" w14:textId="77777777" w:rsidTr="00954233">
        <w:tc>
          <w:tcPr>
            <w:tcW w:w="771" w:type="pct"/>
          </w:tcPr>
          <w:p w14:paraId="4E627243" w14:textId="498D3E92" w:rsidR="00F6021E" w:rsidRPr="00954233" w:rsidRDefault="004E56D8">
            <w:pPr>
              <w:pStyle w:val="TableParagraph"/>
              <w:rPr>
                <w:rFonts w:cstheme="minorHAnsi"/>
                <w:sz w:val="24"/>
                <w:szCs w:val="24"/>
              </w:rPr>
            </w:pPr>
            <w:r w:rsidRPr="00954233">
              <w:rPr>
                <w:rFonts w:cstheme="minorHAnsi"/>
                <w:sz w:val="24"/>
                <w:szCs w:val="24"/>
              </w:rPr>
              <w:t>7.3a</w:t>
            </w:r>
            <w:r w:rsidR="003524CF" w:rsidRPr="00954233">
              <w:rPr>
                <w:rFonts w:cstheme="minorHAnsi"/>
                <w:sz w:val="24"/>
                <w:szCs w:val="24"/>
              </w:rPr>
              <w:t xml:space="preserve"> -</w:t>
            </w:r>
            <w:r w:rsidRPr="00954233">
              <w:rPr>
                <w:rFonts w:cstheme="minorHAnsi"/>
                <w:sz w:val="24"/>
                <w:szCs w:val="24"/>
              </w:rPr>
              <w:t xml:space="preserve"> 7.</w:t>
            </w:r>
            <w:r w:rsidR="000F4D93" w:rsidRPr="00954233">
              <w:rPr>
                <w:rFonts w:cstheme="minorHAnsi"/>
                <w:sz w:val="24"/>
                <w:szCs w:val="24"/>
              </w:rPr>
              <w:t>3</w:t>
            </w:r>
            <w:r w:rsidR="00BA528C" w:rsidRPr="00954233">
              <w:rPr>
                <w:rFonts w:cstheme="minorHAnsi" w:hint="eastAsia"/>
                <w:sz w:val="24"/>
                <w:szCs w:val="24"/>
                <w:lang w:eastAsia="zh-CN"/>
              </w:rPr>
              <w:t>d</w:t>
            </w:r>
          </w:p>
        </w:tc>
        <w:tc>
          <w:tcPr>
            <w:tcW w:w="1006" w:type="pct"/>
          </w:tcPr>
          <w:p w14:paraId="50363673" w14:textId="014D95B0" w:rsidR="000F4D93" w:rsidRPr="00954233" w:rsidRDefault="000F4D93" w:rsidP="009C23E7">
            <w:pPr>
              <w:pStyle w:val="TableParagraph"/>
              <w:rPr>
                <w:rFonts w:cstheme="minorHAnsi"/>
                <w:sz w:val="24"/>
                <w:szCs w:val="24"/>
              </w:rPr>
            </w:pPr>
            <w:r w:rsidRPr="00954233">
              <w:rPr>
                <w:rFonts w:cstheme="minorHAnsi"/>
                <w:sz w:val="24"/>
                <w:szCs w:val="24"/>
              </w:rPr>
              <w:t>Projected additional costs of operating the returning PFI</w:t>
            </w:r>
          </w:p>
          <w:p w14:paraId="31C665DB" w14:textId="7F82AA51" w:rsidR="00F6021E" w:rsidRPr="00954233" w:rsidRDefault="00F6021E" w:rsidP="001E6947">
            <w:pPr>
              <w:pStyle w:val="TableParagraph"/>
              <w:rPr>
                <w:rFonts w:cstheme="minorHAnsi"/>
                <w:sz w:val="24"/>
                <w:szCs w:val="24"/>
              </w:rPr>
            </w:pPr>
          </w:p>
        </w:tc>
        <w:tc>
          <w:tcPr>
            <w:tcW w:w="2491" w:type="pct"/>
          </w:tcPr>
          <w:p w14:paraId="0116B3CA" w14:textId="56EF11C1" w:rsidR="00B2064F"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Provide the forecast change in </w:t>
            </w:r>
            <w:r w:rsidR="00BA528C" w:rsidRPr="00954233">
              <w:rPr>
                <w:rFonts w:cstheme="minorHAnsi" w:hint="eastAsia"/>
                <w:sz w:val="24"/>
                <w:szCs w:val="24"/>
                <w:lang w:eastAsia="zh-CN"/>
              </w:rPr>
              <w:t>OPEX</w:t>
            </w:r>
            <w:r w:rsidRPr="00954233">
              <w:rPr>
                <w:rFonts w:cstheme="minorHAnsi"/>
                <w:sz w:val="24"/>
                <w:szCs w:val="24"/>
              </w:rPr>
              <w:t xml:space="preserve"> resulting from the additional costs of operating the returning PFI, relative to the baseline total </w:t>
            </w:r>
            <w:r w:rsidR="00BA528C" w:rsidRPr="00954233">
              <w:rPr>
                <w:rFonts w:cstheme="minorHAnsi" w:hint="eastAsia"/>
                <w:sz w:val="24"/>
                <w:szCs w:val="24"/>
                <w:lang w:eastAsia="zh-CN"/>
              </w:rPr>
              <w:t>OPEX</w:t>
            </w:r>
            <w:r w:rsidRPr="00954233">
              <w:rPr>
                <w:rFonts w:cstheme="minorHAnsi"/>
                <w:sz w:val="24"/>
                <w:szCs w:val="24"/>
              </w:rPr>
              <w:t xml:space="preserve"> value in 2024-25.</w:t>
            </w:r>
          </w:p>
          <w:p w14:paraId="12D22F3F" w14:textId="46C3CE4B" w:rsidR="00061F42" w:rsidRPr="00954233" w:rsidRDefault="007E6E05" w:rsidP="00954233">
            <w:pPr>
              <w:pStyle w:val="TableParagraph"/>
              <w:spacing w:afterLines="60" w:after="144"/>
              <w:rPr>
                <w:rFonts w:cstheme="minorHAnsi"/>
                <w:sz w:val="24"/>
                <w:szCs w:val="24"/>
              </w:rPr>
            </w:pPr>
            <w:r w:rsidRPr="00954233">
              <w:rPr>
                <w:rFonts w:cstheme="minorHAnsi"/>
                <w:sz w:val="24"/>
                <w:szCs w:val="24"/>
              </w:rPr>
              <w:t xml:space="preserve">Scottish Water should </w:t>
            </w:r>
            <w:r w:rsidR="00A465B1" w:rsidRPr="00954233">
              <w:rPr>
                <w:rFonts w:cstheme="minorHAnsi"/>
                <w:sz w:val="24"/>
                <w:szCs w:val="24"/>
              </w:rPr>
              <w:t>complete</w:t>
            </w:r>
            <w:r w:rsidRPr="00954233">
              <w:rPr>
                <w:rFonts w:cstheme="minorHAnsi"/>
                <w:sz w:val="24"/>
                <w:szCs w:val="24"/>
              </w:rPr>
              <w:t xml:space="preserve"> a separate line for each returning PFI</w:t>
            </w:r>
            <w:r w:rsidR="00BD0A1F" w:rsidRPr="00954233">
              <w:rPr>
                <w:rFonts w:cstheme="minorHAnsi"/>
                <w:sz w:val="24"/>
                <w:szCs w:val="24"/>
              </w:rPr>
              <w:t xml:space="preserve"> </w:t>
            </w:r>
            <w:r w:rsidR="001C603E" w:rsidRPr="00954233">
              <w:rPr>
                <w:rFonts w:cstheme="minorHAnsi"/>
                <w:sz w:val="24"/>
                <w:szCs w:val="24"/>
              </w:rPr>
              <w:t xml:space="preserve">and should assign </w:t>
            </w:r>
            <w:r w:rsidRPr="00954233">
              <w:rPr>
                <w:rFonts w:cstheme="minorHAnsi"/>
                <w:sz w:val="24"/>
                <w:szCs w:val="24"/>
              </w:rPr>
              <w:t>a unique label to each returning PFI in the “Sub category” column.</w:t>
            </w:r>
            <w:r w:rsidR="00BD0A1F" w:rsidRPr="00954233">
              <w:rPr>
                <w:rFonts w:cstheme="minorHAnsi"/>
                <w:sz w:val="24"/>
                <w:szCs w:val="24"/>
              </w:rPr>
              <w:t xml:space="preserve"> </w:t>
            </w:r>
          </w:p>
          <w:p w14:paraId="233E6385" w14:textId="73D1473E" w:rsidR="00B2064F" w:rsidRPr="00954233" w:rsidRDefault="00BD0A1F" w:rsidP="00954233">
            <w:pPr>
              <w:pStyle w:val="TableParagraph"/>
              <w:spacing w:afterLines="60" w:after="144"/>
              <w:rPr>
                <w:rFonts w:cstheme="minorHAnsi"/>
                <w:sz w:val="24"/>
                <w:szCs w:val="24"/>
              </w:rPr>
            </w:pPr>
            <w:r w:rsidRPr="00954233">
              <w:rPr>
                <w:rFonts w:cstheme="minorHAnsi"/>
                <w:sz w:val="24"/>
                <w:szCs w:val="24"/>
              </w:rPr>
              <w:t xml:space="preserve">Scottish Water should distinguish </w:t>
            </w:r>
            <w:r w:rsidR="00DA1E1C" w:rsidRPr="00954233">
              <w:rPr>
                <w:rFonts w:cstheme="minorHAnsi"/>
                <w:sz w:val="24"/>
                <w:szCs w:val="24"/>
              </w:rPr>
              <w:t xml:space="preserve">between </w:t>
            </w:r>
            <w:r w:rsidRPr="00954233">
              <w:rPr>
                <w:rFonts w:cstheme="minorHAnsi"/>
                <w:sz w:val="24"/>
                <w:szCs w:val="24"/>
              </w:rPr>
              <w:t>each new line by adding a suffix (e.g. “a”, “b”, “c”) to the line reference.</w:t>
            </w:r>
          </w:p>
        </w:tc>
        <w:tc>
          <w:tcPr>
            <w:tcW w:w="731" w:type="pct"/>
          </w:tcPr>
          <w:p w14:paraId="7A947E4B" w14:textId="77777777" w:rsidR="00881D79" w:rsidRPr="00954233" w:rsidRDefault="00881D79" w:rsidP="00881D79">
            <w:pPr>
              <w:pStyle w:val="TableParagraph"/>
              <w:rPr>
                <w:rFonts w:cstheme="minorHAnsi"/>
                <w:sz w:val="24"/>
                <w:szCs w:val="24"/>
              </w:rPr>
            </w:pPr>
            <w:r w:rsidRPr="00954233">
              <w:rPr>
                <w:rFonts w:cstheme="minorHAnsi"/>
                <w:sz w:val="24"/>
                <w:szCs w:val="24"/>
              </w:rPr>
              <w:t>£m 2024-25</w:t>
            </w:r>
          </w:p>
          <w:p w14:paraId="2B7C9A71" w14:textId="2DBDEACC" w:rsidR="00F6021E" w:rsidRPr="00954233" w:rsidRDefault="00F46527" w:rsidP="00F46527">
            <w:pPr>
              <w:pStyle w:val="TableParagraph"/>
              <w:rPr>
                <w:rFonts w:cstheme="minorHAnsi"/>
                <w:sz w:val="24"/>
                <w:szCs w:val="24"/>
              </w:rPr>
            </w:pPr>
            <w:r w:rsidRPr="00954233">
              <w:rPr>
                <w:rFonts w:cstheme="minorHAnsi"/>
                <w:sz w:val="24"/>
                <w:szCs w:val="24"/>
              </w:rPr>
              <w:t>Price base</w:t>
            </w:r>
          </w:p>
        </w:tc>
      </w:tr>
      <w:tr w:rsidR="009C23E7" w:rsidRPr="00FF4778" w14:paraId="576E7B7A" w14:textId="77777777" w:rsidTr="00954233">
        <w:tc>
          <w:tcPr>
            <w:tcW w:w="771" w:type="pct"/>
          </w:tcPr>
          <w:p w14:paraId="6A3FD1C6" w14:textId="0B9AD5AA" w:rsidR="009C23E7" w:rsidRPr="00954233" w:rsidRDefault="009C23E7" w:rsidP="009C23E7">
            <w:pPr>
              <w:pStyle w:val="TableParagraph"/>
              <w:rPr>
                <w:rFonts w:cstheme="minorHAnsi"/>
                <w:sz w:val="24"/>
                <w:szCs w:val="24"/>
              </w:rPr>
            </w:pPr>
            <w:r w:rsidRPr="00954233">
              <w:rPr>
                <w:rFonts w:cstheme="minorHAnsi"/>
                <w:sz w:val="24"/>
                <w:szCs w:val="24"/>
              </w:rPr>
              <w:lastRenderedPageBreak/>
              <w:t>7.</w:t>
            </w:r>
            <w:r w:rsidR="00E8402C" w:rsidRPr="00954233">
              <w:rPr>
                <w:rFonts w:cstheme="minorHAnsi"/>
                <w:sz w:val="24"/>
                <w:szCs w:val="24"/>
              </w:rPr>
              <w:t>4</w:t>
            </w:r>
            <w:r w:rsidR="004E56D8" w:rsidRPr="00954233">
              <w:rPr>
                <w:rFonts w:cstheme="minorHAnsi"/>
                <w:sz w:val="24"/>
                <w:szCs w:val="24"/>
              </w:rPr>
              <w:t>a</w:t>
            </w:r>
            <w:r w:rsidR="003524CF" w:rsidRPr="00954233">
              <w:rPr>
                <w:rFonts w:cstheme="minorHAnsi"/>
                <w:sz w:val="24"/>
                <w:szCs w:val="24"/>
              </w:rPr>
              <w:t xml:space="preserve"> - </w:t>
            </w:r>
            <w:r w:rsidR="004E56D8" w:rsidRPr="00954233">
              <w:rPr>
                <w:rFonts w:cstheme="minorHAnsi"/>
                <w:sz w:val="24"/>
                <w:szCs w:val="24"/>
              </w:rPr>
              <w:t>7.4b</w:t>
            </w:r>
          </w:p>
        </w:tc>
        <w:tc>
          <w:tcPr>
            <w:tcW w:w="1006" w:type="pct"/>
          </w:tcPr>
          <w:p w14:paraId="2D5F940A" w14:textId="2E42AFA5" w:rsidR="009C23E7" w:rsidRPr="00954233" w:rsidRDefault="000F4D93" w:rsidP="009C23E7">
            <w:pPr>
              <w:pStyle w:val="TableParagraph"/>
              <w:rPr>
                <w:rFonts w:cstheme="minorHAnsi"/>
                <w:sz w:val="24"/>
                <w:szCs w:val="24"/>
              </w:rPr>
            </w:pPr>
            <w:r w:rsidRPr="00954233">
              <w:rPr>
                <w:rFonts w:cstheme="minorHAnsi"/>
                <w:sz w:val="24"/>
                <w:szCs w:val="24"/>
              </w:rPr>
              <w:t>Projected changes attributed to Enhancement, Growth and Transformation Projects - pre efficiency</w:t>
            </w:r>
          </w:p>
        </w:tc>
        <w:tc>
          <w:tcPr>
            <w:tcW w:w="2491" w:type="pct"/>
          </w:tcPr>
          <w:p w14:paraId="54019CC7" w14:textId="36A87710"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Change in </w:t>
            </w:r>
            <w:r w:rsidR="001E018E" w:rsidRPr="00954233">
              <w:rPr>
                <w:rFonts w:cstheme="minorHAnsi" w:hint="eastAsia"/>
                <w:sz w:val="24"/>
                <w:szCs w:val="24"/>
                <w:lang w:eastAsia="zh-CN"/>
              </w:rPr>
              <w:t>OPEX</w:t>
            </w:r>
            <w:r w:rsidRPr="00954233">
              <w:rPr>
                <w:rFonts w:cstheme="minorHAnsi"/>
                <w:sz w:val="24"/>
                <w:szCs w:val="24"/>
              </w:rPr>
              <w:t xml:space="preserve"> which is not captured within the categories above, attributed to specific, named enhancement, growth and transformation projects.</w:t>
            </w:r>
          </w:p>
          <w:p w14:paraId="58FCDCD9" w14:textId="57179714"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Without any efficiency applied. </w:t>
            </w:r>
          </w:p>
          <w:p w14:paraId="77B16531" w14:textId="642E3B83"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Scottish Water should complete one line per project/programme. These lines could represent changes in </w:t>
            </w:r>
            <w:r w:rsidR="00E672DC" w:rsidRPr="00954233">
              <w:rPr>
                <w:rFonts w:cstheme="minorHAnsi" w:hint="eastAsia"/>
                <w:sz w:val="24"/>
                <w:szCs w:val="24"/>
                <w:lang w:eastAsia="zh-CN"/>
              </w:rPr>
              <w:t>OPEX</w:t>
            </w:r>
            <w:r w:rsidRPr="00954233">
              <w:rPr>
                <w:rFonts w:cstheme="minorHAnsi"/>
                <w:sz w:val="24"/>
                <w:szCs w:val="24"/>
              </w:rPr>
              <w:t xml:space="preserve"> attributed to projects such as:</w:t>
            </w:r>
          </w:p>
          <w:p w14:paraId="6B840C5F" w14:textId="77777777" w:rsidR="000F4D93" w:rsidRPr="00954233" w:rsidRDefault="000F4D93" w:rsidP="00954233">
            <w:pPr>
              <w:pStyle w:val="TableParagraph"/>
              <w:numPr>
                <w:ilvl w:val="0"/>
                <w:numId w:val="13"/>
              </w:numPr>
              <w:spacing w:afterLines="60" w:after="144"/>
              <w:rPr>
                <w:rFonts w:cstheme="minorHAnsi"/>
                <w:sz w:val="24"/>
                <w:szCs w:val="24"/>
              </w:rPr>
            </w:pPr>
            <w:r w:rsidRPr="00954233">
              <w:rPr>
                <w:rFonts w:cstheme="minorHAnsi"/>
                <w:sz w:val="24"/>
                <w:szCs w:val="24"/>
              </w:rPr>
              <w:t>transformation projects;</w:t>
            </w:r>
          </w:p>
          <w:p w14:paraId="43DB9737" w14:textId="77777777" w:rsidR="000F4D93" w:rsidRPr="00954233" w:rsidRDefault="000F4D93" w:rsidP="00954233">
            <w:pPr>
              <w:pStyle w:val="TableParagraph"/>
              <w:numPr>
                <w:ilvl w:val="0"/>
                <w:numId w:val="13"/>
              </w:numPr>
              <w:spacing w:afterLines="60" w:after="144"/>
              <w:rPr>
                <w:rFonts w:cstheme="minorHAnsi"/>
                <w:sz w:val="24"/>
                <w:szCs w:val="24"/>
              </w:rPr>
            </w:pPr>
            <w:r w:rsidRPr="00954233">
              <w:rPr>
                <w:rFonts w:cstheme="minorHAnsi"/>
                <w:sz w:val="24"/>
                <w:szCs w:val="24"/>
              </w:rPr>
              <w:t>projects where Scottish Water adopts operating-based solutions rather than capital solutions to deliver improvements; and/or</w:t>
            </w:r>
          </w:p>
          <w:p w14:paraId="5A44F8D0" w14:textId="77777777" w:rsidR="000F4D93" w:rsidRPr="00954233" w:rsidRDefault="000F4D93" w:rsidP="00954233">
            <w:pPr>
              <w:pStyle w:val="TableParagraph"/>
              <w:numPr>
                <w:ilvl w:val="0"/>
                <w:numId w:val="13"/>
              </w:numPr>
              <w:spacing w:afterLines="60" w:after="144"/>
              <w:rPr>
                <w:rFonts w:cstheme="minorHAnsi"/>
                <w:sz w:val="24"/>
                <w:szCs w:val="24"/>
              </w:rPr>
            </w:pPr>
            <w:r w:rsidRPr="00954233">
              <w:rPr>
                <w:rFonts w:cstheme="minorHAnsi"/>
                <w:sz w:val="24"/>
                <w:szCs w:val="24"/>
              </w:rPr>
              <w:t>partnership arrangements with local authorities or other third parties.</w:t>
            </w:r>
          </w:p>
          <w:p w14:paraId="7A2919EB" w14:textId="025153A4"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Scottish Water should indicate in the “Sub category” column whether each project is an operating based solution, transformation project and/or partnership arrangement.</w:t>
            </w:r>
          </w:p>
          <w:p w14:paraId="0E33E203" w14:textId="4AB1FA16"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For each enhancement and growth project reported in these lines, Scottish Water should provide a unique ID to allow cross-referencing against the corresponding table 5 entry. </w:t>
            </w:r>
          </w:p>
          <w:p w14:paraId="46BF07D1" w14:textId="5B9804B4" w:rsidR="009C23E7" w:rsidRPr="00954233" w:rsidRDefault="000F4D93" w:rsidP="00954233">
            <w:pPr>
              <w:pStyle w:val="TableParagraph"/>
              <w:spacing w:afterLines="60" w:after="144"/>
              <w:rPr>
                <w:rFonts w:cstheme="minorHAnsi"/>
                <w:sz w:val="24"/>
                <w:szCs w:val="24"/>
              </w:rPr>
            </w:pPr>
            <w:r w:rsidRPr="00954233">
              <w:rPr>
                <w:rFonts w:cstheme="minorHAnsi"/>
                <w:sz w:val="24"/>
                <w:szCs w:val="24"/>
              </w:rPr>
              <w:t>Scottish Water should provide the transformation programme name for each transformation project reported in these lines to allow cross-referencing against the corresponding table 6 entry.</w:t>
            </w:r>
          </w:p>
        </w:tc>
        <w:tc>
          <w:tcPr>
            <w:tcW w:w="731" w:type="pct"/>
          </w:tcPr>
          <w:p w14:paraId="648A8D0E" w14:textId="77777777" w:rsidR="00881D79" w:rsidRPr="00954233" w:rsidRDefault="00881D79" w:rsidP="00881D79">
            <w:pPr>
              <w:pStyle w:val="TableParagraph"/>
              <w:rPr>
                <w:rFonts w:cstheme="minorHAnsi"/>
                <w:sz w:val="24"/>
                <w:szCs w:val="24"/>
              </w:rPr>
            </w:pPr>
            <w:r w:rsidRPr="00954233">
              <w:rPr>
                <w:rFonts w:cstheme="minorHAnsi"/>
                <w:sz w:val="24"/>
                <w:szCs w:val="24"/>
              </w:rPr>
              <w:t>£m 2024-25</w:t>
            </w:r>
          </w:p>
          <w:p w14:paraId="299BC201" w14:textId="325231B2" w:rsidR="009C23E7" w:rsidRPr="00954233" w:rsidRDefault="000F4D93" w:rsidP="00F46527">
            <w:pPr>
              <w:pStyle w:val="TableParagraph"/>
              <w:rPr>
                <w:rFonts w:cstheme="minorHAnsi"/>
                <w:sz w:val="24"/>
                <w:szCs w:val="24"/>
              </w:rPr>
            </w:pPr>
            <w:r w:rsidRPr="00954233">
              <w:rPr>
                <w:rFonts w:cstheme="minorHAnsi"/>
                <w:sz w:val="24"/>
                <w:szCs w:val="24"/>
              </w:rPr>
              <w:t>Price base</w:t>
            </w:r>
          </w:p>
        </w:tc>
      </w:tr>
      <w:tr w:rsidR="009C23E7" w:rsidRPr="00FF4778" w14:paraId="741B8285" w14:textId="77777777" w:rsidTr="00954233">
        <w:tc>
          <w:tcPr>
            <w:tcW w:w="771" w:type="pct"/>
          </w:tcPr>
          <w:p w14:paraId="6CF7C23C" w14:textId="2FD77A62" w:rsidR="009C23E7" w:rsidRPr="00954233" w:rsidRDefault="009C23E7" w:rsidP="009C23E7">
            <w:pPr>
              <w:pStyle w:val="TableParagraph"/>
              <w:rPr>
                <w:rFonts w:cstheme="minorHAnsi"/>
                <w:sz w:val="24"/>
                <w:szCs w:val="24"/>
              </w:rPr>
            </w:pPr>
            <w:r w:rsidRPr="00954233">
              <w:rPr>
                <w:rFonts w:cstheme="minorHAnsi"/>
                <w:sz w:val="24"/>
                <w:szCs w:val="24"/>
              </w:rPr>
              <w:t>7.</w:t>
            </w:r>
            <w:r w:rsidR="000F4D93" w:rsidRPr="00954233">
              <w:rPr>
                <w:rFonts w:cstheme="minorHAnsi"/>
                <w:sz w:val="24"/>
                <w:szCs w:val="24"/>
              </w:rPr>
              <w:t>5</w:t>
            </w:r>
            <w:r w:rsidR="003524CF" w:rsidRPr="00954233">
              <w:rPr>
                <w:rFonts w:cstheme="minorHAnsi"/>
                <w:sz w:val="24"/>
                <w:szCs w:val="24"/>
              </w:rPr>
              <w:t xml:space="preserve"> -</w:t>
            </w:r>
            <w:r w:rsidR="006C1C26" w:rsidRPr="00954233">
              <w:rPr>
                <w:rFonts w:cstheme="minorHAnsi"/>
                <w:sz w:val="24"/>
                <w:szCs w:val="24"/>
              </w:rPr>
              <w:t xml:space="preserve"> 7.</w:t>
            </w:r>
            <w:r w:rsidR="000F4D93" w:rsidRPr="00954233">
              <w:rPr>
                <w:rFonts w:cstheme="minorHAnsi"/>
                <w:sz w:val="24"/>
                <w:szCs w:val="24"/>
              </w:rPr>
              <w:t>7</w:t>
            </w:r>
          </w:p>
        </w:tc>
        <w:tc>
          <w:tcPr>
            <w:tcW w:w="1006" w:type="pct"/>
          </w:tcPr>
          <w:p w14:paraId="77E3566E" w14:textId="0C06F684" w:rsidR="009C23E7" w:rsidRPr="00954233" w:rsidRDefault="000F4D93" w:rsidP="009C23E7">
            <w:pPr>
              <w:pStyle w:val="TableParagraph"/>
              <w:rPr>
                <w:rFonts w:cstheme="minorHAnsi"/>
                <w:sz w:val="24"/>
                <w:szCs w:val="24"/>
              </w:rPr>
            </w:pPr>
            <w:r w:rsidRPr="00954233">
              <w:rPr>
                <w:rFonts w:cstheme="minorHAnsi"/>
                <w:sz w:val="24"/>
                <w:szCs w:val="24"/>
              </w:rPr>
              <w:t xml:space="preserve">Efficiency - projected changes </w:t>
            </w:r>
          </w:p>
        </w:tc>
        <w:tc>
          <w:tcPr>
            <w:tcW w:w="2491" w:type="pct"/>
          </w:tcPr>
          <w:p w14:paraId="1B4648C3" w14:textId="7A97D732"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Provide the forecast efficiencies to reduce the </w:t>
            </w:r>
            <w:r w:rsidR="00E672DC" w:rsidRPr="00954233">
              <w:rPr>
                <w:rFonts w:cstheme="minorHAnsi" w:hint="eastAsia"/>
                <w:sz w:val="24"/>
                <w:szCs w:val="24"/>
                <w:lang w:eastAsia="zh-CN"/>
              </w:rPr>
              <w:t>OPEX</w:t>
            </w:r>
            <w:r w:rsidRPr="00954233">
              <w:rPr>
                <w:rFonts w:cstheme="minorHAnsi"/>
                <w:sz w:val="24"/>
                <w:szCs w:val="24"/>
              </w:rPr>
              <w:t xml:space="preserve"> increase annually across the SRC27 period and at three future years, 2038-39, 2044-45 </w:t>
            </w:r>
            <w:r w:rsidRPr="00954233">
              <w:rPr>
                <w:rFonts w:cstheme="minorHAnsi"/>
                <w:sz w:val="24"/>
                <w:szCs w:val="24"/>
              </w:rPr>
              <w:lastRenderedPageBreak/>
              <w:t xml:space="preserve">and 2050-51. Working from a baseline total </w:t>
            </w:r>
            <w:r w:rsidR="00E672DC" w:rsidRPr="00954233">
              <w:rPr>
                <w:rFonts w:cstheme="minorHAnsi" w:hint="eastAsia"/>
                <w:sz w:val="24"/>
                <w:szCs w:val="24"/>
                <w:lang w:eastAsia="zh-CN"/>
              </w:rPr>
              <w:t>OPEX</w:t>
            </w:r>
            <w:r w:rsidRPr="00954233">
              <w:rPr>
                <w:rFonts w:cstheme="minorHAnsi"/>
                <w:sz w:val="24"/>
                <w:szCs w:val="24"/>
              </w:rPr>
              <w:t xml:space="preserve"> value in 2024-25.</w:t>
            </w:r>
          </w:p>
          <w:p w14:paraId="37397E88" w14:textId="6C90F613" w:rsidR="000F4D93" w:rsidRPr="00954233" w:rsidRDefault="000F4D93" w:rsidP="00954233">
            <w:pPr>
              <w:pStyle w:val="TableParagraph"/>
              <w:spacing w:afterLines="60" w:after="144"/>
              <w:rPr>
                <w:rFonts w:cstheme="minorHAnsi"/>
                <w:sz w:val="24"/>
                <w:szCs w:val="24"/>
              </w:rPr>
            </w:pPr>
            <w:r w:rsidRPr="00954233">
              <w:rPr>
                <w:rFonts w:cstheme="minorHAnsi"/>
                <w:sz w:val="24"/>
                <w:szCs w:val="24"/>
              </w:rPr>
              <w:t xml:space="preserve">Efficiencies to reduce the </w:t>
            </w:r>
            <w:r w:rsidR="00E672DC" w:rsidRPr="00954233">
              <w:rPr>
                <w:rFonts w:cstheme="minorHAnsi" w:hint="eastAsia"/>
                <w:sz w:val="24"/>
                <w:szCs w:val="24"/>
                <w:lang w:eastAsia="zh-CN"/>
              </w:rPr>
              <w:t>OPEX</w:t>
            </w:r>
            <w:r w:rsidRPr="00954233">
              <w:rPr>
                <w:rFonts w:cstheme="minorHAnsi"/>
                <w:sz w:val="24"/>
                <w:szCs w:val="24"/>
              </w:rPr>
              <w:t xml:space="preserve"> increase should be attributed to:</w:t>
            </w:r>
          </w:p>
          <w:p w14:paraId="3234C0AB" w14:textId="50DCECD6" w:rsidR="000F4D93" w:rsidRPr="00954233" w:rsidRDefault="000F4D93" w:rsidP="00954233">
            <w:pPr>
              <w:pStyle w:val="TableParagraph"/>
              <w:spacing w:afterLines="60" w:after="144"/>
              <w:rPr>
                <w:rFonts w:cstheme="minorHAnsi"/>
                <w:sz w:val="24"/>
                <w:szCs w:val="24"/>
              </w:rPr>
            </w:pPr>
            <w:r w:rsidRPr="00954233">
              <w:rPr>
                <w:rFonts w:cstheme="minorHAnsi"/>
                <w:sz w:val="24"/>
                <w:szCs w:val="24"/>
                <w:u w:val="single"/>
              </w:rPr>
              <w:t xml:space="preserve">Base </w:t>
            </w:r>
            <w:r w:rsidR="00E672DC" w:rsidRPr="00954233">
              <w:rPr>
                <w:rFonts w:cstheme="minorHAnsi" w:hint="eastAsia"/>
                <w:sz w:val="24"/>
                <w:szCs w:val="24"/>
                <w:u w:val="single"/>
                <w:lang w:eastAsia="zh-CN"/>
              </w:rPr>
              <w:t>OPEX</w:t>
            </w:r>
            <w:r w:rsidRPr="00954233">
              <w:rPr>
                <w:rFonts w:cstheme="minorHAnsi"/>
                <w:sz w:val="24"/>
                <w:szCs w:val="24"/>
                <w:u w:val="single"/>
              </w:rPr>
              <w:t>:</w:t>
            </w:r>
            <w:r w:rsidRPr="00954233">
              <w:rPr>
                <w:rFonts w:cstheme="minorHAnsi"/>
                <w:sz w:val="24"/>
                <w:szCs w:val="24"/>
              </w:rPr>
              <w:t xml:space="preserve"> efficiencies attributed to the categories of </w:t>
            </w:r>
            <w:r w:rsidR="00E672DC" w:rsidRPr="00954233">
              <w:rPr>
                <w:rFonts w:cstheme="minorHAnsi" w:hint="eastAsia"/>
                <w:sz w:val="24"/>
                <w:szCs w:val="24"/>
                <w:lang w:eastAsia="zh-CN"/>
              </w:rPr>
              <w:t>OPEX</w:t>
            </w:r>
            <w:r w:rsidRPr="00954233">
              <w:rPr>
                <w:rFonts w:cstheme="minorHAnsi"/>
                <w:sz w:val="24"/>
                <w:szCs w:val="24"/>
              </w:rPr>
              <w:t xml:space="preserve"> in lines 7.2 to 7.4. An aggregated value across all categories should be provided. </w:t>
            </w:r>
          </w:p>
          <w:p w14:paraId="485B45EC" w14:textId="6B14E55C" w:rsidR="000F4D93" w:rsidRPr="00954233" w:rsidRDefault="000F4D93" w:rsidP="00954233">
            <w:pPr>
              <w:pStyle w:val="TableParagraph"/>
              <w:spacing w:afterLines="60" w:after="144"/>
              <w:rPr>
                <w:rFonts w:cstheme="minorHAnsi"/>
                <w:sz w:val="24"/>
                <w:szCs w:val="24"/>
              </w:rPr>
            </w:pPr>
            <w:r w:rsidRPr="00954233">
              <w:rPr>
                <w:rFonts w:cstheme="minorHAnsi"/>
                <w:sz w:val="24"/>
                <w:szCs w:val="24"/>
                <w:u w:val="single"/>
              </w:rPr>
              <w:t>Frontier shift:</w:t>
            </w:r>
            <w:r w:rsidRPr="00954233">
              <w:rPr>
                <w:rFonts w:cstheme="minorHAnsi"/>
                <w:sz w:val="24"/>
                <w:szCs w:val="24"/>
              </w:rPr>
              <w:t xml:space="preserve"> the ongoing efficiencies Scottish Water are forecasting through ongoing productivity improvements.</w:t>
            </w:r>
          </w:p>
          <w:p w14:paraId="70964DAA" w14:textId="77777777" w:rsidR="000F4D93" w:rsidRPr="00954233" w:rsidRDefault="000F4D93" w:rsidP="00954233">
            <w:pPr>
              <w:pStyle w:val="TableParagraph"/>
              <w:spacing w:afterLines="60" w:after="144"/>
              <w:rPr>
                <w:rFonts w:cstheme="minorHAnsi"/>
                <w:sz w:val="24"/>
                <w:szCs w:val="24"/>
                <w:u w:val="single"/>
              </w:rPr>
            </w:pPr>
            <w:r w:rsidRPr="00954233">
              <w:rPr>
                <w:rFonts w:cstheme="minorHAnsi"/>
                <w:sz w:val="24"/>
                <w:szCs w:val="24"/>
                <w:u w:val="single"/>
              </w:rPr>
              <w:t xml:space="preserve">Enhancement, Growth and Transformation: </w:t>
            </w:r>
          </w:p>
          <w:p w14:paraId="6777A3AF" w14:textId="6BC428F0" w:rsidR="009C23E7" w:rsidRPr="00954233" w:rsidRDefault="000F4D93" w:rsidP="00954233">
            <w:pPr>
              <w:pStyle w:val="TableParagraph"/>
              <w:spacing w:afterLines="60" w:after="144"/>
              <w:rPr>
                <w:rFonts w:cstheme="minorHAnsi"/>
                <w:sz w:val="24"/>
                <w:szCs w:val="24"/>
              </w:rPr>
            </w:pPr>
            <w:r w:rsidRPr="00954233">
              <w:rPr>
                <w:rFonts w:cstheme="minorHAnsi"/>
                <w:sz w:val="24"/>
                <w:szCs w:val="24"/>
              </w:rPr>
              <w:t>Scottish Water should complete one line per project/programme. These lines may represent projects such as transformation projects; projects where Scottish Water adopts operating-based solutions rather than capital solutions to deliver improvements; and/or partnership arrangements with local authorities or other third parties. Scottish Water to indicate in the “Subcategory” column whether each project is an operating-based solution, transformation project and/or partnership arrangement.</w:t>
            </w:r>
          </w:p>
        </w:tc>
        <w:tc>
          <w:tcPr>
            <w:tcW w:w="731" w:type="pct"/>
          </w:tcPr>
          <w:p w14:paraId="465B3D16" w14:textId="77777777" w:rsidR="00881D79" w:rsidRPr="00954233" w:rsidRDefault="00881D79" w:rsidP="00881D79">
            <w:pPr>
              <w:pStyle w:val="TableParagraph"/>
              <w:rPr>
                <w:rFonts w:cstheme="minorHAnsi"/>
                <w:sz w:val="24"/>
                <w:szCs w:val="24"/>
              </w:rPr>
            </w:pPr>
            <w:r w:rsidRPr="00954233">
              <w:rPr>
                <w:rFonts w:cstheme="minorHAnsi"/>
                <w:sz w:val="24"/>
                <w:szCs w:val="24"/>
              </w:rPr>
              <w:lastRenderedPageBreak/>
              <w:t>£m 2024-25</w:t>
            </w:r>
          </w:p>
          <w:p w14:paraId="73CF55CD" w14:textId="35433F8C" w:rsidR="009C23E7" w:rsidRPr="00954233" w:rsidRDefault="009C23E7" w:rsidP="009C23E7">
            <w:pPr>
              <w:pStyle w:val="TableParagraph"/>
              <w:rPr>
                <w:rFonts w:cstheme="minorHAnsi"/>
                <w:sz w:val="24"/>
                <w:szCs w:val="24"/>
              </w:rPr>
            </w:pPr>
            <w:r w:rsidRPr="00954233">
              <w:rPr>
                <w:rFonts w:cstheme="minorHAnsi"/>
                <w:sz w:val="24"/>
                <w:szCs w:val="24"/>
              </w:rPr>
              <w:t>Price base</w:t>
            </w:r>
          </w:p>
        </w:tc>
      </w:tr>
      <w:tr w:rsidR="009C23E7" w:rsidRPr="00FF4778" w14:paraId="28004350" w14:textId="77777777" w:rsidTr="00954233">
        <w:tc>
          <w:tcPr>
            <w:tcW w:w="771" w:type="pct"/>
          </w:tcPr>
          <w:p w14:paraId="373C7C48" w14:textId="03690B74" w:rsidR="009C23E7" w:rsidRPr="00954233" w:rsidRDefault="009C23E7" w:rsidP="009C23E7">
            <w:pPr>
              <w:pStyle w:val="TableParagraph"/>
              <w:rPr>
                <w:rFonts w:cstheme="minorHAnsi"/>
                <w:sz w:val="24"/>
                <w:szCs w:val="24"/>
              </w:rPr>
            </w:pPr>
            <w:r w:rsidRPr="00954233">
              <w:rPr>
                <w:rFonts w:cstheme="minorHAnsi"/>
                <w:sz w:val="24"/>
                <w:szCs w:val="24"/>
              </w:rPr>
              <w:t>7.</w:t>
            </w:r>
            <w:r w:rsidR="006C1C26" w:rsidRPr="00954233">
              <w:rPr>
                <w:rFonts w:cstheme="minorHAnsi"/>
                <w:sz w:val="24"/>
                <w:szCs w:val="24"/>
              </w:rPr>
              <w:t>8</w:t>
            </w:r>
          </w:p>
        </w:tc>
        <w:tc>
          <w:tcPr>
            <w:tcW w:w="1006" w:type="pct"/>
          </w:tcPr>
          <w:p w14:paraId="26789D01" w14:textId="5BD8B4C1" w:rsidR="009C23E7" w:rsidRPr="00954233" w:rsidRDefault="000F4D93" w:rsidP="009C23E7">
            <w:pPr>
              <w:pStyle w:val="TableParagraph"/>
              <w:rPr>
                <w:rFonts w:cstheme="minorHAnsi"/>
                <w:sz w:val="24"/>
                <w:szCs w:val="24"/>
              </w:rPr>
            </w:pPr>
            <w:r w:rsidRPr="00954233">
              <w:rPr>
                <w:rFonts w:cstheme="minorHAnsi"/>
                <w:sz w:val="24"/>
                <w:szCs w:val="24"/>
              </w:rPr>
              <w:t>Total incremental operating expenditure post efficiency</w:t>
            </w:r>
          </w:p>
        </w:tc>
        <w:tc>
          <w:tcPr>
            <w:tcW w:w="2491" w:type="pct"/>
          </w:tcPr>
          <w:p w14:paraId="7C2BEC0D" w14:textId="60DD2A03" w:rsidR="009C23E7" w:rsidRPr="00954233" w:rsidRDefault="000F4D93" w:rsidP="00954233">
            <w:pPr>
              <w:pStyle w:val="TableParagraph"/>
              <w:spacing w:afterLines="60" w:after="144"/>
              <w:rPr>
                <w:rFonts w:cstheme="minorHAnsi"/>
                <w:sz w:val="24"/>
                <w:szCs w:val="24"/>
              </w:rPr>
            </w:pPr>
            <w:r w:rsidRPr="00954233">
              <w:rPr>
                <w:rFonts w:cstheme="minorHAnsi"/>
                <w:sz w:val="24"/>
                <w:szCs w:val="24"/>
              </w:rPr>
              <w:t>Calculated total</w:t>
            </w:r>
            <w:r w:rsidR="00ED0E8A">
              <w:rPr>
                <w:rFonts w:cstheme="minorHAnsi"/>
                <w:sz w:val="24"/>
                <w:szCs w:val="24"/>
              </w:rPr>
              <w:t>.</w:t>
            </w:r>
            <w:r w:rsidRPr="00954233">
              <w:rPr>
                <w:rFonts w:cstheme="minorHAnsi"/>
                <w:sz w:val="24"/>
                <w:szCs w:val="24"/>
              </w:rPr>
              <w:t xml:space="preserve"> </w:t>
            </w:r>
          </w:p>
        </w:tc>
        <w:tc>
          <w:tcPr>
            <w:tcW w:w="731" w:type="pct"/>
          </w:tcPr>
          <w:p w14:paraId="0B436180" w14:textId="77777777" w:rsidR="00881D79" w:rsidRPr="00954233" w:rsidRDefault="00881D79" w:rsidP="00881D79">
            <w:pPr>
              <w:pStyle w:val="TableParagraph"/>
              <w:rPr>
                <w:rFonts w:cstheme="minorHAnsi"/>
                <w:sz w:val="24"/>
                <w:szCs w:val="24"/>
              </w:rPr>
            </w:pPr>
            <w:r w:rsidRPr="00954233">
              <w:rPr>
                <w:rFonts w:cstheme="minorHAnsi"/>
                <w:sz w:val="24"/>
                <w:szCs w:val="24"/>
              </w:rPr>
              <w:t>£m 2024-25</w:t>
            </w:r>
          </w:p>
          <w:p w14:paraId="3C0BB3DF" w14:textId="33002233" w:rsidR="009C23E7" w:rsidRPr="00954233" w:rsidRDefault="009C23E7" w:rsidP="009C23E7">
            <w:pPr>
              <w:pStyle w:val="TableParagraph"/>
              <w:rPr>
                <w:rFonts w:cstheme="minorHAnsi"/>
                <w:sz w:val="24"/>
                <w:szCs w:val="24"/>
              </w:rPr>
            </w:pPr>
            <w:r w:rsidRPr="00954233">
              <w:rPr>
                <w:rFonts w:cstheme="minorHAnsi"/>
                <w:sz w:val="24"/>
                <w:szCs w:val="24"/>
              </w:rPr>
              <w:t>Price base</w:t>
            </w:r>
          </w:p>
        </w:tc>
      </w:tr>
      <w:tr w:rsidR="009C23E7" w:rsidRPr="00FF4778" w14:paraId="71FBDB54" w14:textId="77777777" w:rsidTr="00954233">
        <w:tc>
          <w:tcPr>
            <w:tcW w:w="771" w:type="pct"/>
          </w:tcPr>
          <w:p w14:paraId="76421795" w14:textId="18032AB8" w:rsidR="009C23E7" w:rsidRPr="00954233" w:rsidRDefault="009C23E7" w:rsidP="009C23E7">
            <w:pPr>
              <w:pStyle w:val="TableParagraph"/>
              <w:rPr>
                <w:rFonts w:cstheme="minorHAnsi"/>
                <w:sz w:val="24"/>
                <w:szCs w:val="24"/>
              </w:rPr>
            </w:pPr>
            <w:r w:rsidRPr="00954233">
              <w:rPr>
                <w:rFonts w:cstheme="minorHAnsi"/>
                <w:sz w:val="24"/>
                <w:szCs w:val="24"/>
              </w:rPr>
              <w:t>7.</w:t>
            </w:r>
            <w:r w:rsidR="00EC18E9" w:rsidRPr="00954233">
              <w:rPr>
                <w:rFonts w:cstheme="minorHAnsi"/>
                <w:sz w:val="24"/>
                <w:szCs w:val="24"/>
              </w:rPr>
              <w:t>9</w:t>
            </w:r>
          </w:p>
        </w:tc>
        <w:tc>
          <w:tcPr>
            <w:tcW w:w="1006" w:type="pct"/>
          </w:tcPr>
          <w:p w14:paraId="608FA3F1" w14:textId="5EDDBC49" w:rsidR="009C23E7" w:rsidRPr="00954233" w:rsidRDefault="009C23E7" w:rsidP="009C23E7">
            <w:pPr>
              <w:pStyle w:val="TableParagraph"/>
              <w:rPr>
                <w:rFonts w:cstheme="minorHAnsi"/>
                <w:sz w:val="24"/>
                <w:szCs w:val="24"/>
              </w:rPr>
            </w:pPr>
            <w:r w:rsidRPr="00954233">
              <w:rPr>
                <w:rFonts w:cstheme="minorHAnsi"/>
                <w:sz w:val="24"/>
                <w:szCs w:val="24"/>
              </w:rPr>
              <w:t>Total op</w:t>
            </w:r>
            <w:r w:rsidR="00D01C24" w:rsidRPr="00954233">
              <w:rPr>
                <w:rFonts w:cstheme="minorHAnsi"/>
                <w:sz w:val="24"/>
                <w:szCs w:val="24"/>
              </w:rPr>
              <w:t xml:space="preserve">erating </w:t>
            </w:r>
            <w:r w:rsidRPr="00954233">
              <w:rPr>
                <w:rFonts w:cstheme="minorHAnsi"/>
                <w:sz w:val="24"/>
                <w:szCs w:val="24"/>
              </w:rPr>
              <w:t>ex</w:t>
            </w:r>
            <w:r w:rsidR="00D01C24" w:rsidRPr="00954233">
              <w:rPr>
                <w:rFonts w:cstheme="minorHAnsi"/>
                <w:sz w:val="24"/>
                <w:szCs w:val="24"/>
              </w:rPr>
              <w:t>penditure</w:t>
            </w:r>
            <w:r w:rsidRPr="00954233">
              <w:rPr>
                <w:rFonts w:cstheme="minorHAnsi"/>
                <w:sz w:val="24"/>
                <w:szCs w:val="24"/>
              </w:rPr>
              <w:t xml:space="preserve"> post efficiency</w:t>
            </w:r>
          </w:p>
        </w:tc>
        <w:tc>
          <w:tcPr>
            <w:tcW w:w="2491" w:type="pct"/>
          </w:tcPr>
          <w:p w14:paraId="0191354A" w14:textId="50C2E2F3" w:rsidR="009C23E7" w:rsidRPr="00954233" w:rsidRDefault="009C23E7" w:rsidP="00954233">
            <w:pPr>
              <w:pStyle w:val="TableParagraph"/>
              <w:spacing w:afterLines="60" w:after="144"/>
              <w:rPr>
                <w:rFonts w:cstheme="minorHAnsi"/>
                <w:sz w:val="24"/>
                <w:szCs w:val="24"/>
              </w:rPr>
            </w:pPr>
            <w:r w:rsidRPr="00954233">
              <w:rPr>
                <w:rFonts w:cstheme="minorHAnsi"/>
                <w:sz w:val="24"/>
                <w:szCs w:val="24"/>
              </w:rPr>
              <w:t>Calculated total</w:t>
            </w:r>
            <w:r w:rsidR="00ED0E8A">
              <w:rPr>
                <w:rFonts w:cstheme="minorHAnsi"/>
                <w:sz w:val="24"/>
                <w:szCs w:val="24"/>
              </w:rPr>
              <w:t>.</w:t>
            </w:r>
          </w:p>
        </w:tc>
        <w:tc>
          <w:tcPr>
            <w:tcW w:w="731" w:type="pct"/>
          </w:tcPr>
          <w:p w14:paraId="4EC15140" w14:textId="77777777" w:rsidR="00881D79" w:rsidRPr="00954233" w:rsidRDefault="00881D79" w:rsidP="00881D79">
            <w:pPr>
              <w:pStyle w:val="TableParagraph"/>
              <w:rPr>
                <w:rFonts w:cstheme="minorHAnsi"/>
                <w:sz w:val="24"/>
                <w:szCs w:val="24"/>
              </w:rPr>
            </w:pPr>
            <w:r w:rsidRPr="00954233">
              <w:rPr>
                <w:rFonts w:cstheme="minorHAnsi"/>
                <w:sz w:val="24"/>
                <w:szCs w:val="24"/>
              </w:rPr>
              <w:t>£m 2024-25</w:t>
            </w:r>
          </w:p>
          <w:p w14:paraId="3AB5F81A" w14:textId="6956E594" w:rsidR="009C23E7" w:rsidRPr="00954233" w:rsidRDefault="009C23E7" w:rsidP="009C23E7">
            <w:pPr>
              <w:pStyle w:val="TableParagraph"/>
              <w:rPr>
                <w:rFonts w:cstheme="minorHAnsi"/>
                <w:sz w:val="24"/>
                <w:szCs w:val="24"/>
              </w:rPr>
            </w:pPr>
            <w:r w:rsidRPr="00954233">
              <w:rPr>
                <w:rFonts w:cstheme="minorHAnsi"/>
                <w:sz w:val="24"/>
                <w:szCs w:val="24"/>
              </w:rPr>
              <w:t>Price base</w:t>
            </w:r>
          </w:p>
        </w:tc>
      </w:tr>
    </w:tbl>
    <w:p w14:paraId="09317515" w14:textId="77777777" w:rsidR="00C43448" w:rsidRDefault="00C43448" w:rsidP="00191AE8"/>
    <w:tbl>
      <w:tblPr>
        <w:tblStyle w:val="Blueline"/>
        <w:tblW w:w="5000" w:type="pct"/>
        <w:tblLook w:val="04A0" w:firstRow="1" w:lastRow="0" w:firstColumn="1" w:lastColumn="0" w:noHBand="0" w:noVBand="1"/>
      </w:tblPr>
      <w:tblGrid>
        <w:gridCol w:w="1894"/>
        <w:gridCol w:w="3016"/>
        <w:gridCol w:w="7469"/>
        <w:gridCol w:w="2191"/>
      </w:tblGrid>
      <w:tr w:rsidR="006062AC" w:rsidRPr="00FF4778" w14:paraId="1FF9AFC5" w14:textId="77777777" w:rsidTr="00954233">
        <w:trPr>
          <w:cnfStyle w:val="100000000000" w:firstRow="1" w:lastRow="0" w:firstColumn="0" w:lastColumn="0" w:oddVBand="0" w:evenVBand="0" w:oddHBand="0" w:evenHBand="0" w:firstRowFirstColumn="0" w:firstRowLastColumn="0" w:lastRowFirstColumn="0" w:lastRowLastColumn="0"/>
          <w:trHeight w:val="502"/>
          <w:tblHeader/>
        </w:trPr>
        <w:tc>
          <w:tcPr>
            <w:tcW w:w="650" w:type="pct"/>
          </w:tcPr>
          <w:p w14:paraId="5BCBD944" w14:textId="142FDC66" w:rsidR="006062AC" w:rsidRPr="00954233" w:rsidRDefault="006062AC" w:rsidP="009E43DF">
            <w:pPr>
              <w:pStyle w:val="TableParagraph"/>
              <w:rPr>
                <w:rFonts w:ascii="Calibri" w:hAnsi="Calibri" w:cs="Calibri"/>
                <w:sz w:val="24"/>
                <w:szCs w:val="24"/>
              </w:rPr>
            </w:pPr>
            <w:r w:rsidRPr="00954233">
              <w:rPr>
                <w:rFonts w:ascii="Calibri" w:hAnsi="Calibri" w:cs="Calibri"/>
                <w:sz w:val="24"/>
                <w:szCs w:val="24"/>
              </w:rPr>
              <w:lastRenderedPageBreak/>
              <w:t>Line</w:t>
            </w:r>
            <w:r w:rsidR="00BF3BBC" w:rsidRPr="00954233">
              <w:rPr>
                <w:rFonts w:ascii="Calibri" w:hAnsi="Calibri" w:cs="Calibri"/>
                <w:sz w:val="24"/>
                <w:szCs w:val="24"/>
              </w:rPr>
              <w:t xml:space="preserve"> Reference</w:t>
            </w:r>
          </w:p>
        </w:tc>
        <w:tc>
          <w:tcPr>
            <w:tcW w:w="1035" w:type="pct"/>
          </w:tcPr>
          <w:p w14:paraId="365AF69F" w14:textId="77777777" w:rsidR="006062AC" w:rsidRPr="00954233" w:rsidRDefault="006062AC" w:rsidP="009E43DF">
            <w:pPr>
              <w:pStyle w:val="TableParagraph"/>
              <w:rPr>
                <w:rFonts w:ascii="Calibri" w:hAnsi="Calibri" w:cs="Calibri"/>
                <w:sz w:val="24"/>
                <w:szCs w:val="24"/>
              </w:rPr>
            </w:pPr>
            <w:r w:rsidRPr="00954233">
              <w:rPr>
                <w:rFonts w:ascii="Calibri" w:hAnsi="Calibri" w:cs="Calibri"/>
                <w:sz w:val="24"/>
                <w:szCs w:val="24"/>
              </w:rPr>
              <w:t>Title</w:t>
            </w:r>
          </w:p>
        </w:tc>
        <w:tc>
          <w:tcPr>
            <w:tcW w:w="2563" w:type="pct"/>
          </w:tcPr>
          <w:p w14:paraId="5AB40156" w14:textId="77777777" w:rsidR="006062AC" w:rsidRPr="00954233" w:rsidRDefault="006062AC" w:rsidP="009E43DF">
            <w:pPr>
              <w:pStyle w:val="TableParagraph"/>
              <w:rPr>
                <w:rFonts w:ascii="Calibri" w:hAnsi="Calibri" w:cs="Calibri"/>
                <w:sz w:val="24"/>
                <w:szCs w:val="24"/>
              </w:rPr>
            </w:pPr>
            <w:r w:rsidRPr="00954233">
              <w:rPr>
                <w:rFonts w:ascii="Calibri" w:hAnsi="Calibri" w:cs="Calibri"/>
                <w:sz w:val="24"/>
                <w:szCs w:val="24"/>
              </w:rPr>
              <w:t>Definition</w:t>
            </w:r>
          </w:p>
        </w:tc>
        <w:tc>
          <w:tcPr>
            <w:tcW w:w="752" w:type="pct"/>
          </w:tcPr>
          <w:p w14:paraId="46A41656" w14:textId="77777777" w:rsidR="006062AC" w:rsidRPr="00954233" w:rsidRDefault="006062AC" w:rsidP="009E43DF">
            <w:pPr>
              <w:pStyle w:val="TableParagraph"/>
              <w:rPr>
                <w:rFonts w:ascii="Calibri" w:hAnsi="Calibri" w:cs="Calibri"/>
                <w:sz w:val="24"/>
                <w:szCs w:val="24"/>
              </w:rPr>
            </w:pPr>
            <w:r w:rsidRPr="00954233">
              <w:rPr>
                <w:rFonts w:ascii="Calibri" w:hAnsi="Calibri" w:cs="Calibri"/>
                <w:sz w:val="24"/>
                <w:szCs w:val="24"/>
              </w:rPr>
              <w:t xml:space="preserve">Unit </w:t>
            </w:r>
          </w:p>
        </w:tc>
      </w:tr>
      <w:tr w:rsidR="006062AC" w:rsidRPr="00FF4778" w14:paraId="07E305FA" w14:textId="77777777" w:rsidTr="00954233">
        <w:trPr>
          <w:trHeight w:val="1487"/>
        </w:trPr>
        <w:tc>
          <w:tcPr>
            <w:tcW w:w="650" w:type="pct"/>
          </w:tcPr>
          <w:p w14:paraId="48D8D9D4" w14:textId="096EDA13" w:rsidR="006062AC" w:rsidRPr="00954233" w:rsidRDefault="00BE1531" w:rsidP="009E43DF">
            <w:pPr>
              <w:pStyle w:val="TableParagraph"/>
              <w:rPr>
                <w:rFonts w:ascii="Calibri" w:hAnsi="Calibri" w:cs="Calibri"/>
                <w:sz w:val="24"/>
                <w:szCs w:val="24"/>
              </w:rPr>
            </w:pPr>
            <w:r w:rsidRPr="00954233">
              <w:rPr>
                <w:rFonts w:ascii="Calibri" w:hAnsi="Calibri" w:cs="Calibri"/>
                <w:sz w:val="24"/>
                <w:szCs w:val="24"/>
              </w:rPr>
              <w:t>7.1</w:t>
            </w:r>
            <w:r w:rsidR="00850EB6" w:rsidRPr="00954233">
              <w:rPr>
                <w:rFonts w:ascii="Calibri" w:hAnsi="Calibri" w:cs="Calibri"/>
                <w:sz w:val="24"/>
                <w:szCs w:val="24"/>
              </w:rPr>
              <w:t>0</w:t>
            </w:r>
          </w:p>
        </w:tc>
        <w:tc>
          <w:tcPr>
            <w:tcW w:w="1035" w:type="pct"/>
          </w:tcPr>
          <w:p w14:paraId="42297BDF" w14:textId="262DA243" w:rsidR="006062AC" w:rsidRPr="00954233" w:rsidRDefault="009B493A" w:rsidP="009E43DF">
            <w:pPr>
              <w:pStyle w:val="TableParagraph"/>
              <w:rPr>
                <w:rFonts w:ascii="Calibri" w:hAnsi="Calibri" w:cs="Calibri"/>
                <w:sz w:val="24"/>
                <w:szCs w:val="24"/>
              </w:rPr>
            </w:pPr>
            <w:r w:rsidRPr="00954233">
              <w:rPr>
                <w:rFonts w:ascii="Calibri" w:hAnsi="Calibri" w:cs="Calibri"/>
                <w:sz w:val="24"/>
                <w:szCs w:val="24"/>
              </w:rPr>
              <w:t xml:space="preserve">Difference in </w:t>
            </w:r>
            <w:r w:rsidR="00BE1531" w:rsidRPr="00954233">
              <w:rPr>
                <w:rFonts w:ascii="Calibri" w:hAnsi="Calibri" w:cs="Calibri"/>
                <w:sz w:val="24"/>
                <w:szCs w:val="24"/>
              </w:rPr>
              <w:t>o</w:t>
            </w:r>
            <w:r w:rsidR="006062AC" w:rsidRPr="00954233">
              <w:rPr>
                <w:rFonts w:ascii="Calibri" w:hAnsi="Calibri" w:cs="Calibri"/>
                <w:sz w:val="24"/>
                <w:szCs w:val="24"/>
              </w:rPr>
              <w:t>p</w:t>
            </w:r>
            <w:r w:rsidRPr="00954233">
              <w:rPr>
                <w:rFonts w:ascii="Calibri" w:hAnsi="Calibri" w:cs="Calibri"/>
                <w:sz w:val="24"/>
                <w:szCs w:val="24"/>
              </w:rPr>
              <w:t xml:space="preserve">erating </w:t>
            </w:r>
            <w:r w:rsidR="006062AC" w:rsidRPr="00954233">
              <w:rPr>
                <w:rFonts w:ascii="Calibri" w:hAnsi="Calibri" w:cs="Calibri"/>
                <w:sz w:val="24"/>
                <w:szCs w:val="24"/>
              </w:rPr>
              <w:t>ex</w:t>
            </w:r>
            <w:r w:rsidRPr="00954233">
              <w:rPr>
                <w:rFonts w:ascii="Calibri" w:hAnsi="Calibri" w:cs="Calibri"/>
                <w:sz w:val="24"/>
                <w:szCs w:val="24"/>
              </w:rPr>
              <w:t>penditure</w:t>
            </w:r>
            <w:r w:rsidR="006062AC" w:rsidRPr="00954233">
              <w:rPr>
                <w:rFonts w:ascii="Calibri" w:hAnsi="Calibri" w:cs="Calibri"/>
                <w:sz w:val="24"/>
                <w:szCs w:val="24"/>
              </w:rPr>
              <w:t xml:space="preserve"> – </w:t>
            </w:r>
            <w:r w:rsidR="001F4CB4">
              <w:rPr>
                <w:rFonts w:ascii="Calibri" w:hAnsi="Calibri" w:cs="Calibri"/>
                <w:sz w:val="24"/>
                <w:szCs w:val="24"/>
              </w:rPr>
              <w:t>S</w:t>
            </w:r>
            <w:r w:rsidR="001F4CB4" w:rsidRPr="00954233">
              <w:rPr>
                <w:rFonts w:ascii="Calibri" w:hAnsi="Calibri" w:cs="Calibri"/>
                <w:sz w:val="24"/>
                <w:szCs w:val="24"/>
              </w:rPr>
              <w:t xml:space="preserve">cenario </w:t>
            </w:r>
            <w:r w:rsidR="00DF2BCD" w:rsidRPr="00954233">
              <w:rPr>
                <w:rFonts w:ascii="Calibri" w:hAnsi="Calibri" w:cs="Calibri"/>
                <w:sz w:val="24"/>
                <w:szCs w:val="24"/>
              </w:rPr>
              <w:t>B</w:t>
            </w:r>
          </w:p>
        </w:tc>
        <w:tc>
          <w:tcPr>
            <w:tcW w:w="2563" w:type="pct"/>
          </w:tcPr>
          <w:p w14:paraId="4C81FC64" w14:textId="3FB6AC32" w:rsidR="006062AC" w:rsidRPr="00954233" w:rsidRDefault="006062AC" w:rsidP="009E43DF">
            <w:pPr>
              <w:pStyle w:val="TableParagraph"/>
              <w:rPr>
                <w:rFonts w:ascii="Calibri" w:hAnsi="Calibri" w:cs="Calibri"/>
                <w:sz w:val="24"/>
                <w:szCs w:val="24"/>
              </w:rPr>
            </w:pPr>
            <w:r w:rsidRPr="00954233">
              <w:rPr>
                <w:rFonts w:ascii="Calibri" w:hAnsi="Calibri" w:cs="Calibri"/>
                <w:sz w:val="24"/>
                <w:szCs w:val="24"/>
              </w:rPr>
              <w:t>Input change in</w:t>
            </w:r>
            <w:r w:rsidRPr="00954233" w:rsidDel="00E672DC">
              <w:rPr>
                <w:rFonts w:ascii="Calibri" w:hAnsi="Calibri" w:cs="Calibri"/>
                <w:sz w:val="24"/>
                <w:szCs w:val="24"/>
              </w:rPr>
              <w:t xml:space="preserve"> </w:t>
            </w:r>
            <w:r w:rsidR="00E672DC" w:rsidRPr="00954233">
              <w:rPr>
                <w:rFonts w:ascii="Calibri" w:hAnsi="Calibri" w:cs="Calibri" w:hint="eastAsia"/>
                <w:sz w:val="24"/>
                <w:szCs w:val="24"/>
                <w:lang w:eastAsia="zh-CN"/>
              </w:rPr>
              <w:t>OPEX</w:t>
            </w:r>
            <w:r w:rsidRPr="00954233">
              <w:rPr>
                <w:rFonts w:ascii="Calibri" w:hAnsi="Calibri" w:cs="Calibri"/>
                <w:sz w:val="24"/>
                <w:szCs w:val="24"/>
              </w:rPr>
              <w:t xml:space="preserve"> relevant to the </w:t>
            </w:r>
            <w:r w:rsidR="009E43DF" w:rsidRPr="00954233">
              <w:rPr>
                <w:rFonts w:ascii="Calibri" w:hAnsi="Calibri" w:cs="Calibri"/>
                <w:sz w:val="24"/>
                <w:szCs w:val="24"/>
              </w:rPr>
              <w:t xml:space="preserve">scenario. </w:t>
            </w:r>
            <w:r w:rsidR="004F1797" w:rsidRPr="00954233">
              <w:rPr>
                <w:rFonts w:ascii="Calibri" w:hAnsi="Calibri" w:cs="Calibri"/>
                <w:sz w:val="24"/>
                <w:szCs w:val="24"/>
              </w:rPr>
              <w:t xml:space="preserve">This will reflect different </w:t>
            </w:r>
            <w:r w:rsidR="007B35F2" w:rsidRPr="00954233">
              <w:rPr>
                <w:rFonts w:ascii="Calibri" w:hAnsi="Calibri" w:cs="Calibri"/>
                <w:sz w:val="24"/>
                <w:szCs w:val="24"/>
              </w:rPr>
              <w:t>transformation initiatives or operating solutions compared to the reference scenario.</w:t>
            </w:r>
            <w:r w:rsidR="009E43DF" w:rsidRPr="00954233">
              <w:rPr>
                <w:rFonts w:ascii="Calibri" w:hAnsi="Calibri" w:cs="Calibri"/>
                <w:sz w:val="24"/>
                <w:szCs w:val="24"/>
              </w:rPr>
              <w:t xml:space="preserve"> This may be a negative value, representing fewer operational solutions</w:t>
            </w:r>
            <w:r w:rsidR="00630F26" w:rsidRPr="00954233">
              <w:rPr>
                <w:rFonts w:ascii="Calibri" w:hAnsi="Calibri" w:cs="Calibri"/>
                <w:sz w:val="24"/>
                <w:szCs w:val="24"/>
              </w:rPr>
              <w:t>, for example</w:t>
            </w:r>
            <w:r w:rsidR="009E43DF" w:rsidRPr="00954233">
              <w:rPr>
                <w:rFonts w:ascii="Calibri" w:hAnsi="Calibri" w:cs="Calibri"/>
                <w:sz w:val="24"/>
                <w:szCs w:val="24"/>
              </w:rPr>
              <w:t xml:space="preserve">. </w:t>
            </w:r>
            <w:r w:rsidR="00F03BF5" w:rsidRPr="00954233">
              <w:rPr>
                <w:rFonts w:ascii="Calibri" w:hAnsi="Calibri" w:cs="Calibri"/>
                <w:sz w:val="24"/>
                <w:szCs w:val="24"/>
              </w:rPr>
              <w:t>The breakdown of projects and initiatives should be provided in the commentary.</w:t>
            </w:r>
          </w:p>
        </w:tc>
        <w:tc>
          <w:tcPr>
            <w:tcW w:w="752" w:type="pct"/>
          </w:tcPr>
          <w:p w14:paraId="12C283C7"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25E61C93" w14:textId="0EEBDBA3" w:rsidR="006062AC" w:rsidRPr="00954233" w:rsidRDefault="00881D79" w:rsidP="009E43DF">
            <w:pPr>
              <w:pStyle w:val="TableParagraph"/>
              <w:rPr>
                <w:rFonts w:ascii="Calibri" w:hAnsi="Calibri" w:cs="Calibri"/>
                <w:sz w:val="24"/>
                <w:szCs w:val="24"/>
              </w:rPr>
            </w:pPr>
            <w:r w:rsidRPr="00954233">
              <w:rPr>
                <w:rFonts w:ascii="Calibri" w:hAnsi="Calibri" w:cs="Calibri"/>
                <w:sz w:val="24"/>
                <w:szCs w:val="24"/>
              </w:rPr>
              <w:t>Price base</w:t>
            </w:r>
          </w:p>
        </w:tc>
      </w:tr>
      <w:tr w:rsidR="006062AC" w:rsidRPr="00FF4778" w14:paraId="00642E29" w14:textId="77777777" w:rsidTr="00954233">
        <w:trPr>
          <w:trHeight w:val="1510"/>
        </w:trPr>
        <w:tc>
          <w:tcPr>
            <w:tcW w:w="650" w:type="pct"/>
          </w:tcPr>
          <w:p w14:paraId="2B6901BE" w14:textId="0955BFE1" w:rsidR="006062AC" w:rsidRPr="00954233" w:rsidRDefault="00BE1531" w:rsidP="009E43DF">
            <w:pPr>
              <w:pStyle w:val="TableParagraph"/>
              <w:rPr>
                <w:rFonts w:ascii="Calibri" w:hAnsi="Calibri" w:cs="Calibri"/>
                <w:sz w:val="24"/>
                <w:szCs w:val="24"/>
              </w:rPr>
            </w:pPr>
            <w:r w:rsidRPr="00954233">
              <w:rPr>
                <w:rFonts w:ascii="Calibri" w:hAnsi="Calibri" w:cs="Calibri"/>
                <w:sz w:val="24"/>
                <w:szCs w:val="24"/>
              </w:rPr>
              <w:t>7.1</w:t>
            </w:r>
            <w:r w:rsidR="00850EB6" w:rsidRPr="00954233">
              <w:rPr>
                <w:rFonts w:ascii="Calibri" w:hAnsi="Calibri" w:cs="Calibri"/>
                <w:sz w:val="24"/>
                <w:szCs w:val="24"/>
              </w:rPr>
              <w:t>1</w:t>
            </w:r>
          </w:p>
        </w:tc>
        <w:tc>
          <w:tcPr>
            <w:tcW w:w="1035" w:type="pct"/>
          </w:tcPr>
          <w:p w14:paraId="76749928" w14:textId="0249843C" w:rsidR="006062AC" w:rsidRPr="00954233" w:rsidRDefault="009B493A" w:rsidP="009E43DF">
            <w:pPr>
              <w:pStyle w:val="TableParagraph"/>
              <w:rPr>
                <w:rFonts w:ascii="Calibri" w:hAnsi="Calibri" w:cs="Calibri"/>
                <w:sz w:val="24"/>
                <w:szCs w:val="24"/>
              </w:rPr>
            </w:pPr>
            <w:r w:rsidRPr="00954233">
              <w:rPr>
                <w:rFonts w:ascii="Calibri" w:hAnsi="Calibri" w:cs="Calibri"/>
                <w:sz w:val="24"/>
                <w:szCs w:val="24"/>
              </w:rPr>
              <w:t xml:space="preserve">Difference in operating expenditure </w:t>
            </w:r>
            <w:r w:rsidR="006062AC" w:rsidRPr="00954233">
              <w:rPr>
                <w:rFonts w:ascii="Calibri" w:hAnsi="Calibri" w:cs="Calibri"/>
                <w:sz w:val="24"/>
                <w:szCs w:val="24"/>
              </w:rPr>
              <w:t xml:space="preserve">– </w:t>
            </w:r>
            <w:r w:rsidR="001F4CB4">
              <w:rPr>
                <w:rFonts w:ascii="Calibri" w:hAnsi="Calibri" w:cs="Calibri"/>
                <w:sz w:val="24"/>
                <w:szCs w:val="24"/>
              </w:rPr>
              <w:t>S</w:t>
            </w:r>
            <w:r w:rsidR="001F4CB4" w:rsidRPr="00954233">
              <w:rPr>
                <w:rFonts w:ascii="Calibri" w:hAnsi="Calibri" w:cs="Calibri"/>
                <w:sz w:val="24"/>
                <w:szCs w:val="24"/>
              </w:rPr>
              <w:t xml:space="preserve">cenario </w:t>
            </w:r>
            <w:r w:rsidR="00DF2BCD" w:rsidRPr="00954233">
              <w:rPr>
                <w:rFonts w:ascii="Calibri" w:hAnsi="Calibri" w:cs="Calibri"/>
                <w:sz w:val="24"/>
                <w:szCs w:val="24"/>
              </w:rPr>
              <w:t>C</w:t>
            </w:r>
          </w:p>
        </w:tc>
        <w:tc>
          <w:tcPr>
            <w:tcW w:w="2563" w:type="pct"/>
          </w:tcPr>
          <w:p w14:paraId="72248A24" w14:textId="59629DDA" w:rsidR="006062AC" w:rsidRPr="00954233" w:rsidRDefault="009E43DF" w:rsidP="009E43DF">
            <w:pPr>
              <w:pStyle w:val="TableParagraph"/>
              <w:rPr>
                <w:rFonts w:ascii="Calibri" w:hAnsi="Calibri" w:cs="Calibri"/>
                <w:sz w:val="24"/>
                <w:szCs w:val="24"/>
              </w:rPr>
            </w:pPr>
            <w:r w:rsidRPr="00954233">
              <w:rPr>
                <w:rFonts w:ascii="Calibri" w:hAnsi="Calibri" w:cs="Calibri"/>
                <w:sz w:val="24"/>
                <w:szCs w:val="24"/>
              </w:rPr>
              <w:t>Input change in</w:t>
            </w:r>
            <w:r w:rsidRPr="00954233" w:rsidDel="00E672DC">
              <w:rPr>
                <w:rFonts w:ascii="Calibri" w:hAnsi="Calibri" w:cs="Calibri"/>
                <w:sz w:val="24"/>
                <w:szCs w:val="24"/>
              </w:rPr>
              <w:t xml:space="preserve"> </w:t>
            </w:r>
            <w:r w:rsidR="00E672DC" w:rsidRPr="00954233">
              <w:rPr>
                <w:rFonts w:ascii="Calibri" w:hAnsi="Calibri" w:cs="Calibri" w:hint="eastAsia"/>
                <w:sz w:val="24"/>
                <w:szCs w:val="24"/>
                <w:lang w:eastAsia="zh-CN"/>
              </w:rPr>
              <w:t>OPEX</w:t>
            </w:r>
            <w:r w:rsidRPr="00954233">
              <w:rPr>
                <w:rFonts w:ascii="Calibri" w:hAnsi="Calibri" w:cs="Calibri"/>
                <w:sz w:val="24"/>
                <w:szCs w:val="24"/>
              </w:rPr>
              <w:t xml:space="preserve"> relevant to the scenario. </w:t>
            </w:r>
            <w:r w:rsidR="007B35F2" w:rsidRPr="00954233">
              <w:rPr>
                <w:rFonts w:ascii="Calibri" w:hAnsi="Calibri" w:cs="Calibri"/>
                <w:sz w:val="24"/>
                <w:szCs w:val="24"/>
              </w:rPr>
              <w:t xml:space="preserve">This will reflect different transformation initiatives or operating solutions compared to the reference scenario. </w:t>
            </w:r>
            <w:r w:rsidRPr="00954233">
              <w:rPr>
                <w:rFonts w:ascii="Calibri" w:hAnsi="Calibri" w:cs="Calibri"/>
                <w:sz w:val="24"/>
                <w:szCs w:val="24"/>
              </w:rPr>
              <w:t>This may be a negative value, representing fewer operational solutions</w:t>
            </w:r>
            <w:r w:rsidR="00630F26" w:rsidRPr="00954233">
              <w:rPr>
                <w:rFonts w:ascii="Calibri" w:hAnsi="Calibri" w:cs="Calibri"/>
                <w:sz w:val="24"/>
                <w:szCs w:val="24"/>
              </w:rPr>
              <w:t>, for example</w:t>
            </w:r>
            <w:r w:rsidRPr="00954233">
              <w:rPr>
                <w:rFonts w:ascii="Calibri" w:hAnsi="Calibri" w:cs="Calibri"/>
                <w:sz w:val="24"/>
                <w:szCs w:val="24"/>
              </w:rPr>
              <w:t>.</w:t>
            </w:r>
            <w:r w:rsidR="00F03BF5" w:rsidRPr="00954233">
              <w:rPr>
                <w:rFonts w:ascii="Calibri" w:hAnsi="Calibri" w:cs="Calibri"/>
                <w:sz w:val="24"/>
                <w:szCs w:val="24"/>
              </w:rPr>
              <w:t xml:space="preserve"> The breakdown of projects and initiatives should be provided in the commentary.</w:t>
            </w:r>
          </w:p>
        </w:tc>
        <w:tc>
          <w:tcPr>
            <w:tcW w:w="752" w:type="pct"/>
          </w:tcPr>
          <w:p w14:paraId="1B29F8FE"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37B0456D" w14:textId="449AB30A" w:rsidR="006062AC" w:rsidRPr="00954233" w:rsidRDefault="00881D79" w:rsidP="009E43DF">
            <w:pPr>
              <w:pStyle w:val="TableParagraph"/>
              <w:rPr>
                <w:rFonts w:ascii="Calibri" w:hAnsi="Calibri" w:cs="Calibri"/>
                <w:sz w:val="24"/>
                <w:szCs w:val="24"/>
              </w:rPr>
            </w:pPr>
            <w:r w:rsidRPr="00954233">
              <w:rPr>
                <w:rFonts w:ascii="Calibri" w:hAnsi="Calibri" w:cs="Calibri"/>
                <w:sz w:val="24"/>
                <w:szCs w:val="24"/>
              </w:rPr>
              <w:t>Price base</w:t>
            </w:r>
          </w:p>
        </w:tc>
      </w:tr>
    </w:tbl>
    <w:p w14:paraId="1D28E607" w14:textId="77777777" w:rsidR="00E30938" w:rsidRDefault="00E30938" w:rsidP="00E30938">
      <w:pPr>
        <w:pStyle w:val="TableParagraph"/>
        <w:jc w:val="both"/>
        <w:rPr>
          <w:rFonts w:ascii="Calibri" w:hAnsi="Calibri" w:cs="Calibri"/>
          <w:b/>
          <w:color w:val="064276" w:themeColor="text2"/>
          <w:sz w:val="28"/>
          <w:szCs w:val="28"/>
        </w:rPr>
      </w:pPr>
    </w:p>
    <w:p w14:paraId="2D8AF248" w14:textId="2FB8E42F" w:rsidR="00E30938" w:rsidRDefault="00E30938" w:rsidP="00E30938">
      <w:pPr>
        <w:pStyle w:val="TableParagraph"/>
        <w:jc w:val="both"/>
        <w:rPr>
          <w:rFonts w:ascii="Calibri" w:hAnsi="Calibri" w:cs="Calibri"/>
          <w:b/>
          <w:color w:val="064276" w:themeColor="text2"/>
          <w:sz w:val="28"/>
          <w:szCs w:val="28"/>
        </w:rPr>
      </w:pPr>
      <w:r w:rsidRPr="00717E2F">
        <w:rPr>
          <w:rFonts w:ascii="Calibri" w:hAnsi="Calibri" w:cs="Calibri"/>
          <w:b/>
          <w:color w:val="064276" w:themeColor="text2"/>
          <w:sz w:val="28"/>
          <w:szCs w:val="28"/>
        </w:rPr>
        <w:t xml:space="preserve">Block </w:t>
      </w:r>
      <w:r>
        <w:rPr>
          <w:rFonts w:ascii="Calibri" w:hAnsi="Calibri" w:cs="Calibri"/>
          <w:b/>
          <w:color w:val="064276" w:themeColor="text2"/>
          <w:sz w:val="28"/>
          <w:szCs w:val="28"/>
        </w:rPr>
        <w:t>B</w:t>
      </w:r>
      <w:r w:rsidRPr="00717E2F">
        <w:rPr>
          <w:rFonts w:ascii="Calibri" w:hAnsi="Calibri" w:cs="Calibri"/>
          <w:b/>
          <w:color w:val="064276" w:themeColor="text2"/>
          <w:sz w:val="28"/>
          <w:szCs w:val="28"/>
        </w:rPr>
        <w:t xml:space="preserve">: </w:t>
      </w:r>
      <w:r>
        <w:rPr>
          <w:rFonts w:ascii="Calibri" w:hAnsi="Calibri" w:cs="Calibri"/>
          <w:b/>
          <w:color w:val="064276" w:themeColor="text2"/>
          <w:sz w:val="28"/>
          <w:szCs w:val="28"/>
        </w:rPr>
        <w:t xml:space="preserve">PFI </w:t>
      </w:r>
      <w:r w:rsidR="004A21E6">
        <w:rPr>
          <w:rFonts w:ascii="Calibri" w:hAnsi="Calibri" w:cs="Calibri"/>
          <w:b/>
          <w:color w:val="064276" w:themeColor="text2"/>
          <w:sz w:val="28"/>
          <w:szCs w:val="28"/>
        </w:rPr>
        <w:t>Expenditure</w:t>
      </w:r>
    </w:p>
    <w:tbl>
      <w:tblPr>
        <w:tblStyle w:val="Blueline"/>
        <w:tblW w:w="5000" w:type="pct"/>
        <w:tblLook w:val="04A0" w:firstRow="1" w:lastRow="0" w:firstColumn="1" w:lastColumn="0" w:noHBand="0" w:noVBand="1"/>
      </w:tblPr>
      <w:tblGrid>
        <w:gridCol w:w="2248"/>
        <w:gridCol w:w="2932"/>
        <w:gridCol w:w="7260"/>
        <w:gridCol w:w="2130"/>
      </w:tblGrid>
      <w:tr w:rsidR="00222A08" w:rsidRPr="00FF4778" w14:paraId="4E912ACA" w14:textId="77777777" w:rsidTr="00954233">
        <w:trPr>
          <w:cnfStyle w:val="100000000000" w:firstRow="1" w:lastRow="0" w:firstColumn="0" w:lastColumn="0" w:oddVBand="0" w:evenVBand="0" w:oddHBand="0" w:evenHBand="0" w:firstRowFirstColumn="0" w:firstRowLastColumn="0" w:lastRowFirstColumn="0" w:lastRowLastColumn="0"/>
        </w:trPr>
        <w:tc>
          <w:tcPr>
            <w:tcW w:w="771" w:type="pct"/>
          </w:tcPr>
          <w:p w14:paraId="4914FCF6" w14:textId="2B2C7648" w:rsidR="00222A08" w:rsidRPr="00954233" w:rsidRDefault="005248A5" w:rsidP="00542CFC">
            <w:pPr>
              <w:pStyle w:val="TableParagraph"/>
              <w:rPr>
                <w:rFonts w:ascii="Calibri" w:hAnsi="Calibri" w:cs="Calibri"/>
                <w:sz w:val="24"/>
                <w:szCs w:val="24"/>
                <w:lang w:eastAsia="zh-CN"/>
              </w:rPr>
            </w:pPr>
            <w:r w:rsidRPr="00954233">
              <w:rPr>
                <w:rFonts w:ascii="Calibri" w:hAnsi="Calibri" w:cs="Calibri"/>
                <w:sz w:val="24"/>
                <w:szCs w:val="24"/>
                <w:lang w:eastAsia="zh-CN"/>
              </w:rPr>
              <w:t>Line Reference</w:t>
            </w:r>
          </w:p>
        </w:tc>
        <w:tc>
          <w:tcPr>
            <w:tcW w:w="1006" w:type="pct"/>
          </w:tcPr>
          <w:p w14:paraId="45395796" w14:textId="53468B26" w:rsidR="00222A08" w:rsidRPr="00954233" w:rsidRDefault="005248A5">
            <w:pPr>
              <w:pStyle w:val="TableParagraph"/>
              <w:rPr>
                <w:rFonts w:ascii="Calibri" w:hAnsi="Calibri" w:cs="Calibri"/>
                <w:sz w:val="24"/>
                <w:szCs w:val="24"/>
                <w:lang w:eastAsia="zh-CN"/>
              </w:rPr>
            </w:pPr>
            <w:r w:rsidRPr="00954233">
              <w:rPr>
                <w:rFonts w:ascii="Calibri" w:hAnsi="Calibri" w:cs="Calibri"/>
                <w:sz w:val="24"/>
                <w:szCs w:val="24"/>
                <w:lang w:eastAsia="zh-CN"/>
              </w:rPr>
              <w:t>Title</w:t>
            </w:r>
          </w:p>
        </w:tc>
        <w:tc>
          <w:tcPr>
            <w:tcW w:w="2491" w:type="pct"/>
          </w:tcPr>
          <w:p w14:paraId="43E1F6C0" w14:textId="6B0B433B" w:rsidR="00222A08" w:rsidRPr="00954233" w:rsidRDefault="005248A5">
            <w:pPr>
              <w:pStyle w:val="TableParagraph"/>
              <w:rPr>
                <w:rFonts w:ascii="Calibri" w:hAnsi="Calibri" w:cs="Calibri"/>
                <w:sz w:val="24"/>
                <w:szCs w:val="24"/>
                <w:lang w:eastAsia="zh-CN"/>
              </w:rPr>
            </w:pPr>
            <w:r w:rsidRPr="00954233">
              <w:rPr>
                <w:rFonts w:ascii="Calibri" w:hAnsi="Calibri" w:cs="Calibri"/>
                <w:sz w:val="24"/>
                <w:szCs w:val="24"/>
                <w:lang w:eastAsia="zh-CN"/>
              </w:rPr>
              <w:t>Definition</w:t>
            </w:r>
          </w:p>
        </w:tc>
        <w:tc>
          <w:tcPr>
            <w:tcW w:w="731" w:type="pct"/>
          </w:tcPr>
          <w:p w14:paraId="4EC3F4BF" w14:textId="1FF58204" w:rsidR="00222A08" w:rsidRPr="00954233" w:rsidRDefault="005248A5" w:rsidP="00881D79">
            <w:pPr>
              <w:pStyle w:val="TableParagraph"/>
              <w:rPr>
                <w:rFonts w:ascii="Calibri" w:hAnsi="Calibri" w:cs="Calibri"/>
                <w:sz w:val="24"/>
                <w:szCs w:val="24"/>
                <w:lang w:eastAsia="zh-CN"/>
              </w:rPr>
            </w:pPr>
            <w:r w:rsidRPr="00954233">
              <w:rPr>
                <w:rFonts w:ascii="Calibri" w:hAnsi="Calibri" w:cs="Calibri"/>
                <w:sz w:val="24"/>
                <w:szCs w:val="24"/>
                <w:lang w:eastAsia="zh-CN"/>
              </w:rPr>
              <w:t>Unit</w:t>
            </w:r>
          </w:p>
        </w:tc>
      </w:tr>
      <w:tr w:rsidR="00222A08" w:rsidRPr="00FF4778" w14:paraId="62BAEB44" w14:textId="77777777" w:rsidTr="00954233">
        <w:trPr>
          <w:trHeight w:val="680"/>
        </w:trPr>
        <w:tc>
          <w:tcPr>
            <w:tcW w:w="771" w:type="pct"/>
          </w:tcPr>
          <w:p w14:paraId="2B9F6C00" w14:textId="47513AFD" w:rsidR="00222A08" w:rsidRPr="00954233" w:rsidRDefault="005248A5" w:rsidP="00542CFC">
            <w:pPr>
              <w:pStyle w:val="TableParagraph"/>
              <w:rPr>
                <w:rFonts w:ascii="Calibri" w:hAnsi="Calibri" w:cs="Calibri"/>
                <w:sz w:val="24"/>
                <w:szCs w:val="24"/>
                <w:lang w:eastAsia="zh-CN"/>
              </w:rPr>
            </w:pPr>
            <w:r w:rsidRPr="00954233">
              <w:rPr>
                <w:rFonts w:ascii="Calibri" w:hAnsi="Calibri" w:cs="Calibri"/>
                <w:sz w:val="24"/>
                <w:szCs w:val="24"/>
                <w:lang w:eastAsia="zh-CN"/>
              </w:rPr>
              <w:t>7.12</w:t>
            </w:r>
          </w:p>
        </w:tc>
        <w:tc>
          <w:tcPr>
            <w:tcW w:w="1006" w:type="pct"/>
          </w:tcPr>
          <w:p w14:paraId="1DFF020F" w14:textId="3BCB5A66" w:rsidR="00222A08" w:rsidRPr="00954233" w:rsidRDefault="005248A5">
            <w:pPr>
              <w:pStyle w:val="TableParagraph"/>
              <w:rPr>
                <w:rFonts w:ascii="Calibri" w:hAnsi="Calibri" w:cs="Calibri"/>
                <w:sz w:val="24"/>
                <w:szCs w:val="24"/>
                <w:lang w:eastAsia="zh-CN"/>
              </w:rPr>
            </w:pPr>
            <w:r w:rsidRPr="00954233">
              <w:rPr>
                <w:rFonts w:ascii="Calibri" w:hAnsi="Calibri" w:cs="Calibri"/>
                <w:sz w:val="24"/>
                <w:szCs w:val="24"/>
                <w:lang w:eastAsia="zh-CN"/>
              </w:rPr>
              <w:t>Base PFI expenditure in 2024-25</w:t>
            </w:r>
          </w:p>
        </w:tc>
        <w:tc>
          <w:tcPr>
            <w:tcW w:w="2491" w:type="pct"/>
          </w:tcPr>
          <w:p w14:paraId="5AFECCEB" w14:textId="41816E34" w:rsidR="00222A08" w:rsidRPr="00954233" w:rsidRDefault="00920C50"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The </w:t>
            </w:r>
            <w:r w:rsidR="00075332" w:rsidRPr="00954233">
              <w:rPr>
                <w:rFonts w:ascii="Calibri" w:hAnsi="Calibri" w:cs="Calibri" w:hint="eastAsia"/>
                <w:sz w:val="24"/>
                <w:szCs w:val="24"/>
                <w:lang w:eastAsia="zh-CN"/>
              </w:rPr>
              <w:t>PFI</w:t>
            </w:r>
            <w:r w:rsidRPr="00954233">
              <w:rPr>
                <w:rFonts w:ascii="Calibri" w:hAnsi="Calibri" w:cs="Calibri"/>
                <w:sz w:val="24"/>
                <w:szCs w:val="24"/>
              </w:rPr>
              <w:t xml:space="preserve"> expenditure in 2024-25 that will be used as the baseline for SRC27.</w:t>
            </w:r>
          </w:p>
        </w:tc>
        <w:tc>
          <w:tcPr>
            <w:tcW w:w="731" w:type="pct"/>
          </w:tcPr>
          <w:p w14:paraId="7C083A8B" w14:textId="3E99A955" w:rsidR="00222A08" w:rsidRPr="00954233" w:rsidRDefault="00537CDD" w:rsidP="00537CDD">
            <w:pPr>
              <w:pStyle w:val="TableParagraph"/>
              <w:rPr>
                <w:rFonts w:ascii="Calibri" w:hAnsi="Calibri" w:cs="Calibri"/>
                <w:sz w:val="24"/>
                <w:szCs w:val="24"/>
              </w:rPr>
            </w:pPr>
            <w:r w:rsidRPr="00954233">
              <w:rPr>
                <w:rFonts w:ascii="Calibri" w:hAnsi="Calibri" w:cs="Calibri"/>
                <w:sz w:val="24"/>
                <w:szCs w:val="24"/>
              </w:rPr>
              <w:t>£m 2024-25</w:t>
            </w:r>
            <w:r w:rsidR="00D1279A">
              <w:rPr>
                <w:rFonts w:ascii="Calibri" w:hAnsi="Calibri" w:cs="Calibri"/>
                <w:sz w:val="24"/>
                <w:szCs w:val="24"/>
              </w:rPr>
              <w:t xml:space="preserve"> </w:t>
            </w:r>
            <w:r w:rsidR="00D1279A">
              <w:rPr>
                <w:rFonts w:ascii="Calibri" w:hAnsi="Calibri" w:cs="Calibri"/>
                <w:sz w:val="24"/>
                <w:szCs w:val="24"/>
              </w:rPr>
              <w:br/>
            </w:r>
            <w:r w:rsidRPr="00954233">
              <w:rPr>
                <w:rFonts w:ascii="Calibri" w:hAnsi="Calibri" w:cs="Calibri"/>
                <w:sz w:val="24"/>
                <w:szCs w:val="24"/>
              </w:rPr>
              <w:t>Price base</w:t>
            </w:r>
          </w:p>
        </w:tc>
      </w:tr>
      <w:tr w:rsidR="00542CFC" w:rsidRPr="00FF4778" w14:paraId="217D56A8" w14:textId="77777777" w:rsidTr="00954233">
        <w:tc>
          <w:tcPr>
            <w:tcW w:w="771" w:type="pct"/>
          </w:tcPr>
          <w:p w14:paraId="6ECB2D20" w14:textId="1F781F31" w:rsidR="00542CFC" w:rsidRPr="00954233" w:rsidRDefault="00542CFC" w:rsidP="00542CFC">
            <w:pPr>
              <w:pStyle w:val="TableParagraph"/>
              <w:rPr>
                <w:rFonts w:ascii="Calibri" w:hAnsi="Calibri" w:cs="Calibri"/>
                <w:sz w:val="24"/>
                <w:szCs w:val="24"/>
              </w:rPr>
            </w:pPr>
            <w:r w:rsidRPr="00954233">
              <w:rPr>
                <w:rFonts w:ascii="Calibri" w:hAnsi="Calibri" w:cs="Calibri"/>
                <w:sz w:val="24"/>
                <w:szCs w:val="24"/>
              </w:rPr>
              <w:t>7.</w:t>
            </w:r>
            <w:r w:rsidR="00E026DC" w:rsidRPr="00954233">
              <w:rPr>
                <w:rFonts w:ascii="Calibri" w:hAnsi="Calibri" w:cs="Calibri"/>
                <w:sz w:val="24"/>
                <w:szCs w:val="24"/>
              </w:rPr>
              <w:t>1</w:t>
            </w:r>
            <w:r w:rsidR="005248A5" w:rsidRPr="00954233">
              <w:rPr>
                <w:rFonts w:ascii="Calibri" w:hAnsi="Calibri" w:cs="Calibri" w:hint="eastAsia"/>
                <w:sz w:val="24"/>
                <w:szCs w:val="24"/>
                <w:lang w:eastAsia="zh-CN"/>
              </w:rPr>
              <w:t>3</w:t>
            </w:r>
            <w:r w:rsidRPr="00954233">
              <w:rPr>
                <w:rFonts w:ascii="Calibri" w:hAnsi="Calibri" w:cs="Calibri"/>
                <w:sz w:val="24"/>
                <w:szCs w:val="24"/>
              </w:rPr>
              <w:t>a - 7.</w:t>
            </w:r>
            <w:r w:rsidR="00E026DC" w:rsidRPr="00954233">
              <w:rPr>
                <w:rFonts w:ascii="Calibri" w:hAnsi="Calibri" w:cs="Calibri"/>
                <w:sz w:val="24"/>
                <w:szCs w:val="24"/>
              </w:rPr>
              <w:t>1</w:t>
            </w:r>
            <w:r w:rsidR="005248A5" w:rsidRPr="00954233">
              <w:rPr>
                <w:rFonts w:ascii="Calibri" w:hAnsi="Calibri" w:cs="Calibri" w:hint="eastAsia"/>
                <w:sz w:val="24"/>
                <w:szCs w:val="24"/>
                <w:lang w:eastAsia="zh-CN"/>
              </w:rPr>
              <w:t>3d</w:t>
            </w:r>
          </w:p>
        </w:tc>
        <w:tc>
          <w:tcPr>
            <w:tcW w:w="1006" w:type="pct"/>
          </w:tcPr>
          <w:p w14:paraId="038F1133" w14:textId="2D516412" w:rsidR="00542CFC" w:rsidRPr="00954233" w:rsidRDefault="00542CFC">
            <w:pPr>
              <w:pStyle w:val="TableParagraph"/>
              <w:rPr>
                <w:rFonts w:ascii="Calibri" w:hAnsi="Calibri" w:cs="Calibri"/>
                <w:sz w:val="24"/>
                <w:szCs w:val="24"/>
              </w:rPr>
            </w:pPr>
            <w:r w:rsidRPr="00954233">
              <w:rPr>
                <w:rFonts w:ascii="Calibri" w:hAnsi="Calibri" w:cs="Calibri"/>
                <w:sz w:val="24"/>
                <w:szCs w:val="24"/>
              </w:rPr>
              <w:t>Projected lower PFI fee for the returning PFI</w:t>
            </w:r>
          </w:p>
          <w:p w14:paraId="22938CA6" w14:textId="63BD99FC" w:rsidR="00542CFC" w:rsidRPr="00954233" w:rsidRDefault="00542CFC" w:rsidP="00542CFC">
            <w:pPr>
              <w:pStyle w:val="TableParagraph"/>
              <w:rPr>
                <w:rFonts w:ascii="Calibri" w:hAnsi="Calibri" w:cs="Calibri"/>
                <w:sz w:val="24"/>
                <w:szCs w:val="24"/>
              </w:rPr>
            </w:pPr>
          </w:p>
        </w:tc>
        <w:tc>
          <w:tcPr>
            <w:tcW w:w="2491" w:type="pct"/>
          </w:tcPr>
          <w:p w14:paraId="15A6E882" w14:textId="40336EC6" w:rsidR="00542CFC" w:rsidRPr="00954233" w:rsidRDefault="00542CFC"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Provide the forecast change </w:t>
            </w:r>
            <w:r w:rsidRPr="00954233">
              <w:rPr>
                <w:rFonts w:ascii="Calibri" w:hAnsi="Calibri" w:cs="Calibri"/>
                <w:sz w:val="24"/>
                <w:szCs w:val="24"/>
                <w:lang w:eastAsia="zh-CN"/>
              </w:rPr>
              <w:t xml:space="preserve">in </w:t>
            </w:r>
            <w:r w:rsidR="0002017D" w:rsidRPr="00954233">
              <w:rPr>
                <w:rFonts w:ascii="Calibri" w:hAnsi="Calibri" w:cs="Calibri" w:hint="eastAsia"/>
                <w:sz w:val="24"/>
                <w:szCs w:val="24"/>
                <w:lang w:eastAsia="zh-CN"/>
              </w:rPr>
              <w:t xml:space="preserve">PFI </w:t>
            </w:r>
            <w:r w:rsidR="00356AEC" w:rsidRPr="00954233">
              <w:rPr>
                <w:rFonts w:ascii="Calibri" w:hAnsi="Calibri" w:cs="Calibri" w:hint="eastAsia"/>
                <w:sz w:val="24"/>
                <w:szCs w:val="24"/>
                <w:lang w:eastAsia="zh-CN"/>
              </w:rPr>
              <w:t>expenditure</w:t>
            </w:r>
            <w:r w:rsidRPr="00954233">
              <w:rPr>
                <w:rFonts w:ascii="Calibri" w:hAnsi="Calibri" w:cs="Calibri"/>
                <w:sz w:val="24"/>
                <w:szCs w:val="24"/>
                <w:lang w:eastAsia="zh-CN"/>
              </w:rPr>
              <w:t xml:space="preserve"> </w:t>
            </w:r>
            <w:r w:rsidRPr="00954233">
              <w:rPr>
                <w:rFonts w:ascii="Calibri" w:hAnsi="Calibri" w:cs="Calibri"/>
                <w:sz w:val="24"/>
                <w:szCs w:val="24"/>
              </w:rPr>
              <w:t xml:space="preserve">resulting from lower PFI fees for the returning PFI, relative to the baseline </w:t>
            </w:r>
            <w:r w:rsidR="00B82DF7" w:rsidRPr="00954233">
              <w:rPr>
                <w:rFonts w:ascii="Calibri" w:hAnsi="Calibri" w:cs="Calibri" w:hint="eastAsia"/>
                <w:sz w:val="24"/>
                <w:szCs w:val="24"/>
                <w:lang w:eastAsia="zh-CN"/>
              </w:rPr>
              <w:t>PFI expenditure</w:t>
            </w:r>
            <w:r w:rsidRPr="00954233">
              <w:rPr>
                <w:rFonts w:ascii="Calibri" w:hAnsi="Calibri" w:cs="Calibri"/>
                <w:sz w:val="24"/>
                <w:szCs w:val="24"/>
              </w:rPr>
              <w:t xml:space="preserve"> value in 2024-25.</w:t>
            </w:r>
            <w:r w:rsidR="00B82DF7" w:rsidRPr="00954233">
              <w:rPr>
                <w:rFonts w:ascii="Calibri" w:hAnsi="Calibri" w:cs="Calibri" w:hint="eastAsia"/>
                <w:sz w:val="24"/>
                <w:szCs w:val="24"/>
                <w:lang w:eastAsia="zh-CN"/>
              </w:rPr>
              <w:t xml:space="preserve"> </w:t>
            </w:r>
            <w:r w:rsidR="00356AEC" w:rsidRPr="00954233">
              <w:rPr>
                <w:rFonts w:ascii="Calibri" w:hAnsi="Calibri" w:cs="Calibri" w:hint="eastAsia"/>
                <w:sz w:val="24"/>
                <w:szCs w:val="24"/>
                <w:lang w:eastAsia="zh-CN"/>
              </w:rPr>
              <w:t>The in</w:t>
            </w:r>
            <w:r w:rsidR="00B82DF7" w:rsidRPr="00954233">
              <w:rPr>
                <w:rFonts w:ascii="Calibri" w:hAnsi="Calibri" w:cs="Calibri" w:hint="eastAsia"/>
                <w:sz w:val="24"/>
                <w:szCs w:val="24"/>
                <w:lang w:eastAsia="zh-CN"/>
              </w:rPr>
              <w:t>put number</w:t>
            </w:r>
            <w:r w:rsidR="00356AEC" w:rsidRPr="00954233">
              <w:rPr>
                <w:rFonts w:ascii="Calibri" w:hAnsi="Calibri" w:cs="Calibri" w:hint="eastAsia"/>
                <w:sz w:val="24"/>
                <w:szCs w:val="24"/>
                <w:lang w:eastAsia="zh-CN"/>
              </w:rPr>
              <w:t xml:space="preserve"> should be negative</w:t>
            </w:r>
            <w:r w:rsidR="00B82DF7" w:rsidRPr="00954233">
              <w:rPr>
                <w:rFonts w:ascii="Calibri" w:hAnsi="Calibri" w:cs="Calibri" w:hint="eastAsia"/>
                <w:sz w:val="24"/>
                <w:szCs w:val="24"/>
                <w:lang w:eastAsia="zh-CN"/>
              </w:rPr>
              <w:t>.</w:t>
            </w:r>
          </w:p>
          <w:p w14:paraId="11FD1B28" w14:textId="44A90897" w:rsidR="00542CFC" w:rsidRPr="00954233" w:rsidRDefault="00542CFC"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Scottish Water should complete a separate line for each returning PFI and should assign a unique label to each returning PFI in the “Sub category” column. </w:t>
            </w:r>
          </w:p>
          <w:p w14:paraId="58156519" w14:textId="472518BC" w:rsidR="00542CFC" w:rsidRPr="00954233" w:rsidRDefault="00542CFC"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Scottish Water should distinguish between each new line by adding a </w:t>
            </w:r>
            <w:r w:rsidRPr="00954233">
              <w:rPr>
                <w:rFonts w:ascii="Calibri" w:hAnsi="Calibri" w:cs="Calibri"/>
                <w:sz w:val="24"/>
                <w:szCs w:val="24"/>
              </w:rPr>
              <w:lastRenderedPageBreak/>
              <w:t>suffix (e.g. “a”, “b”, “c”) to the line reference.</w:t>
            </w:r>
          </w:p>
        </w:tc>
        <w:tc>
          <w:tcPr>
            <w:tcW w:w="731" w:type="pct"/>
          </w:tcPr>
          <w:p w14:paraId="3666D16F" w14:textId="59C55503" w:rsidR="00542CFC" w:rsidRPr="00954233" w:rsidRDefault="00881D79" w:rsidP="00542CFC">
            <w:pPr>
              <w:pStyle w:val="TableParagraph"/>
              <w:rPr>
                <w:rFonts w:ascii="Calibri" w:hAnsi="Calibri" w:cs="Calibri"/>
                <w:sz w:val="24"/>
                <w:szCs w:val="24"/>
              </w:rPr>
            </w:pPr>
            <w:r w:rsidRPr="00954233">
              <w:rPr>
                <w:rFonts w:ascii="Calibri" w:hAnsi="Calibri" w:cs="Calibri"/>
                <w:sz w:val="24"/>
                <w:szCs w:val="24"/>
              </w:rPr>
              <w:lastRenderedPageBreak/>
              <w:t>£m 2024-25</w:t>
            </w:r>
            <w:r w:rsidR="00D1279A">
              <w:rPr>
                <w:rFonts w:ascii="Calibri" w:hAnsi="Calibri" w:cs="Calibri"/>
                <w:sz w:val="24"/>
                <w:szCs w:val="24"/>
              </w:rPr>
              <w:t xml:space="preserve"> </w:t>
            </w:r>
            <w:r w:rsidR="00D1279A">
              <w:rPr>
                <w:rFonts w:ascii="Calibri" w:hAnsi="Calibri" w:cs="Calibri"/>
                <w:sz w:val="24"/>
                <w:szCs w:val="24"/>
              </w:rPr>
              <w:br/>
            </w:r>
            <w:r w:rsidR="00542CFC" w:rsidRPr="00954233">
              <w:rPr>
                <w:rFonts w:ascii="Calibri" w:hAnsi="Calibri" w:cs="Calibri"/>
                <w:sz w:val="24"/>
                <w:szCs w:val="24"/>
              </w:rPr>
              <w:t>Price base</w:t>
            </w:r>
          </w:p>
        </w:tc>
      </w:tr>
      <w:tr w:rsidR="00A325FA" w:rsidRPr="00FF4778" w14:paraId="28D0A7BA" w14:textId="77777777" w:rsidTr="00954233">
        <w:tc>
          <w:tcPr>
            <w:tcW w:w="771" w:type="pct"/>
          </w:tcPr>
          <w:p w14:paraId="3EC96317" w14:textId="6B220C55" w:rsidR="00A325FA" w:rsidRPr="00954233" w:rsidRDefault="00F86BE2" w:rsidP="00542CFC">
            <w:pPr>
              <w:pStyle w:val="TableParagraph"/>
              <w:rPr>
                <w:rFonts w:ascii="Calibri" w:hAnsi="Calibri" w:cs="Calibri"/>
                <w:sz w:val="24"/>
                <w:szCs w:val="24"/>
              </w:rPr>
            </w:pPr>
            <w:r w:rsidRPr="00954233">
              <w:rPr>
                <w:rFonts w:ascii="Calibri" w:hAnsi="Calibri" w:cs="Calibri" w:hint="eastAsia"/>
                <w:sz w:val="24"/>
                <w:szCs w:val="24"/>
                <w:lang w:eastAsia="zh-CN"/>
              </w:rPr>
              <w:t>7.14</w:t>
            </w:r>
          </w:p>
        </w:tc>
        <w:tc>
          <w:tcPr>
            <w:tcW w:w="1006" w:type="pct"/>
          </w:tcPr>
          <w:p w14:paraId="4EEB41C5" w14:textId="763B98D8" w:rsidR="00A325FA" w:rsidRPr="00954233" w:rsidRDefault="00F86BE2">
            <w:pPr>
              <w:pStyle w:val="TableParagraph"/>
              <w:rPr>
                <w:rFonts w:ascii="Calibri" w:hAnsi="Calibri" w:cs="Calibri"/>
                <w:sz w:val="24"/>
                <w:szCs w:val="24"/>
                <w:lang w:eastAsia="zh-CN"/>
              </w:rPr>
            </w:pPr>
            <w:r w:rsidRPr="00954233">
              <w:rPr>
                <w:rFonts w:ascii="Calibri" w:hAnsi="Calibri" w:cs="Calibri" w:hint="eastAsia"/>
                <w:sz w:val="24"/>
                <w:szCs w:val="24"/>
                <w:lang w:eastAsia="zh-CN"/>
              </w:rPr>
              <w:t>Projected changes due to flows and loads</w:t>
            </w:r>
          </w:p>
        </w:tc>
        <w:tc>
          <w:tcPr>
            <w:tcW w:w="2491" w:type="pct"/>
          </w:tcPr>
          <w:p w14:paraId="3247094B" w14:textId="1FD4DADC" w:rsidR="00F37ABC" w:rsidRPr="00954233" w:rsidRDefault="00B82DF7" w:rsidP="00954233">
            <w:pPr>
              <w:pStyle w:val="TableParagraph"/>
              <w:spacing w:afterLines="60" w:after="144"/>
              <w:rPr>
                <w:rFonts w:ascii="Calibri" w:hAnsi="Calibri" w:cs="Calibri"/>
                <w:sz w:val="24"/>
                <w:szCs w:val="24"/>
              </w:rPr>
            </w:pPr>
            <w:r w:rsidRPr="00954233">
              <w:rPr>
                <w:rFonts w:ascii="Calibri" w:hAnsi="Calibri" w:cs="Calibri" w:hint="eastAsia"/>
                <w:sz w:val="24"/>
                <w:szCs w:val="24"/>
                <w:lang w:eastAsia="zh-CN"/>
              </w:rPr>
              <w:t xml:space="preserve">Provide the forecast </w:t>
            </w:r>
            <w:r w:rsidR="00687624" w:rsidRPr="00954233">
              <w:rPr>
                <w:rFonts w:ascii="Calibri" w:hAnsi="Calibri" w:cs="Calibri" w:hint="eastAsia"/>
                <w:sz w:val="24"/>
                <w:szCs w:val="24"/>
                <w:lang w:eastAsia="zh-CN"/>
              </w:rPr>
              <w:t xml:space="preserve">change in PFI </w:t>
            </w:r>
            <w:r w:rsidR="00356AEC" w:rsidRPr="00954233">
              <w:rPr>
                <w:rFonts w:ascii="Calibri" w:hAnsi="Calibri" w:cs="Calibri" w:hint="eastAsia"/>
                <w:sz w:val="24"/>
                <w:szCs w:val="24"/>
                <w:lang w:eastAsia="zh-CN"/>
              </w:rPr>
              <w:t>expenditure</w:t>
            </w:r>
            <w:r w:rsidR="003D429C" w:rsidRPr="00954233">
              <w:rPr>
                <w:rFonts w:ascii="Calibri" w:hAnsi="Calibri" w:cs="Calibri" w:hint="eastAsia"/>
                <w:sz w:val="24"/>
                <w:szCs w:val="24"/>
                <w:lang w:eastAsia="zh-CN"/>
              </w:rPr>
              <w:t xml:space="preserve"> resulting from the changes in flows and loads</w:t>
            </w:r>
            <w:r w:rsidR="00587FDB" w:rsidRPr="00954233">
              <w:rPr>
                <w:rFonts w:ascii="Calibri" w:hAnsi="Calibri" w:cs="Calibri" w:hint="eastAsia"/>
                <w:sz w:val="24"/>
                <w:szCs w:val="24"/>
                <w:lang w:eastAsia="zh-CN"/>
              </w:rPr>
              <w:t xml:space="preserve">, relative to the baseline PFI </w:t>
            </w:r>
            <w:r w:rsidR="003D7E4C" w:rsidRPr="00954233">
              <w:rPr>
                <w:rFonts w:ascii="Calibri" w:hAnsi="Calibri" w:cs="Calibri" w:hint="eastAsia"/>
                <w:sz w:val="24"/>
                <w:szCs w:val="24"/>
                <w:lang w:eastAsia="zh-CN"/>
              </w:rPr>
              <w:t>expenditure value in 2024-25. The input number can be either positive or negative.</w:t>
            </w:r>
          </w:p>
        </w:tc>
        <w:tc>
          <w:tcPr>
            <w:tcW w:w="731" w:type="pct"/>
          </w:tcPr>
          <w:p w14:paraId="2F186FDE" w14:textId="77777777" w:rsidR="00537CDD" w:rsidRPr="00954233" w:rsidRDefault="00537CDD" w:rsidP="00537CDD">
            <w:pPr>
              <w:pStyle w:val="TableParagraph"/>
              <w:rPr>
                <w:rFonts w:ascii="Calibri" w:hAnsi="Calibri" w:cs="Calibri"/>
                <w:sz w:val="24"/>
                <w:szCs w:val="24"/>
              </w:rPr>
            </w:pPr>
            <w:r w:rsidRPr="00954233">
              <w:rPr>
                <w:rFonts w:ascii="Calibri" w:hAnsi="Calibri" w:cs="Calibri"/>
                <w:sz w:val="24"/>
                <w:szCs w:val="24"/>
              </w:rPr>
              <w:t>£m 2024-25</w:t>
            </w:r>
          </w:p>
          <w:p w14:paraId="6A3C5D35" w14:textId="57886FB0" w:rsidR="00A325FA" w:rsidRPr="00954233" w:rsidRDefault="00537CDD" w:rsidP="00537CDD">
            <w:pPr>
              <w:pStyle w:val="TableParagraph"/>
              <w:rPr>
                <w:rFonts w:ascii="Calibri" w:hAnsi="Calibri" w:cs="Calibri"/>
                <w:sz w:val="24"/>
                <w:szCs w:val="24"/>
              </w:rPr>
            </w:pPr>
            <w:r w:rsidRPr="00954233">
              <w:rPr>
                <w:rFonts w:ascii="Calibri" w:hAnsi="Calibri" w:cs="Calibri"/>
                <w:sz w:val="24"/>
                <w:szCs w:val="24"/>
              </w:rPr>
              <w:t>Price base</w:t>
            </w:r>
          </w:p>
        </w:tc>
      </w:tr>
      <w:tr w:rsidR="00F86BE2" w:rsidRPr="00FF4778" w14:paraId="17680F82" w14:textId="77777777" w:rsidTr="00954233">
        <w:tc>
          <w:tcPr>
            <w:tcW w:w="771" w:type="pct"/>
          </w:tcPr>
          <w:p w14:paraId="1EF081BD" w14:textId="05C8B2B8" w:rsidR="00F86BE2" w:rsidRPr="00954233" w:rsidRDefault="00F86BE2" w:rsidP="00542CFC">
            <w:pPr>
              <w:pStyle w:val="TableParagraph"/>
              <w:rPr>
                <w:rFonts w:ascii="Calibri" w:hAnsi="Calibri" w:cs="Calibri"/>
                <w:sz w:val="24"/>
                <w:szCs w:val="24"/>
                <w:lang w:eastAsia="zh-CN"/>
              </w:rPr>
            </w:pPr>
            <w:r w:rsidRPr="00954233">
              <w:rPr>
                <w:rFonts w:ascii="Calibri" w:hAnsi="Calibri" w:cs="Calibri" w:hint="eastAsia"/>
                <w:sz w:val="24"/>
                <w:szCs w:val="24"/>
                <w:lang w:eastAsia="zh-CN"/>
              </w:rPr>
              <w:t>7.15</w:t>
            </w:r>
          </w:p>
        </w:tc>
        <w:tc>
          <w:tcPr>
            <w:tcW w:w="1006" w:type="pct"/>
          </w:tcPr>
          <w:p w14:paraId="0BADF965" w14:textId="44F6E4EC" w:rsidR="00F86BE2" w:rsidRPr="00954233" w:rsidRDefault="00882DCA">
            <w:pPr>
              <w:pStyle w:val="TableParagraph"/>
              <w:rPr>
                <w:rFonts w:ascii="Calibri" w:hAnsi="Calibri" w:cs="Calibri"/>
                <w:sz w:val="24"/>
                <w:szCs w:val="24"/>
                <w:lang w:eastAsia="zh-CN"/>
              </w:rPr>
            </w:pPr>
            <w:r w:rsidRPr="00954233">
              <w:rPr>
                <w:rFonts w:ascii="Calibri" w:hAnsi="Calibri" w:cs="Calibri" w:hint="eastAsia"/>
                <w:sz w:val="24"/>
                <w:szCs w:val="24"/>
                <w:lang w:eastAsia="zh-CN"/>
              </w:rPr>
              <w:t>Total change in PFI expenditu</w:t>
            </w:r>
            <w:r w:rsidR="00537CDD" w:rsidRPr="00954233">
              <w:rPr>
                <w:rFonts w:ascii="Calibri" w:hAnsi="Calibri" w:cs="Calibri" w:hint="eastAsia"/>
                <w:sz w:val="24"/>
                <w:szCs w:val="24"/>
                <w:lang w:eastAsia="zh-CN"/>
              </w:rPr>
              <w:t>re</w:t>
            </w:r>
          </w:p>
        </w:tc>
        <w:tc>
          <w:tcPr>
            <w:tcW w:w="2491" w:type="pct"/>
          </w:tcPr>
          <w:p w14:paraId="2C4540FA" w14:textId="38771208" w:rsidR="00F86BE2" w:rsidRPr="00954233" w:rsidRDefault="00F37ABC" w:rsidP="00954233">
            <w:pPr>
              <w:pStyle w:val="TableParagraph"/>
              <w:spacing w:afterLines="60" w:after="144"/>
              <w:rPr>
                <w:rFonts w:ascii="Calibri" w:hAnsi="Calibri" w:cs="Calibri"/>
                <w:sz w:val="24"/>
                <w:szCs w:val="24"/>
                <w:lang w:eastAsia="zh-CN"/>
              </w:rPr>
            </w:pPr>
            <w:r w:rsidRPr="00954233">
              <w:rPr>
                <w:rFonts w:ascii="Calibri" w:hAnsi="Calibri" w:cs="Calibri" w:hint="eastAsia"/>
                <w:sz w:val="24"/>
                <w:szCs w:val="24"/>
                <w:lang w:eastAsia="zh-CN"/>
              </w:rPr>
              <w:t>Calculated total</w:t>
            </w:r>
            <w:r w:rsidR="00ED0E8A">
              <w:rPr>
                <w:rFonts w:ascii="Calibri" w:hAnsi="Calibri" w:cs="Calibri"/>
                <w:sz w:val="24"/>
                <w:szCs w:val="24"/>
                <w:lang w:eastAsia="zh-CN"/>
              </w:rPr>
              <w:t>.</w:t>
            </w:r>
          </w:p>
        </w:tc>
        <w:tc>
          <w:tcPr>
            <w:tcW w:w="731" w:type="pct"/>
          </w:tcPr>
          <w:p w14:paraId="120F798E" w14:textId="77777777" w:rsidR="00537CDD" w:rsidRPr="00954233" w:rsidRDefault="00537CDD" w:rsidP="00537CDD">
            <w:pPr>
              <w:pStyle w:val="TableParagraph"/>
              <w:rPr>
                <w:rFonts w:ascii="Calibri" w:hAnsi="Calibri" w:cs="Calibri"/>
                <w:sz w:val="24"/>
                <w:szCs w:val="24"/>
              </w:rPr>
            </w:pPr>
            <w:r w:rsidRPr="00954233">
              <w:rPr>
                <w:rFonts w:ascii="Calibri" w:hAnsi="Calibri" w:cs="Calibri"/>
                <w:sz w:val="24"/>
                <w:szCs w:val="24"/>
              </w:rPr>
              <w:t>£m 2024-25</w:t>
            </w:r>
          </w:p>
          <w:p w14:paraId="77DA93E1" w14:textId="76B6EE7C" w:rsidR="00F86BE2" w:rsidRPr="00954233" w:rsidRDefault="00537CDD" w:rsidP="00537CDD">
            <w:pPr>
              <w:pStyle w:val="TableParagraph"/>
              <w:rPr>
                <w:rFonts w:ascii="Calibri" w:hAnsi="Calibri" w:cs="Calibri"/>
                <w:sz w:val="24"/>
                <w:szCs w:val="24"/>
              </w:rPr>
            </w:pPr>
            <w:r w:rsidRPr="00954233">
              <w:rPr>
                <w:rFonts w:ascii="Calibri" w:hAnsi="Calibri" w:cs="Calibri"/>
                <w:sz w:val="24"/>
                <w:szCs w:val="24"/>
              </w:rPr>
              <w:t>Price base</w:t>
            </w:r>
          </w:p>
        </w:tc>
      </w:tr>
      <w:tr w:rsidR="00F86BE2" w:rsidRPr="00FF4778" w14:paraId="679B5834" w14:textId="77777777" w:rsidTr="00954233">
        <w:tc>
          <w:tcPr>
            <w:tcW w:w="771" w:type="pct"/>
          </w:tcPr>
          <w:p w14:paraId="0E0C8DEC" w14:textId="02889BF3" w:rsidR="00F86BE2" w:rsidRPr="00954233" w:rsidRDefault="00F86BE2" w:rsidP="00542CFC">
            <w:pPr>
              <w:pStyle w:val="TableParagraph"/>
              <w:rPr>
                <w:rFonts w:ascii="Calibri" w:hAnsi="Calibri" w:cs="Calibri"/>
                <w:sz w:val="24"/>
                <w:szCs w:val="24"/>
                <w:lang w:eastAsia="zh-CN"/>
              </w:rPr>
            </w:pPr>
            <w:r w:rsidRPr="00954233">
              <w:rPr>
                <w:rFonts w:ascii="Calibri" w:hAnsi="Calibri" w:cs="Calibri" w:hint="eastAsia"/>
                <w:sz w:val="24"/>
                <w:szCs w:val="24"/>
                <w:lang w:eastAsia="zh-CN"/>
              </w:rPr>
              <w:t>7.16</w:t>
            </w:r>
          </w:p>
        </w:tc>
        <w:tc>
          <w:tcPr>
            <w:tcW w:w="1006" w:type="pct"/>
          </w:tcPr>
          <w:p w14:paraId="12AD53A7" w14:textId="27FBF285" w:rsidR="00F86BE2" w:rsidRPr="00954233" w:rsidRDefault="00537CDD">
            <w:pPr>
              <w:pStyle w:val="TableParagraph"/>
              <w:rPr>
                <w:rFonts w:ascii="Calibri" w:hAnsi="Calibri" w:cs="Calibri"/>
                <w:sz w:val="24"/>
                <w:szCs w:val="24"/>
                <w:lang w:eastAsia="zh-CN"/>
              </w:rPr>
            </w:pPr>
            <w:r w:rsidRPr="00954233">
              <w:rPr>
                <w:rFonts w:ascii="Calibri" w:hAnsi="Calibri" w:cs="Calibri" w:hint="eastAsia"/>
                <w:sz w:val="24"/>
                <w:szCs w:val="24"/>
                <w:lang w:eastAsia="zh-CN"/>
              </w:rPr>
              <w:t>Total PFI expenditure</w:t>
            </w:r>
          </w:p>
        </w:tc>
        <w:tc>
          <w:tcPr>
            <w:tcW w:w="2491" w:type="pct"/>
          </w:tcPr>
          <w:p w14:paraId="1E6EFAFF" w14:textId="593E0E44" w:rsidR="00F86BE2" w:rsidRPr="00954233" w:rsidRDefault="00537CDD" w:rsidP="00954233">
            <w:pPr>
              <w:pStyle w:val="TableParagraph"/>
              <w:spacing w:afterLines="60" w:after="144"/>
              <w:rPr>
                <w:rFonts w:ascii="Calibri" w:hAnsi="Calibri" w:cs="Calibri"/>
                <w:sz w:val="24"/>
                <w:szCs w:val="24"/>
                <w:lang w:eastAsia="zh-CN"/>
              </w:rPr>
            </w:pPr>
            <w:r w:rsidRPr="00954233">
              <w:rPr>
                <w:rFonts w:ascii="Calibri" w:hAnsi="Calibri" w:cs="Calibri" w:hint="eastAsia"/>
                <w:sz w:val="24"/>
                <w:szCs w:val="24"/>
                <w:lang w:eastAsia="zh-CN"/>
              </w:rPr>
              <w:t>Calculated total</w:t>
            </w:r>
            <w:r w:rsidR="00ED0E8A">
              <w:rPr>
                <w:rFonts w:ascii="Calibri" w:hAnsi="Calibri" w:cs="Calibri"/>
                <w:sz w:val="24"/>
                <w:szCs w:val="24"/>
                <w:lang w:eastAsia="zh-CN"/>
              </w:rPr>
              <w:t>.</w:t>
            </w:r>
          </w:p>
        </w:tc>
        <w:tc>
          <w:tcPr>
            <w:tcW w:w="731" w:type="pct"/>
          </w:tcPr>
          <w:p w14:paraId="49B50823" w14:textId="77777777" w:rsidR="00537CDD" w:rsidRPr="00954233" w:rsidRDefault="00537CDD" w:rsidP="00537CDD">
            <w:pPr>
              <w:pStyle w:val="TableParagraph"/>
              <w:rPr>
                <w:rFonts w:ascii="Calibri" w:hAnsi="Calibri" w:cs="Calibri"/>
                <w:sz w:val="24"/>
                <w:szCs w:val="24"/>
              </w:rPr>
            </w:pPr>
            <w:r w:rsidRPr="00954233">
              <w:rPr>
                <w:rFonts w:ascii="Calibri" w:hAnsi="Calibri" w:cs="Calibri"/>
                <w:sz w:val="24"/>
                <w:szCs w:val="24"/>
              </w:rPr>
              <w:t>£m 2024-25</w:t>
            </w:r>
          </w:p>
          <w:p w14:paraId="229FCD7F" w14:textId="410602F4" w:rsidR="00F86BE2" w:rsidRPr="00954233" w:rsidRDefault="00537CDD" w:rsidP="00537CDD">
            <w:pPr>
              <w:pStyle w:val="TableParagraph"/>
              <w:rPr>
                <w:rFonts w:ascii="Calibri" w:hAnsi="Calibri" w:cs="Calibri"/>
                <w:sz w:val="24"/>
                <w:szCs w:val="24"/>
              </w:rPr>
            </w:pPr>
            <w:r w:rsidRPr="00954233">
              <w:rPr>
                <w:rFonts w:ascii="Calibri" w:hAnsi="Calibri" w:cs="Calibri"/>
                <w:sz w:val="24"/>
                <w:szCs w:val="24"/>
              </w:rPr>
              <w:t>Price base</w:t>
            </w:r>
          </w:p>
        </w:tc>
      </w:tr>
    </w:tbl>
    <w:p w14:paraId="1FB68000" w14:textId="77777777" w:rsidR="00542CFC" w:rsidRDefault="00542CFC" w:rsidP="00191AE8"/>
    <w:p w14:paraId="53AED07F" w14:textId="0501FCB0" w:rsidR="00065B40" w:rsidRDefault="00065B40" w:rsidP="00065B40">
      <w:pPr>
        <w:pStyle w:val="TableParagraph"/>
        <w:jc w:val="both"/>
        <w:rPr>
          <w:rFonts w:ascii="Calibri" w:hAnsi="Calibri" w:cs="Calibri"/>
          <w:b/>
          <w:color w:val="064276" w:themeColor="text2"/>
          <w:sz w:val="28"/>
          <w:szCs w:val="28"/>
        </w:rPr>
      </w:pPr>
      <w:r w:rsidRPr="00717E2F">
        <w:rPr>
          <w:rFonts w:ascii="Calibri" w:hAnsi="Calibri" w:cs="Calibri"/>
          <w:b/>
          <w:color w:val="064276" w:themeColor="text2"/>
          <w:sz w:val="28"/>
          <w:szCs w:val="28"/>
        </w:rPr>
        <w:t xml:space="preserve">Block </w:t>
      </w:r>
      <w:r>
        <w:rPr>
          <w:rFonts w:ascii="Calibri" w:hAnsi="Calibri" w:cs="Calibri"/>
          <w:b/>
          <w:color w:val="064276" w:themeColor="text2"/>
          <w:sz w:val="28"/>
          <w:szCs w:val="28"/>
        </w:rPr>
        <w:t>C</w:t>
      </w:r>
      <w:r w:rsidRPr="00717E2F">
        <w:rPr>
          <w:rFonts w:ascii="Calibri" w:hAnsi="Calibri" w:cs="Calibri"/>
          <w:b/>
          <w:color w:val="064276" w:themeColor="text2"/>
          <w:sz w:val="28"/>
          <w:szCs w:val="28"/>
        </w:rPr>
        <w:t xml:space="preserve">: </w:t>
      </w:r>
      <w:r>
        <w:rPr>
          <w:rFonts w:ascii="Calibri" w:hAnsi="Calibri" w:cs="Calibri"/>
          <w:b/>
          <w:color w:val="064276" w:themeColor="text2"/>
          <w:sz w:val="28"/>
          <w:szCs w:val="28"/>
        </w:rPr>
        <w:t xml:space="preserve">Other </w:t>
      </w:r>
      <w:r w:rsidR="006B7C22">
        <w:rPr>
          <w:rFonts w:ascii="Calibri" w:hAnsi="Calibri" w:cs="Calibri"/>
          <w:b/>
          <w:color w:val="064276" w:themeColor="text2"/>
          <w:sz w:val="28"/>
          <w:szCs w:val="28"/>
        </w:rPr>
        <w:t>C</w:t>
      </w:r>
      <w:r>
        <w:rPr>
          <w:rFonts w:ascii="Calibri" w:hAnsi="Calibri" w:cs="Calibri"/>
          <w:b/>
          <w:color w:val="064276" w:themeColor="text2"/>
          <w:sz w:val="28"/>
          <w:szCs w:val="28"/>
        </w:rPr>
        <w:t>osts</w:t>
      </w:r>
    </w:p>
    <w:tbl>
      <w:tblPr>
        <w:tblStyle w:val="Blueline"/>
        <w:tblW w:w="5000" w:type="pct"/>
        <w:tblLook w:val="04A0" w:firstRow="1" w:lastRow="0" w:firstColumn="1" w:lastColumn="0" w:noHBand="0" w:noVBand="1"/>
      </w:tblPr>
      <w:tblGrid>
        <w:gridCol w:w="1961"/>
        <w:gridCol w:w="3001"/>
        <w:gridCol w:w="7431"/>
        <w:gridCol w:w="2177"/>
      </w:tblGrid>
      <w:tr w:rsidR="00C43448" w:rsidRPr="00FF4778" w14:paraId="62219204"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673" w:type="pct"/>
          </w:tcPr>
          <w:p w14:paraId="41A013B8" w14:textId="34F6B0F4" w:rsidR="00C43448" w:rsidRPr="00954233" w:rsidRDefault="00C43448" w:rsidP="00954233">
            <w:pPr>
              <w:pStyle w:val="TableParagraph"/>
              <w:keepNext/>
              <w:widowControl/>
              <w:rPr>
                <w:rFonts w:ascii="Calibri" w:hAnsi="Calibri" w:cs="Calibri"/>
                <w:sz w:val="24"/>
                <w:szCs w:val="24"/>
              </w:rPr>
            </w:pPr>
            <w:r w:rsidRPr="00954233">
              <w:rPr>
                <w:rFonts w:ascii="Calibri" w:hAnsi="Calibri" w:cs="Calibri"/>
                <w:sz w:val="24"/>
                <w:szCs w:val="24"/>
              </w:rPr>
              <w:t>Line</w:t>
            </w:r>
            <w:r w:rsidR="00BF3BBC" w:rsidRPr="00954233">
              <w:rPr>
                <w:rFonts w:ascii="Calibri" w:hAnsi="Calibri" w:cs="Calibri"/>
                <w:sz w:val="24"/>
                <w:szCs w:val="24"/>
              </w:rPr>
              <w:t xml:space="preserve"> Reference</w:t>
            </w:r>
          </w:p>
        </w:tc>
        <w:tc>
          <w:tcPr>
            <w:tcW w:w="1030" w:type="pct"/>
          </w:tcPr>
          <w:p w14:paraId="352163F1" w14:textId="77777777" w:rsidR="00C43448" w:rsidRPr="00954233" w:rsidRDefault="00C43448" w:rsidP="00954233">
            <w:pPr>
              <w:pStyle w:val="TableParagraph"/>
              <w:keepNext/>
              <w:widowControl/>
              <w:rPr>
                <w:rFonts w:ascii="Calibri" w:hAnsi="Calibri" w:cs="Calibri"/>
                <w:sz w:val="24"/>
                <w:szCs w:val="24"/>
              </w:rPr>
            </w:pPr>
            <w:r w:rsidRPr="00954233">
              <w:rPr>
                <w:rFonts w:ascii="Calibri" w:hAnsi="Calibri" w:cs="Calibri"/>
                <w:sz w:val="24"/>
                <w:szCs w:val="24"/>
              </w:rPr>
              <w:t>Title</w:t>
            </w:r>
          </w:p>
        </w:tc>
        <w:tc>
          <w:tcPr>
            <w:tcW w:w="2550" w:type="pct"/>
          </w:tcPr>
          <w:p w14:paraId="5D03F62E" w14:textId="77777777" w:rsidR="00C43448" w:rsidRPr="00954233" w:rsidRDefault="00C43448" w:rsidP="00954233">
            <w:pPr>
              <w:pStyle w:val="TableParagraph"/>
              <w:keepNext/>
              <w:widowControl/>
              <w:rPr>
                <w:rFonts w:ascii="Calibri" w:hAnsi="Calibri" w:cs="Calibri"/>
                <w:sz w:val="24"/>
                <w:szCs w:val="24"/>
              </w:rPr>
            </w:pPr>
            <w:r w:rsidRPr="00954233">
              <w:rPr>
                <w:rFonts w:ascii="Calibri" w:hAnsi="Calibri" w:cs="Calibri"/>
                <w:sz w:val="24"/>
                <w:szCs w:val="24"/>
              </w:rPr>
              <w:t>Definition</w:t>
            </w:r>
          </w:p>
        </w:tc>
        <w:tc>
          <w:tcPr>
            <w:tcW w:w="747" w:type="pct"/>
          </w:tcPr>
          <w:p w14:paraId="7C08368C" w14:textId="77777777" w:rsidR="00C43448" w:rsidRPr="00954233" w:rsidRDefault="00C43448" w:rsidP="00954233">
            <w:pPr>
              <w:pStyle w:val="TableParagraph"/>
              <w:keepNext/>
              <w:widowControl/>
              <w:rPr>
                <w:rFonts w:ascii="Calibri" w:hAnsi="Calibri" w:cs="Calibri"/>
                <w:sz w:val="24"/>
                <w:szCs w:val="24"/>
              </w:rPr>
            </w:pPr>
            <w:r w:rsidRPr="00954233">
              <w:rPr>
                <w:rFonts w:ascii="Calibri" w:hAnsi="Calibri" w:cs="Calibri"/>
                <w:sz w:val="24"/>
                <w:szCs w:val="24"/>
              </w:rPr>
              <w:t xml:space="preserve">Unit </w:t>
            </w:r>
          </w:p>
        </w:tc>
      </w:tr>
      <w:tr w:rsidR="00C43448" w:rsidRPr="00FF4778" w14:paraId="698FAF32" w14:textId="77777777" w:rsidTr="00954233">
        <w:tc>
          <w:tcPr>
            <w:tcW w:w="673" w:type="pct"/>
          </w:tcPr>
          <w:p w14:paraId="3CEB98B7" w14:textId="43DCF1FF" w:rsidR="00C43448" w:rsidRPr="00954233" w:rsidRDefault="00BE1531">
            <w:pPr>
              <w:pStyle w:val="TableParagraph"/>
              <w:rPr>
                <w:rFonts w:ascii="Calibri" w:hAnsi="Calibri" w:cs="Calibri"/>
                <w:sz w:val="24"/>
                <w:szCs w:val="24"/>
              </w:rPr>
            </w:pPr>
            <w:r w:rsidRPr="00954233">
              <w:rPr>
                <w:rFonts w:ascii="Calibri" w:hAnsi="Calibri" w:cs="Calibri"/>
                <w:sz w:val="24"/>
                <w:szCs w:val="24"/>
              </w:rPr>
              <w:t>7.</w:t>
            </w:r>
            <w:r w:rsidR="00D25A9A" w:rsidRPr="00954233">
              <w:rPr>
                <w:rFonts w:ascii="Calibri" w:hAnsi="Calibri" w:cs="Calibri"/>
                <w:sz w:val="24"/>
                <w:szCs w:val="24"/>
              </w:rPr>
              <w:t>1</w:t>
            </w:r>
            <w:r w:rsidR="00B405C7" w:rsidRPr="00954233">
              <w:rPr>
                <w:rFonts w:ascii="Calibri" w:hAnsi="Calibri" w:cs="Calibri"/>
                <w:sz w:val="24"/>
                <w:szCs w:val="24"/>
                <w:lang w:eastAsia="zh-CN"/>
              </w:rPr>
              <w:t>7</w:t>
            </w:r>
          </w:p>
        </w:tc>
        <w:tc>
          <w:tcPr>
            <w:tcW w:w="1030" w:type="pct"/>
          </w:tcPr>
          <w:p w14:paraId="20DAAFBF" w14:textId="3375DCBF" w:rsidR="00C43448" w:rsidRPr="00954233" w:rsidRDefault="0075458D" w:rsidP="0075458D">
            <w:pPr>
              <w:pStyle w:val="TableParagraph"/>
              <w:rPr>
                <w:rFonts w:ascii="Calibri" w:hAnsi="Calibri" w:cs="Calibri"/>
                <w:sz w:val="24"/>
                <w:szCs w:val="24"/>
              </w:rPr>
            </w:pPr>
            <w:r w:rsidRPr="00954233">
              <w:rPr>
                <w:rFonts w:ascii="Calibri" w:hAnsi="Calibri" w:cs="Calibri"/>
                <w:sz w:val="24"/>
                <w:szCs w:val="24"/>
              </w:rPr>
              <w:t>PFI costs</w:t>
            </w:r>
          </w:p>
        </w:tc>
        <w:tc>
          <w:tcPr>
            <w:tcW w:w="2550" w:type="pct"/>
          </w:tcPr>
          <w:p w14:paraId="2866223D" w14:textId="68657F55" w:rsidR="00AC4EB9" w:rsidRPr="00954233" w:rsidRDefault="0021538F" w:rsidP="00954233">
            <w:pPr>
              <w:pStyle w:val="TableParagraph"/>
              <w:spacing w:afterLines="60" w:after="144"/>
              <w:rPr>
                <w:sz w:val="24"/>
                <w:szCs w:val="24"/>
              </w:rPr>
            </w:pPr>
            <w:r w:rsidRPr="00954233">
              <w:rPr>
                <w:sz w:val="24"/>
                <w:szCs w:val="24"/>
              </w:rPr>
              <w:t>Regular payments to third-party organisations providing wastewater assets and services on behalf of Scottish Water for a period under legacy contracts</w:t>
            </w:r>
            <w:r w:rsidR="00D8584E" w:rsidRPr="00954233">
              <w:rPr>
                <w:sz w:val="24"/>
                <w:szCs w:val="24"/>
              </w:rPr>
              <w:t>.</w:t>
            </w:r>
          </w:p>
          <w:p w14:paraId="0094F048" w14:textId="33A9EF4E" w:rsidR="00C43448" w:rsidRPr="00954233" w:rsidRDefault="00AC4EB9" w:rsidP="00954233">
            <w:pPr>
              <w:pStyle w:val="TableParagraph"/>
              <w:spacing w:afterLines="60" w:after="144"/>
              <w:rPr>
                <w:rFonts w:ascii="Calibri" w:hAnsi="Calibri" w:cs="Calibri"/>
                <w:sz w:val="24"/>
                <w:szCs w:val="24"/>
                <w:lang w:eastAsia="zh-CN"/>
              </w:rPr>
            </w:pPr>
            <w:r w:rsidRPr="00954233">
              <w:rPr>
                <w:rFonts w:ascii="Calibri" w:hAnsi="Calibri" w:cs="Calibri" w:hint="eastAsia"/>
                <w:sz w:val="24"/>
                <w:szCs w:val="24"/>
                <w:lang w:eastAsia="zh-CN"/>
              </w:rPr>
              <w:t xml:space="preserve">Equals to </w:t>
            </w:r>
            <w:r w:rsidR="00B46A9C" w:rsidRPr="00954233">
              <w:rPr>
                <w:rFonts w:ascii="Calibri" w:hAnsi="Calibri" w:cs="Calibri" w:hint="eastAsia"/>
                <w:sz w:val="24"/>
                <w:szCs w:val="24"/>
                <w:lang w:eastAsia="zh-CN"/>
              </w:rPr>
              <w:t>line 7.16.</w:t>
            </w:r>
          </w:p>
        </w:tc>
        <w:tc>
          <w:tcPr>
            <w:tcW w:w="747" w:type="pct"/>
          </w:tcPr>
          <w:p w14:paraId="214EE562"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6CD2AEFA" w14:textId="3F1A7C97" w:rsidR="00C43448" w:rsidRPr="00954233" w:rsidRDefault="00881D79">
            <w:pPr>
              <w:pStyle w:val="TableParagraph"/>
              <w:rPr>
                <w:rFonts w:ascii="Calibri" w:hAnsi="Calibri" w:cs="Calibri"/>
                <w:sz w:val="24"/>
                <w:szCs w:val="24"/>
              </w:rPr>
            </w:pPr>
            <w:r w:rsidRPr="00954233">
              <w:rPr>
                <w:rFonts w:ascii="Calibri" w:hAnsi="Calibri" w:cs="Calibri"/>
                <w:sz w:val="24"/>
                <w:szCs w:val="24"/>
              </w:rPr>
              <w:t>Price base</w:t>
            </w:r>
          </w:p>
        </w:tc>
      </w:tr>
      <w:tr w:rsidR="00C43448" w:rsidRPr="00FF4778" w14:paraId="6ADD8E8A" w14:textId="77777777" w:rsidTr="00954233">
        <w:tc>
          <w:tcPr>
            <w:tcW w:w="673" w:type="pct"/>
          </w:tcPr>
          <w:p w14:paraId="4840F8A4" w14:textId="762A9514" w:rsidR="00C43448" w:rsidRPr="00954233" w:rsidRDefault="00BE1531">
            <w:pPr>
              <w:pStyle w:val="TableParagraph"/>
              <w:rPr>
                <w:rFonts w:ascii="Calibri" w:hAnsi="Calibri" w:cs="Calibri"/>
                <w:sz w:val="24"/>
                <w:szCs w:val="24"/>
              </w:rPr>
            </w:pPr>
            <w:r w:rsidRPr="00954233">
              <w:rPr>
                <w:rFonts w:ascii="Calibri" w:hAnsi="Calibri" w:cs="Calibri"/>
                <w:sz w:val="24"/>
                <w:szCs w:val="24"/>
              </w:rPr>
              <w:t>7.</w:t>
            </w:r>
            <w:r w:rsidR="00D25A9A" w:rsidRPr="00954233">
              <w:rPr>
                <w:rFonts w:ascii="Calibri" w:hAnsi="Calibri" w:cs="Calibri"/>
                <w:sz w:val="24"/>
                <w:szCs w:val="24"/>
              </w:rPr>
              <w:t>1</w:t>
            </w:r>
            <w:r w:rsidR="00B300D7" w:rsidRPr="00954233">
              <w:rPr>
                <w:rFonts w:ascii="Calibri" w:hAnsi="Calibri" w:cs="Calibri"/>
                <w:sz w:val="24"/>
                <w:szCs w:val="24"/>
                <w:lang w:eastAsia="zh-CN"/>
              </w:rPr>
              <w:t>8</w:t>
            </w:r>
          </w:p>
        </w:tc>
        <w:tc>
          <w:tcPr>
            <w:tcW w:w="1030" w:type="pct"/>
          </w:tcPr>
          <w:p w14:paraId="7F8F7F7F" w14:textId="4E4B40FA" w:rsidR="00C43448" w:rsidRPr="00954233" w:rsidRDefault="0075458D">
            <w:pPr>
              <w:pStyle w:val="TableParagraph"/>
              <w:rPr>
                <w:rFonts w:ascii="Calibri" w:hAnsi="Calibri" w:cs="Calibri"/>
                <w:sz w:val="24"/>
                <w:szCs w:val="24"/>
              </w:rPr>
            </w:pPr>
            <w:r w:rsidRPr="00954233">
              <w:rPr>
                <w:rFonts w:ascii="Calibri" w:hAnsi="Calibri" w:cs="Calibri"/>
                <w:sz w:val="24"/>
                <w:szCs w:val="24"/>
              </w:rPr>
              <w:t>Interest</w:t>
            </w:r>
          </w:p>
        </w:tc>
        <w:tc>
          <w:tcPr>
            <w:tcW w:w="2550" w:type="pct"/>
          </w:tcPr>
          <w:p w14:paraId="3F1B15C3" w14:textId="14A3167C" w:rsidR="00C43448" w:rsidRPr="00954233" w:rsidRDefault="00761F1C" w:rsidP="00954233">
            <w:pPr>
              <w:pStyle w:val="TableParagraph"/>
              <w:spacing w:afterLines="60" w:after="144"/>
              <w:rPr>
                <w:rFonts w:ascii="Calibri" w:hAnsi="Calibri" w:cs="Calibri"/>
                <w:sz w:val="24"/>
                <w:szCs w:val="24"/>
              </w:rPr>
            </w:pPr>
            <w:r w:rsidRPr="00954233">
              <w:rPr>
                <w:sz w:val="24"/>
                <w:szCs w:val="24"/>
              </w:rPr>
              <w:t>The finance costs on Scottish Water’s existing loans and additional borrowing that Scottish Water receives each year from the Scottish Government (less the interest on the loans repaid in the year). It is also net of any interest that Scottish Water receives on any cash balances that it holds.</w:t>
            </w:r>
          </w:p>
        </w:tc>
        <w:tc>
          <w:tcPr>
            <w:tcW w:w="747" w:type="pct"/>
          </w:tcPr>
          <w:p w14:paraId="0873076D"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0D1E9F9A" w14:textId="628C5F0E" w:rsidR="00C43448" w:rsidRPr="00954233" w:rsidRDefault="00881D79">
            <w:pPr>
              <w:pStyle w:val="TableParagraph"/>
              <w:rPr>
                <w:rFonts w:ascii="Calibri" w:hAnsi="Calibri" w:cs="Calibri"/>
                <w:sz w:val="24"/>
                <w:szCs w:val="24"/>
              </w:rPr>
            </w:pPr>
            <w:r w:rsidRPr="00954233">
              <w:rPr>
                <w:rFonts w:ascii="Calibri" w:hAnsi="Calibri" w:cs="Calibri"/>
                <w:sz w:val="24"/>
                <w:szCs w:val="24"/>
              </w:rPr>
              <w:t>Price base</w:t>
            </w:r>
          </w:p>
        </w:tc>
      </w:tr>
      <w:tr w:rsidR="00C43448" w:rsidRPr="00FF4778" w14:paraId="10C91B0D" w14:textId="77777777" w:rsidTr="00954233">
        <w:tc>
          <w:tcPr>
            <w:tcW w:w="673" w:type="pct"/>
          </w:tcPr>
          <w:p w14:paraId="50B23BCB" w14:textId="3E278403" w:rsidR="00C43448" w:rsidRPr="00954233" w:rsidRDefault="00BE1531">
            <w:pPr>
              <w:pStyle w:val="TableParagraph"/>
              <w:rPr>
                <w:rFonts w:ascii="Calibri" w:hAnsi="Calibri" w:cs="Calibri"/>
                <w:sz w:val="24"/>
                <w:szCs w:val="24"/>
              </w:rPr>
            </w:pPr>
            <w:r w:rsidRPr="00954233">
              <w:rPr>
                <w:rFonts w:ascii="Calibri" w:hAnsi="Calibri" w:cs="Calibri"/>
                <w:sz w:val="24"/>
                <w:szCs w:val="24"/>
              </w:rPr>
              <w:t>7.</w:t>
            </w:r>
            <w:r w:rsidR="00D25A9A" w:rsidRPr="00954233">
              <w:rPr>
                <w:rFonts w:ascii="Calibri" w:hAnsi="Calibri" w:cs="Calibri"/>
                <w:sz w:val="24"/>
                <w:szCs w:val="24"/>
              </w:rPr>
              <w:t>1</w:t>
            </w:r>
            <w:r w:rsidR="00B300D7" w:rsidRPr="00954233">
              <w:rPr>
                <w:rFonts w:ascii="Calibri" w:hAnsi="Calibri" w:cs="Calibri"/>
                <w:sz w:val="24"/>
                <w:szCs w:val="24"/>
                <w:lang w:eastAsia="zh-CN"/>
              </w:rPr>
              <w:t>9</w:t>
            </w:r>
          </w:p>
        </w:tc>
        <w:tc>
          <w:tcPr>
            <w:tcW w:w="1030" w:type="pct"/>
          </w:tcPr>
          <w:p w14:paraId="60ACB7BB" w14:textId="62FA0ADF" w:rsidR="00C43448" w:rsidRPr="00954233" w:rsidRDefault="0075458D">
            <w:pPr>
              <w:pStyle w:val="TableParagraph"/>
              <w:rPr>
                <w:rFonts w:ascii="Calibri" w:hAnsi="Calibri" w:cs="Calibri"/>
                <w:sz w:val="24"/>
                <w:szCs w:val="24"/>
              </w:rPr>
            </w:pPr>
            <w:r w:rsidRPr="00954233">
              <w:rPr>
                <w:rFonts w:ascii="Calibri" w:hAnsi="Calibri" w:cs="Calibri"/>
                <w:sz w:val="24"/>
                <w:szCs w:val="24"/>
              </w:rPr>
              <w:t>Taxation</w:t>
            </w:r>
          </w:p>
        </w:tc>
        <w:tc>
          <w:tcPr>
            <w:tcW w:w="2550" w:type="pct"/>
          </w:tcPr>
          <w:p w14:paraId="5D116ABB" w14:textId="2E3CDD1C" w:rsidR="00C43448" w:rsidRPr="00954233" w:rsidRDefault="00736E5B" w:rsidP="00954233">
            <w:pPr>
              <w:pStyle w:val="TableParagraph"/>
              <w:spacing w:afterLines="60" w:after="144"/>
              <w:rPr>
                <w:rFonts w:ascii="Calibri" w:hAnsi="Calibri" w:cs="Calibri"/>
                <w:sz w:val="24"/>
                <w:szCs w:val="24"/>
              </w:rPr>
            </w:pPr>
            <w:r w:rsidRPr="00954233">
              <w:rPr>
                <w:sz w:val="24"/>
                <w:szCs w:val="24"/>
              </w:rPr>
              <w:t>Corporation tax payable to HMRC on profits made during the financial year. </w:t>
            </w:r>
          </w:p>
        </w:tc>
        <w:tc>
          <w:tcPr>
            <w:tcW w:w="747" w:type="pct"/>
          </w:tcPr>
          <w:p w14:paraId="0C737C8C"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0038740F" w14:textId="2B93FA64" w:rsidR="00C43448" w:rsidRPr="00954233" w:rsidRDefault="00881D79">
            <w:pPr>
              <w:pStyle w:val="TableParagraph"/>
              <w:rPr>
                <w:rFonts w:ascii="Calibri" w:hAnsi="Calibri" w:cs="Calibri"/>
                <w:sz w:val="24"/>
                <w:szCs w:val="24"/>
              </w:rPr>
            </w:pPr>
            <w:r w:rsidRPr="00954233">
              <w:rPr>
                <w:rFonts w:ascii="Calibri" w:hAnsi="Calibri" w:cs="Calibri"/>
                <w:sz w:val="24"/>
                <w:szCs w:val="24"/>
              </w:rPr>
              <w:t>Price base</w:t>
            </w:r>
          </w:p>
        </w:tc>
      </w:tr>
      <w:tr w:rsidR="00C43448" w:rsidRPr="00FF4778" w14:paraId="3CD4651E" w14:textId="77777777" w:rsidTr="00954233">
        <w:tc>
          <w:tcPr>
            <w:tcW w:w="673" w:type="pct"/>
          </w:tcPr>
          <w:p w14:paraId="0E1F6CA9" w14:textId="66F9A877" w:rsidR="00C43448" w:rsidRPr="00954233" w:rsidRDefault="00BE1531">
            <w:pPr>
              <w:pStyle w:val="TableParagraph"/>
              <w:rPr>
                <w:rFonts w:ascii="Calibri" w:hAnsi="Calibri" w:cs="Calibri"/>
                <w:sz w:val="24"/>
                <w:szCs w:val="24"/>
              </w:rPr>
            </w:pPr>
            <w:r w:rsidRPr="00954233">
              <w:rPr>
                <w:rFonts w:ascii="Calibri" w:hAnsi="Calibri" w:cs="Calibri"/>
                <w:sz w:val="24"/>
                <w:szCs w:val="24"/>
              </w:rPr>
              <w:lastRenderedPageBreak/>
              <w:t>7.</w:t>
            </w:r>
            <w:r w:rsidR="00B300D7" w:rsidRPr="00954233">
              <w:rPr>
                <w:rFonts w:ascii="Calibri" w:hAnsi="Calibri" w:cs="Calibri"/>
                <w:sz w:val="24"/>
                <w:szCs w:val="24"/>
                <w:lang w:eastAsia="zh-CN"/>
              </w:rPr>
              <w:t>20</w:t>
            </w:r>
          </w:p>
        </w:tc>
        <w:tc>
          <w:tcPr>
            <w:tcW w:w="1030" w:type="pct"/>
          </w:tcPr>
          <w:p w14:paraId="6698544F" w14:textId="422E3BE0" w:rsidR="00C43448" w:rsidRPr="00954233" w:rsidRDefault="001259A8">
            <w:pPr>
              <w:pStyle w:val="TableParagraph"/>
              <w:rPr>
                <w:rFonts w:ascii="Calibri" w:hAnsi="Calibri" w:cs="Calibri"/>
                <w:sz w:val="24"/>
                <w:szCs w:val="24"/>
              </w:rPr>
            </w:pPr>
            <w:r w:rsidRPr="00954233">
              <w:rPr>
                <w:rFonts w:ascii="Calibri" w:hAnsi="Calibri" w:cs="Calibri"/>
                <w:sz w:val="24"/>
                <w:szCs w:val="24"/>
              </w:rPr>
              <w:t>Reasonable Cost Contribution</w:t>
            </w:r>
          </w:p>
        </w:tc>
        <w:tc>
          <w:tcPr>
            <w:tcW w:w="2550" w:type="pct"/>
          </w:tcPr>
          <w:p w14:paraId="7CE74094" w14:textId="42AC6553" w:rsidR="00C43448" w:rsidRPr="00954233" w:rsidRDefault="00C27320"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The gross costs associated with </w:t>
            </w:r>
            <w:r w:rsidR="00221709" w:rsidRPr="00954233">
              <w:rPr>
                <w:rFonts w:ascii="Calibri" w:hAnsi="Calibri" w:cs="Calibri"/>
                <w:sz w:val="24"/>
                <w:szCs w:val="24"/>
              </w:rPr>
              <w:t>providing local distribution assets for water and wastewater services to provide for new customers with no net deterioration of existing service levels</w:t>
            </w:r>
            <w:r w:rsidRPr="00954233">
              <w:rPr>
                <w:rFonts w:ascii="Calibri" w:hAnsi="Calibri" w:cs="Calibri"/>
                <w:sz w:val="24"/>
                <w:szCs w:val="24"/>
              </w:rPr>
              <w:t xml:space="preserve">. </w:t>
            </w:r>
          </w:p>
        </w:tc>
        <w:tc>
          <w:tcPr>
            <w:tcW w:w="747" w:type="pct"/>
          </w:tcPr>
          <w:p w14:paraId="7A1A50EE"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4EA57709" w14:textId="7C0EF19F" w:rsidR="00C43448" w:rsidRPr="00954233" w:rsidRDefault="00881D79">
            <w:pPr>
              <w:pStyle w:val="TableParagraph"/>
              <w:rPr>
                <w:rFonts w:ascii="Calibri" w:hAnsi="Calibri" w:cs="Calibri"/>
                <w:sz w:val="24"/>
                <w:szCs w:val="24"/>
              </w:rPr>
            </w:pPr>
            <w:r w:rsidRPr="00954233">
              <w:rPr>
                <w:rFonts w:ascii="Calibri" w:hAnsi="Calibri" w:cs="Calibri"/>
                <w:sz w:val="24"/>
                <w:szCs w:val="24"/>
              </w:rPr>
              <w:t>Price base</w:t>
            </w:r>
          </w:p>
        </w:tc>
      </w:tr>
      <w:tr w:rsidR="00F85C5C" w:rsidRPr="00FF4778" w14:paraId="1DE309EC" w14:textId="77777777" w:rsidTr="00954233">
        <w:tc>
          <w:tcPr>
            <w:tcW w:w="673" w:type="pct"/>
          </w:tcPr>
          <w:p w14:paraId="7A5FACCA" w14:textId="7A12C2DE" w:rsidR="00F85C5C" w:rsidRPr="00954233" w:rsidRDefault="00F85C5C">
            <w:pPr>
              <w:pStyle w:val="TableParagraph"/>
              <w:rPr>
                <w:rFonts w:ascii="Calibri" w:hAnsi="Calibri" w:cs="Calibri"/>
                <w:sz w:val="24"/>
                <w:szCs w:val="24"/>
              </w:rPr>
            </w:pPr>
            <w:r w:rsidRPr="00954233">
              <w:rPr>
                <w:rFonts w:ascii="Calibri" w:hAnsi="Calibri" w:cs="Calibri"/>
                <w:sz w:val="24"/>
                <w:szCs w:val="24"/>
              </w:rPr>
              <w:t>7.</w:t>
            </w:r>
            <w:r w:rsidR="00B300D7" w:rsidRPr="00954233">
              <w:rPr>
                <w:rFonts w:ascii="Calibri" w:hAnsi="Calibri" w:cs="Calibri" w:hint="eastAsia"/>
                <w:sz w:val="24"/>
                <w:szCs w:val="24"/>
                <w:lang w:eastAsia="zh-CN"/>
              </w:rPr>
              <w:t>21</w:t>
            </w:r>
          </w:p>
        </w:tc>
        <w:tc>
          <w:tcPr>
            <w:tcW w:w="1030" w:type="pct"/>
          </w:tcPr>
          <w:p w14:paraId="4374AE8E" w14:textId="5C723A0B" w:rsidR="00F85C5C" w:rsidRPr="00954233" w:rsidRDefault="00AE57C6">
            <w:pPr>
              <w:pStyle w:val="TableParagraph"/>
              <w:rPr>
                <w:rFonts w:ascii="Calibri" w:hAnsi="Calibri" w:cs="Calibri"/>
                <w:sz w:val="24"/>
                <w:szCs w:val="24"/>
              </w:rPr>
            </w:pPr>
            <w:r w:rsidRPr="00954233">
              <w:rPr>
                <w:rFonts w:ascii="Calibri" w:hAnsi="Calibri" w:cs="Calibri"/>
                <w:sz w:val="24"/>
                <w:szCs w:val="24"/>
              </w:rPr>
              <w:t>Total other costs</w:t>
            </w:r>
          </w:p>
        </w:tc>
        <w:tc>
          <w:tcPr>
            <w:tcW w:w="2550" w:type="pct"/>
          </w:tcPr>
          <w:p w14:paraId="6E594A16" w14:textId="476DB32C" w:rsidR="00F85C5C" w:rsidRPr="00954233" w:rsidRDefault="00AE57C6" w:rsidP="00954233">
            <w:pPr>
              <w:pStyle w:val="TableParagraph"/>
              <w:spacing w:afterLines="60" w:after="144"/>
              <w:rPr>
                <w:rFonts w:ascii="Calibri" w:hAnsi="Calibri" w:cs="Calibri"/>
                <w:sz w:val="24"/>
                <w:szCs w:val="24"/>
              </w:rPr>
            </w:pPr>
            <w:r w:rsidRPr="00954233">
              <w:rPr>
                <w:rFonts w:ascii="Calibri" w:hAnsi="Calibri" w:cs="Calibri"/>
                <w:sz w:val="24"/>
                <w:szCs w:val="24"/>
              </w:rPr>
              <w:t>Calculated total</w:t>
            </w:r>
            <w:r w:rsidR="00ED0E8A">
              <w:rPr>
                <w:rFonts w:ascii="Calibri" w:hAnsi="Calibri" w:cs="Calibri"/>
                <w:sz w:val="24"/>
                <w:szCs w:val="24"/>
              </w:rPr>
              <w:t>.</w:t>
            </w:r>
          </w:p>
        </w:tc>
        <w:tc>
          <w:tcPr>
            <w:tcW w:w="747" w:type="pct"/>
          </w:tcPr>
          <w:p w14:paraId="0016B529"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727C1949" w14:textId="02309182" w:rsidR="00F85C5C" w:rsidRPr="00954233" w:rsidRDefault="004C24BD" w:rsidP="004C24BD">
            <w:pPr>
              <w:pStyle w:val="TableParagraph"/>
              <w:rPr>
                <w:rFonts w:ascii="Calibri" w:hAnsi="Calibri" w:cs="Calibri"/>
                <w:sz w:val="24"/>
                <w:szCs w:val="24"/>
              </w:rPr>
            </w:pPr>
            <w:r w:rsidRPr="00954233">
              <w:rPr>
                <w:rFonts w:ascii="Calibri" w:hAnsi="Calibri" w:cs="Calibri"/>
                <w:sz w:val="24"/>
                <w:szCs w:val="24"/>
              </w:rPr>
              <w:t>Price base</w:t>
            </w:r>
          </w:p>
        </w:tc>
      </w:tr>
      <w:tr w:rsidR="00FB381E" w:rsidRPr="00F65FC3" w14:paraId="7BEEEDC1" w14:textId="77777777" w:rsidTr="00F65FC3">
        <w:tc>
          <w:tcPr>
            <w:tcW w:w="673" w:type="pct"/>
          </w:tcPr>
          <w:p w14:paraId="636B87B0" w14:textId="12AEBBBD"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7.</w:t>
            </w:r>
            <w:r w:rsidRPr="00154DEE">
              <w:rPr>
                <w:rFonts w:ascii="Calibri" w:hAnsi="Calibri" w:cs="Calibri" w:hint="eastAsia"/>
                <w:sz w:val="24"/>
                <w:szCs w:val="24"/>
                <w:lang w:eastAsia="zh-CN"/>
              </w:rPr>
              <w:t>22</w:t>
            </w:r>
          </w:p>
        </w:tc>
        <w:tc>
          <w:tcPr>
            <w:tcW w:w="1030" w:type="pct"/>
          </w:tcPr>
          <w:p w14:paraId="2F416320" w14:textId="20E71454"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 xml:space="preserve">Additional other costs – </w:t>
            </w:r>
            <w:r w:rsidR="00500C48">
              <w:rPr>
                <w:rFonts w:ascii="Calibri" w:hAnsi="Calibri" w:cs="Calibri"/>
                <w:sz w:val="24"/>
                <w:szCs w:val="24"/>
              </w:rPr>
              <w:t>S</w:t>
            </w:r>
            <w:r w:rsidRPr="00154DEE">
              <w:rPr>
                <w:rFonts w:ascii="Calibri" w:hAnsi="Calibri" w:cs="Calibri"/>
                <w:sz w:val="24"/>
                <w:szCs w:val="24"/>
              </w:rPr>
              <w:t>cenario B</w:t>
            </w:r>
          </w:p>
        </w:tc>
        <w:tc>
          <w:tcPr>
            <w:tcW w:w="2550" w:type="pct"/>
          </w:tcPr>
          <w:p w14:paraId="7A848396" w14:textId="4344CD0C" w:rsidR="00FB381E" w:rsidRPr="00FB381E" w:rsidRDefault="00FB381E" w:rsidP="00954233">
            <w:pPr>
              <w:pStyle w:val="TableParagraph"/>
              <w:spacing w:afterLines="60" w:after="144"/>
              <w:rPr>
                <w:rFonts w:ascii="Calibri" w:hAnsi="Calibri" w:cs="Calibri"/>
                <w:sz w:val="24"/>
                <w:szCs w:val="24"/>
              </w:rPr>
            </w:pPr>
            <w:r w:rsidRPr="00154DEE">
              <w:rPr>
                <w:rFonts w:ascii="Calibri" w:hAnsi="Calibri" w:cs="Calibri"/>
                <w:sz w:val="24"/>
                <w:szCs w:val="24"/>
              </w:rPr>
              <w:t>Input change in other costs relevant to the scenario. This will reflect different interest or taxation compared to the reference scenario. This may be a negative value, representing less interest or tax. The breakdown of the different components should be provided in the commentary.</w:t>
            </w:r>
          </w:p>
        </w:tc>
        <w:tc>
          <w:tcPr>
            <w:tcW w:w="747" w:type="pct"/>
          </w:tcPr>
          <w:p w14:paraId="417B17A2" w14:textId="77777777" w:rsidR="00FB381E" w:rsidRPr="00154DEE" w:rsidRDefault="00FB381E" w:rsidP="00FB381E">
            <w:pPr>
              <w:pStyle w:val="TableParagraph"/>
              <w:rPr>
                <w:rFonts w:ascii="Calibri" w:hAnsi="Calibri" w:cs="Calibri"/>
                <w:sz w:val="24"/>
                <w:szCs w:val="24"/>
              </w:rPr>
            </w:pPr>
            <w:r w:rsidRPr="00154DEE">
              <w:rPr>
                <w:rFonts w:ascii="Calibri" w:hAnsi="Calibri" w:cs="Calibri"/>
                <w:sz w:val="24"/>
                <w:szCs w:val="24"/>
              </w:rPr>
              <w:t>£m 2024-25</w:t>
            </w:r>
          </w:p>
          <w:p w14:paraId="48B8FDD7" w14:textId="2A466643"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Price base</w:t>
            </w:r>
          </w:p>
        </w:tc>
      </w:tr>
      <w:tr w:rsidR="00FB381E" w:rsidRPr="00F65FC3" w14:paraId="4A3AFB22" w14:textId="77777777" w:rsidTr="00F65FC3">
        <w:tc>
          <w:tcPr>
            <w:tcW w:w="673" w:type="pct"/>
          </w:tcPr>
          <w:p w14:paraId="4C7D8E00" w14:textId="69CDEBF5"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7.</w:t>
            </w:r>
            <w:r w:rsidRPr="00154DEE">
              <w:rPr>
                <w:rFonts w:ascii="Calibri" w:hAnsi="Calibri" w:cs="Calibri" w:hint="eastAsia"/>
                <w:sz w:val="24"/>
                <w:szCs w:val="24"/>
                <w:lang w:eastAsia="zh-CN"/>
              </w:rPr>
              <w:t>23</w:t>
            </w:r>
          </w:p>
        </w:tc>
        <w:tc>
          <w:tcPr>
            <w:tcW w:w="1030" w:type="pct"/>
          </w:tcPr>
          <w:p w14:paraId="07BD78D6" w14:textId="7D01954B"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 xml:space="preserve">Additional other costs – </w:t>
            </w:r>
            <w:r w:rsidR="00500C48">
              <w:rPr>
                <w:rFonts w:ascii="Calibri" w:hAnsi="Calibri" w:cs="Calibri"/>
                <w:sz w:val="24"/>
                <w:szCs w:val="24"/>
              </w:rPr>
              <w:t>S</w:t>
            </w:r>
            <w:r w:rsidRPr="00154DEE">
              <w:rPr>
                <w:rFonts w:ascii="Calibri" w:hAnsi="Calibri" w:cs="Calibri"/>
                <w:sz w:val="24"/>
                <w:szCs w:val="24"/>
              </w:rPr>
              <w:t>cenario C</w:t>
            </w:r>
          </w:p>
        </w:tc>
        <w:tc>
          <w:tcPr>
            <w:tcW w:w="2550" w:type="pct"/>
          </w:tcPr>
          <w:p w14:paraId="0AD14D43" w14:textId="49D15411" w:rsidR="00FB381E" w:rsidRPr="00FB381E" w:rsidRDefault="00FB381E" w:rsidP="00954233">
            <w:pPr>
              <w:pStyle w:val="TableParagraph"/>
              <w:spacing w:afterLines="60" w:after="144"/>
              <w:rPr>
                <w:rFonts w:ascii="Calibri" w:hAnsi="Calibri" w:cs="Calibri"/>
                <w:sz w:val="24"/>
                <w:szCs w:val="24"/>
              </w:rPr>
            </w:pPr>
            <w:r w:rsidRPr="00154DEE">
              <w:rPr>
                <w:rFonts w:ascii="Calibri" w:hAnsi="Calibri" w:cs="Calibri"/>
                <w:sz w:val="24"/>
                <w:szCs w:val="24"/>
              </w:rPr>
              <w:t>Input change in other costs relevant to the scenario. This will reflect different interest or taxation compared to the reference scenario. This may be a negative value, representing less interest or tax. The breakdown of the different components should be provided in the commentary.</w:t>
            </w:r>
          </w:p>
        </w:tc>
        <w:tc>
          <w:tcPr>
            <w:tcW w:w="747" w:type="pct"/>
          </w:tcPr>
          <w:p w14:paraId="7E92E5AA" w14:textId="77777777" w:rsidR="00FB381E" w:rsidRPr="00154DEE" w:rsidRDefault="00FB381E" w:rsidP="00FB381E">
            <w:pPr>
              <w:pStyle w:val="TableParagraph"/>
              <w:rPr>
                <w:rFonts w:ascii="Calibri" w:hAnsi="Calibri" w:cs="Calibri"/>
                <w:sz w:val="24"/>
                <w:szCs w:val="24"/>
              </w:rPr>
            </w:pPr>
            <w:r w:rsidRPr="00154DEE">
              <w:rPr>
                <w:rFonts w:ascii="Calibri" w:hAnsi="Calibri" w:cs="Calibri"/>
                <w:sz w:val="24"/>
                <w:szCs w:val="24"/>
              </w:rPr>
              <w:t>£m 2024-25</w:t>
            </w:r>
          </w:p>
          <w:p w14:paraId="1A8DBA91" w14:textId="6481B4A0" w:rsidR="00FB381E" w:rsidRPr="00FB381E" w:rsidRDefault="00FB381E" w:rsidP="00FB381E">
            <w:pPr>
              <w:pStyle w:val="TableParagraph"/>
              <w:rPr>
                <w:rFonts w:ascii="Calibri" w:hAnsi="Calibri" w:cs="Calibri"/>
                <w:sz w:val="24"/>
                <w:szCs w:val="24"/>
              </w:rPr>
            </w:pPr>
            <w:r w:rsidRPr="00154DEE">
              <w:rPr>
                <w:rFonts w:ascii="Calibri" w:hAnsi="Calibri" w:cs="Calibri"/>
                <w:sz w:val="24"/>
                <w:szCs w:val="24"/>
              </w:rPr>
              <w:t>Price base</w:t>
            </w:r>
          </w:p>
        </w:tc>
      </w:tr>
    </w:tbl>
    <w:p w14:paraId="52DA557B" w14:textId="77777777" w:rsidR="002D39E9" w:rsidRDefault="002D39E9" w:rsidP="00191AE8"/>
    <w:p w14:paraId="3217359D" w14:textId="0D2B7199" w:rsidR="008475F3" w:rsidRPr="004876C2" w:rsidRDefault="00861AD3" w:rsidP="00954233">
      <w:pPr>
        <w:pStyle w:val="TableParagraph"/>
        <w:rPr>
          <w:b/>
          <w:u w:val="single"/>
        </w:rPr>
      </w:pPr>
      <w:r w:rsidRPr="00717E2F">
        <w:rPr>
          <w:rFonts w:ascii="Calibri" w:hAnsi="Calibri" w:cs="Calibri"/>
          <w:b/>
          <w:color w:val="064276" w:themeColor="text2"/>
          <w:sz w:val="28"/>
          <w:szCs w:val="28"/>
        </w:rPr>
        <w:t xml:space="preserve">Block </w:t>
      </w:r>
      <w:r>
        <w:rPr>
          <w:rFonts w:ascii="Calibri" w:hAnsi="Calibri" w:cs="Calibri"/>
          <w:b/>
          <w:color w:val="064276" w:themeColor="text2"/>
          <w:sz w:val="28"/>
          <w:szCs w:val="28"/>
        </w:rPr>
        <w:t>D</w:t>
      </w:r>
      <w:r w:rsidRPr="00717E2F">
        <w:rPr>
          <w:rFonts w:ascii="Calibri" w:hAnsi="Calibri" w:cs="Calibri"/>
          <w:b/>
          <w:color w:val="064276" w:themeColor="text2"/>
          <w:sz w:val="28"/>
          <w:szCs w:val="28"/>
        </w:rPr>
        <w:t xml:space="preserve">: </w:t>
      </w:r>
      <w:r>
        <w:rPr>
          <w:rFonts w:ascii="Calibri" w:hAnsi="Calibri" w:cs="Calibri"/>
          <w:b/>
          <w:color w:val="064276" w:themeColor="text2"/>
          <w:sz w:val="28"/>
          <w:szCs w:val="28"/>
        </w:rPr>
        <w:t xml:space="preserve">Financial </w:t>
      </w:r>
      <w:r w:rsidR="006B7C22">
        <w:rPr>
          <w:rFonts w:ascii="Calibri" w:hAnsi="Calibri" w:cs="Calibri"/>
          <w:b/>
          <w:color w:val="064276" w:themeColor="text2"/>
          <w:sz w:val="28"/>
          <w:szCs w:val="28"/>
        </w:rPr>
        <w:t>A</w:t>
      </w:r>
      <w:r>
        <w:rPr>
          <w:rFonts w:ascii="Calibri" w:hAnsi="Calibri" w:cs="Calibri"/>
          <w:b/>
          <w:color w:val="064276" w:themeColor="text2"/>
          <w:sz w:val="28"/>
          <w:szCs w:val="28"/>
        </w:rPr>
        <w:t>ssumptions</w:t>
      </w:r>
    </w:p>
    <w:tbl>
      <w:tblPr>
        <w:tblStyle w:val="Blueline"/>
        <w:tblW w:w="5000" w:type="pct"/>
        <w:tblLook w:val="04A0" w:firstRow="1" w:lastRow="0" w:firstColumn="1" w:lastColumn="0" w:noHBand="0" w:noVBand="1"/>
      </w:tblPr>
      <w:tblGrid>
        <w:gridCol w:w="1960"/>
        <w:gridCol w:w="2993"/>
        <w:gridCol w:w="7437"/>
        <w:gridCol w:w="2180"/>
      </w:tblGrid>
      <w:tr w:rsidR="008475F3" w:rsidRPr="00FF4778" w14:paraId="7C989B66"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673" w:type="pct"/>
          </w:tcPr>
          <w:p w14:paraId="6926ED96" w14:textId="7109CAC8" w:rsidR="008475F3" w:rsidRPr="00954233" w:rsidRDefault="008475F3">
            <w:pPr>
              <w:pStyle w:val="TableParagraph"/>
              <w:rPr>
                <w:rFonts w:ascii="Calibri" w:hAnsi="Calibri" w:cs="Calibri"/>
                <w:sz w:val="24"/>
                <w:szCs w:val="24"/>
              </w:rPr>
            </w:pPr>
            <w:r w:rsidRPr="00954233">
              <w:rPr>
                <w:rFonts w:ascii="Calibri" w:hAnsi="Calibri" w:cs="Calibri"/>
                <w:sz w:val="24"/>
                <w:szCs w:val="24"/>
              </w:rPr>
              <w:t>Line</w:t>
            </w:r>
            <w:r w:rsidR="00BF3BBC" w:rsidRPr="00954233">
              <w:rPr>
                <w:rFonts w:ascii="Calibri" w:hAnsi="Calibri" w:cs="Calibri"/>
                <w:sz w:val="24"/>
                <w:szCs w:val="24"/>
              </w:rPr>
              <w:t xml:space="preserve"> Reference</w:t>
            </w:r>
          </w:p>
        </w:tc>
        <w:tc>
          <w:tcPr>
            <w:tcW w:w="1027" w:type="pct"/>
          </w:tcPr>
          <w:p w14:paraId="157586E2" w14:textId="77777777" w:rsidR="008475F3" w:rsidRPr="00954233" w:rsidRDefault="008475F3">
            <w:pPr>
              <w:pStyle w:val="TableParagraph"/>
              <w:rPr>
                <w:rFonts w:ascii="Calibri" w:hAnsi="Calibri" w:cs="Calibri"/>
                <w:sz w:val="24"/>
                <w:szCs w:val="24"/>
              </w:rPr>
            </w:pPr>
            <w:r w:rsidRPr="00954233">
              <w:rPr>
                <w:rFonts w:ascii="Calibri" w:hAnsi="Calibri" w:cs="Calibri"/>
                <w:sz w:val="24"/>
                <w:szCs w:val="24"/>
              </w:rPr>
              <w:t>Title</w:t>
            </w:r>
          </w:p>
        </w:tc>
        <w:tc>
          <w:tcPr>
            <w:tcW w:w="2552" w:type="pct"/>
          </w:tcPr>
          <w:p w14:paraId="58C45B73" w14:textId="77777777" w:rsidR="008475F3" w:rsidRPr="00954233" w:rsidRDefault="008475F3">
            <w:pPr>
              <w:pStyle w:val="TableParagraph"/>
              <w:rPr>
                <w:rFonts w:ascii="Calibri" w:hAnsi="Calibri" w:cs="Calibri"/>
                <w:sz w:val="24"/>
                <w:szCs w:val="24"/>
              </w:rPr>
            </w:pPr>
            <w:r w:rsidRPr="00954233">
              <w:rPr>
                <w:rFonts w:ascii="Calibri" w:hAnsi="Calibri" w:cs="Calibri"/>
                <w:sz w:val="24"/>
                <w:szCs w:val="24"/>
              </w:rPr>
              <w:t>Definition</w:t>
            </w:r>
          </w:p>
        </w:tc>
        <w:tc>
          <w:tcPr>
            <w:tcW w:w="748" w:type="pct"/>
          </w:tcPr>
          <w:p w14:paraId="7FF53253" w14:textId="77777777" w:rsidR="008475F3" w:rsidRPr="00954233" w:rsidRDefault="008475F3">
            <w:pPr>
              <w:pStyle w:val="TableParagraph"/>
              <w:rPr>
                <w:rFonts w:ascii="Calibri" w:hAnsi="Calibri" w:cs="Calibri"/>
                <w:sz w:val="24"/>
                <w:szCs w:val="24"/>
              </w:rPr>
            </w:pPr>
            <w:r w:rsidRPr="00954233">
              <w:rPr>
                <w:rFonts w:ascii="Calibri" w:hAnsi="Calibri" w:cs="Calibri"/>
                <w:sz w:val="24"/>
                <w:szCs w:val="24"/>
              </w:rPr>
              <w:t xml:space="preserve">Unit </w:t>
            </w:r>
          </w:p>
        </w:tc>
      </w:tr>
      <w:tr w:rsidR="008475F3" w:rsidRPr="00FF4778" w14:paraId="22E27C7D" w14:textId="77777777" w:rsidTr="00954233">
        <w:trPr>
          <w:trHeight w:val="170"/>
        </w:trPr>
        <w:tc>
          <w:tcPr>
            <w:tcW w:w="673" w:type="pct"/>
          </w:tcPr>
          <w:p w14:paraId="058EA500" w14:textId="56B1AEBB" w:rsidR="008475F3" w:rsidRPr="00954233" w:rsidRDefault="00FF654E">
            <w:pPr>
              <w:pStyle w:val="TableParagraph"/>
              <w:rPr>
                <w:rFonts w:ascii="Calibri" w:hAnsi="Calibri" w:cs="Calibri"/>
                <w:sz w:val="24"/>
                <w:szCs w:val="24"/>
              </w:rPr>
            </w:pPr>
            <w:r w:rsidRPr="00954233">
              <w:rPr>
                <w:rFonts w:ascii="Calibri" w:hAnsi="Calibri" w:cs="Calibri"/>
                <w:sz w:val="24"/>
                <w:szCs w:val="24"/>
              </w:rPr>
              <w:t>7.</w:t>
            </w:r>
            <w:r w:rsidR="007456B5" w:rsidRPr="00954233">
              <w:rPr>
                <w:rFonts w:ascii="Calibri" w:hAnsi="Calibri" w:cs="Calibri"/>
                <w:sz w:val="24"/>
                <w:szCs w:val="24"/>
              </w:rPr>
              <w:t>2</w:t>
            </w:r>
            <w:r w:rsidR="00B300D7" w:rsidRPr="00954233">
              <w:rPr>
                <w:rFonts w:ascii="Calibri" w:hAnsi="Calibri" w:cs="Calibri"/>
                <w:sz w:val="24"/>
                <w:szCs w:val="24"/>
                <w:lang w:eastAsia="zh-CN"/>
              </w:rPr>
              <w:t>4</w:t>
            </w:r>
          </w:p>
        </w:tc>
        <w:tc>
          <w:tcPr>
            <w:tcW w:w="1027" w:type="pct"/>
          </w:tcPr>
          <w:p w14:paraId="173603FB" w14:textId="1FAD2BDF" w:rsidR="008475F3" w:rsidRPr="00954233" w:rsidRDefault="00FF6A73" w:rsidP="00FF6A73">
            <w:pPr>
              <w:pStyle w:val="TableParagraph"/>
              <w:rPr>
                <w:rFonts w:ascii="Calibri" w:hAnsi="Calibri" w:cs="Calibri"/>
                <w:sz w:val="24"/>
                <w:szCs w:val="24"/>
              </w:rPr>
            </w:pPr>
            <w:r w:rsidRPr="00954233">
              <w:rPr>
                <w:rFonts w:ascii="Calibri" w:hAnsi="Calibri" w:cs="Calibri"/>
                <w:sz w:val="24"/>
                <w:szCs w:val="24"/>
              </w:rPr>
              <w:t>Price Profile</w:t>
            </w:r>
          </w:p>
        </w:tc>
        <w:tc>
          <w:tcPr>
            <w:tcW w:w="2552" w:type="pct"/>
          </w:tcPr>
          <w:p w14:paraId="48ED63DB" w14:textId="2A6E47F0" w:rsidR="008475F3" w:rsidRPr="00954233" w:rsidRDefault="002D4CDE"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The annual price profile </w:t>
            </w:r>
            <w:r w:rsidR="00AA21E4" w:rsidRPr="00954233">
              <w:rPr>
                <w:rFonts w:ascii="Calibri" w:hAnsi="Calibri" w:cs="Calibri"/>
                <w:sz w:val="24"/>
                <w:szCs w:val="24"/>
              </w:rPr>
              <w:t>from</w:t>
            </w:r>
            <w:r w:rsidR="00923E56" w:rsidRPr="00954233">
              <w:rPr>
                <w:rFonts w:ascii="Calibri" w:hAnsi="Calibri" w:cs="Calibri"/>
                <w:sz w:val="24"/>
                <w:szCs w:val="24"/>
              </w:rPr>
              <w:t xml:space="preserve"> the SRC27 business plan.</w:t>
            </w:r>
          </w:p>
        </w:tc>
        <w:tc>
          <w:tcPr>
            <w:tcW w:w="748" w:type="pct"/>
          </w:tcPr>
          <w:p w14:paraId="561C9DE7" w14:textId="56831BF2" w:rsidR="008475F3" w:rsidRPr="00954233" w:rsidRDefault="00FF654E">
            <w:pPr>
              <w:pStyle w:val="TableParagraph"/>
              <w:rPr>
                <w:rFonts w:ascii="Calibri" w:hAnsi="Calibri" w:cs="Calibri"/>
                <w:sz w:val="24"/>
                <w:szCs w:val="24"/>
              </w:rPr>
            </w:pPr>
            <w:r w:rsidRPr="00954233">
              <w:rPr>
                <w:rFonts w:ascii="Calibri" w:hAnsi="Calibri" w:cs="Calibri"/>
                <w:sz w:val="24"/>
                <w:szCs w:val="24"/>
              </w:rPr>
              <w:t>%</w:t>
            </w:r>
          </w:p>
        </w:tc>
      </w:tr>
      <w:tr w:rsidR="0014239C" w:rsidRPr="00FF4778" w14:paraId="2726288E" w14:textId="77777777" w:rsidTr="00954233">
        <w:tc>
          <w:tcPr>
            <w:tcW w:w="673" w:type="pct"/>
          </w:tcPr>
          <w:p w14:paraId="3F50FDA1" w14:textId="5178C401" w:rsidR="0014239C" w:rsidRPr="00954233" w:rsidRDefault="00FF654E">
            <w:pPr>
              <w:pStyle w:val="TableParagraph"/>
              <w:rPr>
                <w:rFonts w:ascii="Calibri" w:hAnsi="Calibri" w:cs="Calibri"/>
                <w:sz w:val="24"/>
                <w:szCs w:val="24"/>
              </w:rPr>
            </w:pPr>
            <w:r w:rsidRPr="00954233">
              <w:rPr>
                <w:rFonts w:ascii="Calibri" w:hAnsi="Calibri" w:cs="Calibri"/>
                <w:sz w:val="24"/>
                <w:szCs w:val="24"/>
              </w:rPr>
              <w:t>7.</w:t>
            </w:r>
            <w:r w:rsidR="007456B5" w:rsidRPr="00954233">
              <w:rPr>
                <w:rFonts w:ascii="Calibri" w:hAnsi="Calibri" w:cs="Calibri"/>
                <w:sz w:val="24"/>
                <w:szCs w:val="24"/>
              </w:rPr>
              <w:t>2</w:t>
            </w:r>
            <w:r w:rsidR="00B300D7" w:rsidRPr="00954233">
              <w:rPr>
                <w:rFonts w:ascii="Calibri" w:hAnsi="Calibri" w:cs="Calibri"/>
                <w:sz w:val="24"/>
                <w:szCs w:val="24"/>
                <w:lang w:eastAsia="zh-CN"/>
              </w:rPr>
              <w:t>5</w:t>
            </w:r>
          </w:p>
        </w:tc>
        <w:tc>
          <w:tcPr>
            <w:tcW w:w="1027" w:type="pct"/>
          </w:tcPr>
          <w:p w14:paraId="211ED624" w14:textId="0F29DFFB" w:rsidR="0014239C" w:rsidRPr="00954233" w:rsidRDefault="0014239C" w:rsidP="00FF6A73">
            <w:pPr>
              <w:pStyle w:val="TableParagraph"/>
              <w:rPr>
                <w:rFonts w:ascii="Calibri" w:hAnsi="Calibri" w:cs="Calibri"/>
                <w:sz w:val="24"/>
                <w:szCs w:val="24"/>
              </w:rPr>
            </w:pPr>
            <w:r w:rsidRPr="00954233">
              <w:rPr>
                <w:rFonts w:ascii="Calibri" w:hAnsi="Calibri" w:cs="Calibri"/>
                <w:sz w:val="24"/>
                <w:szCs w:val="24"/>
              </w:rPr>
              <w:t>Level of Borrowing</w:t>
            </w:r>
          </w:p>
        </w:tc>
        <w:tc>
          <w:tcPr>
            <w:tcW w:w="2552" w:type="pct"/>
          </w:tcPr>
          <w:p w14:paraId="3709F5F3" w14:textId="567174B1" w:rsidR="0014239C" w:rsidRPr="00954233" w:rsidRDefault="003C2623" w:rsidP="00954233">
            <w:pPr>
              <w:pStyle w:val="TableParagraph"/>
              <w:spacing w:afterLines="60" w:after="144"/>
              <w:rPr>
                <w:rFonts w:ascii="Calibri" w:hAnsi="Calibri" w:cs="Calibri"/>
                <w:sz w:val="24"/>
                <w:szCs w:val="24"/>
              </w:rPr>
            </w:pPr>
            <w:r w:rsidRPr="00954233">
              <w:rPr>
                <w:rFonts w:ascii="Calibri" w:hAnsi="Calibri" w:cs="Calibri"/>
                <w:sz w:val="24"/>
                <w:szCs w:val="24"/>
              </w:rPr>
              <w:t>Total borrowing in each year</w:t>
            </w:r>
            <w:r w:rsidR="00D4141E" w:rsidRPr="00954233">
              <w:rPr>
                <w:rFonts w:ascii="Calibri" w:hAnsi="Calibri" w:cs="Calibri"/>
                <w:sz w:val="24"/>
                <w:szCs w:val="24"/>
              </w:rPr>
              <w:t>.</w:t>
            </w:r>
          </w:p>
        </w:tc>
        <w:tc>
          <w:tcPr>
            <w:tcW w:w="748" w:type="pct"/>
          </w:tcPr>
          <w:p w14:paraId="0385D0BE" w14:textId="77777777" w:rsidR="00881D79" w:rsidRPr="00954233" w:rsidRDefault="00881D79" w:rsidP="00881D79">
            <w:pPr>
              <w:pStyle w:val="TableParagraph"/>
              <w:rPr>
                <w:rFonts w:ascii="Calibri" w:hAnsi="Calibri" w:cs="Calibri"/>
                <w:sz w:val="24"/>
                <w:szCs w:val="24"/>
              </w:rPr>
            </w:pPr>
            <w:r w:rsidRPr="00954233">
              <w:rPr>
                <w:rFonts w:ascii="Calibri" w:hAnsi="Calibri" w:cs="Calibri"/>
                <w:sz w:val="24"/>
                <w:szCs w:val="24"/>
              </w:rPr>
              <w:t>£m 2024-25</w:t>
            </w:r>
          </w:p>
          <w:p w14:paraId="142D4113" w14:textId="55E28073" w:rsidR="0014239C" w:rsidRPr="00954233" w:rsidRDefault="00881D79">
            <w:pPr>
              <w:pStyle w:val="TableParagraph"/>
              <w:rPr>
                <w:rFonts w:ascii="Calibri" w:hAnsi="Calibri" w:cs="Calibri"/>
                <w:sz w:val="24"/>
                <w:szCs w:val="24"/>
              </w:rPr>
            </w:pPr>
            <w:r w:rsidRPr="00954233">
              <w:rPr>
                <w:rFonts w:ascii="Calibri" w:hAnsi="Calibri" w:cs="Calibri"/>
                <w:sz w:val="24"/>
                <w:szCs w:val="24"/>
              </w:rPr>
              <w:t>Price base</w:t>
            </w:r>
          </w:p>
        </w:tc>
      </w:tr>
      <w:tr w:rsidR="008475F3" w:rsidRPr="00FF4778" w14:paraId="139DDB3F" w14:textId="77777777" w:rsidTr="00954233">
        <w:tc>
          <w:tcPr>
            <w:tcW w:w="673" w:type="pct"/>
          </w:tcPr>
          <w:p w14:paraId="65CE8B85" w14:textId="4E5D1005" w:rsidR="008475F3" w:rsidRPr="00954233" w:rsidRDefault="00FF654E">
            <w:pPr>
              <w:pStyle w:val="TableParagraph"/>
              <w:rPr>
                <w:rFonts w:ascii="Calibri" w:hAnsi="Calibri" w:cs="Calibri"/>
                <w:sz w:val="24"/>
                <w:szCs w:val="24"/>
              </w:rPr>
            </w:pPr>
            <w:r w:rsidRPr="00954233">
              <w:rPr>
                <w:rFonts w:ascii="Calibri" w:hAnsi="Calibri" w:cs="Calibri"/>
                <w:sz w:val="24"/>
                <w:szCs w:val="24"/>
              </w:rPr>
              <w:t>7.2</w:t>
            </w:r>
            <w:r w:rsidR="00B300D7" w:rsidRPr="00954233">
              <w:rPr>
                <w:rFonts w:ascii="Calibri" w:hAnsi="Calibri" w:cs="Calibri"/>
                <w:sz w:val="24"/>
                <w:szCs w:val="24"/>
                <w:lang w:eastAsia="zh-CN"/>
              </w:rPr>
              <w:t>6</w:t>
            </w:r>
            <w:r w:rsidRPr="00954233" w:rsidDel="00D379B6">
              <w:rPr>
                <w:rFonts w:ascii="Calibri" w:hAnsi="Calibri" w:cs="Calibri"/>
                <w:sz w:val="24"/>
                <w:szCs w:val="24"/>
              </w:rPr>
              <w:t xml:space="preserve"> </w:t>
            </w:r>
            <w:r w:rsidR="00D379B6">
              <w:rPr>
                <w:rFonts w:ascii="Calibri" w:hAnsi="Calibri" w:cs="Calibri"/>
                <w:sz w:val="24"/>
                <w:szCs w:val="24"/>
              </w:rPr>
              <w:t>-</w:t>
            </w:r>
            <w:r w:rsidRPr="00954233">
              <w:rPr>
                <w:rFonts w:ascii="Calibri" w:hAnsi="Calibri" w:cs="Calibri"/>
                <w:sz w:val="24"/>
                <w:szCs w:val="24"/>
              </w:rPr>
              <w:t xml:space="preserve"> 7.2</w:t>
            </w:r>
            <w:r w:rsidR="00B300D7" w:rsidRPr="00954233">
              <w:rPr>
                <w:rFonts w:ascii="Calibri" w:hAnsi="Calibri" w:cs="Calibri"/>
                <w:sz w:val="24"/>
                <w:szCs w:val="24"/>
                <w:lang w:eastAsia="zh-CN"/>
              </w:rPr>
              <w:t>8</w:t>
            </w:r>
          </w:p>
        </w:tc>
        <w:tc>
          <w:tcPr>
            <w:tcW w:w="1027" w:type="pct"/>
          </w:tcPr>
          <w:p w14:paraId="751973D4" w14:textId="2DD4AD76" w:rsidR="008475F3" w:rsidRPr="00954233" w:rsidRDefault="00F869E1">
            <w:pPr>
              <w:pStyle w:val="TableParagraph"/>
              <w:rPr>
                <w:rFonts w:ascii="Calibri" w:hAnsi="Calibri" w:cs="Calibri"/>
                <w:sz w:val="24"/>
                <w:szCs w:val="24"/>
              </w:rPr>
            </w:pPr>
            <w:r w:rsidRPr="00954233">
              <w:rPr>
                <w:rFonts w:ascii="Calibri" w:hAnsi="Calibri" w:cs="Calibri"/>
                <w:sz w:val="24"/>
                <w:szCs w:val="24"/>
              </w:rPr>
              <w:t>Measures of inflation</w:t>
            </w:r>
          </w:p>
        </w:tc>
        <w:tc>
          <w:tcPr>
            <w:tcW w:w="2552" w:type="pct"/>
          </w:tcPr>
          <w:p w14:paraId="3B4D6EDA" w14:textId="437E793F" w:rsidR="00F869E1" w:rsidRPr="00954233" w:rsidRDefault="00AA21E4"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Scottish Water is to </w:t>
            </w:r>
            <w:r w:rsidR="00F869E1" w:rsidRPr="00954233">
              <w:rPr>
                <w:rFonts w:ascii="Calibri" w:hAnsi="Calibri" w:cs="Calibri"/>
                <w:sz w:val="24"/>
                <w:szCs w:val="24"/>
              </w:rPr>
              <w:t>provide three measures of inflation:</w:t>
            </w:r>
          </w:p>
          <w:p w14:paraId="7AA6FD35" w14:textId="1AE07C14" w:rsidR="008475F3" w:rsidRPr="00954233" w:rsidRDefault="00F869E1" w:rsidP="00954233">
            <w:pPr>
              <w:pStyle w:val="TableParagraph"/>
              <w:spacing w:afterLines="60" w:after="144"/>
              <w:rPr>
                <w:rFonts w:ascii="Calibri" w:hAnsi="Calibri" w:cs="Calibri"/>
                <w:sz w:val="24"/>
                <w:szCs w:val="24"/>
              </w:rPr>
            </w:pPr>
            <w:r w:rsidRPr="00954233">
              <w:rPr>
                <w:rFonts w:ascii="Calibri" w:hAnsi="Calibri" w:cs="Calibri"/>
                <w:sz w:val="24"/>
                <w:szCs w:val="24"/>
              </w:rPr>
              <w:lastRenderedPageBreak/>
              <w:t>Consumer price index inflation for operating expenditure</w:t>
            </w:r>
            <w:r w:rsidR="007A26FC" w:rsidRPr="00954233">
              <w:rPr>
                <w:rFonts w:ascii="Calibri" w:hAnsi="Calibri" w:cs="Calibri"/>
                <w:sz w:val="24"/>
                <w:szCs w:val="24"/>
              </w:rPr>
              <w:t>.</w:t>
            </w:r>
          </w:p>
          <w:p w14:paraId="0BC5A221" w14:textId="44C3E81A" w:rsidR="00F869E1" w:rsidRPr="00954233" w:rsidRDefault="00F869E1" w:rsidP="00954233">
            <w:pPr>
              <w:pStyle w:val="TableParagraph"/>
              <w:spacing w:afterLines="60" w:after="144"/>
              <w:rPr>
                <w:rFonts w:ascii="Calibri" w:hAnsi="Calibri" w:cs="Calibri"/>
                <w:sz w:val="24"/>
                <w:szCs w:val="24"/>
              </w:rPr>
            </w:pPr>
            <w:r w:rsidRPr="00954233">
              <w:rPr>
                <w:rFonts w:ascii="Calibri" w:hAnsi="Calibri" w:cs="Calibri"/>
                <w:sz w:val="24"/>
                <w:szCs w:val="24"/>
              </w:rPr>
              <w:t>The measure of inflation set out in the relevant contracts for PFI expenditure</w:t>
            </w:r>
            <w:r w:rsidR="007A26FC" w:rsidRPr="00954233">
              <w:rPr>
                <w:rFonts w:ascii="Calibri" w:hAnsi="Calibri" w:cs="Calibri"/>
                <w:sz w:val="24"/>
                <w:szCs w:val="24"/>
              </w:rPr>
              <w:t>.</w:t>
            </w:r>
          </w:p>
          <w:p w14:paraId="3552CE5B" w14:textId="6161E7E8" w:rsidR="008475F3" w:rsidRPr="00954233" w:rsidRDefault="00F869E1" w:rsidP="00954233">
            <w:pPr>
              <w:pStyle w:val="TableParagraph"/>
              <w:spacing w:afterLines="60" w:after="144"/>
              <w:rPr>
                <w:rFonts w:ascii="Calibri" w:hAnsi="Calibri" w:cs="Calibri"/>
                <w:sz w:val="24"/>
                <w:szCs w:val="24"/>
              </w:rPr>
            </w:pPr>
            <w:r w:rsidRPr="00954233">
              <w:rPr>
                <w:rFonts w:ascii="Calibri" w:hAnsi="Calibri" w:cs="Calibri"/>
                <w:sz w:val="24"/>
                <w:szCs w:val="24"/>
              </w:rPr>
              <w:t xml:space="preserve">The measure of capital price inflation for </w:t>
            </w:r>
            <w:r w:rsidR="0044222C" w:rsidRPr="00954233">
              <w:rPr>
                <w:rFonts w:ascii="Calibri" w:hAnsi="Calibri" w:cs="Calibri"/>
                <w:sz w:val="24"/>
                <w:szCs w:val="24"/>
              </w:rPr>
              <w:t xml:space="preserve">capital </w:t>
            </w:r>
            <w:r w:rsidRPr="00954233">
              <w:rPr>
                <w:rFonts w:ascii="Calibri" w:hAnsi="Calibri" w:cs="Calibri"/>
                <w:sz w:val="24"/>
                <w:szCs w:val="24"/>
              </w:rPr>
              <w:t>investment</w:t>
            </w:r>
            <w:r w:rsidR="007A26FC" w:rsidRPr="00954233">
              <w:rPr>
                <w:rFonts w:ascii="Calibri" w:hAnsi="Calibri" w:cs="Calibri"/>
                <w:sz w:val="24"/>
                <w:szCs w:val="24"/>
              </w:rPr>
              <w:t>s in the business plan</w:t>
            </w:r>
            <w:r w:rsidR="00EF2A8D" w:rsidRPr="00954233">
              <w:rPr>
                <w:rFonts w:ascii="Calibri" w:hAnsi="Calibri" w:cs="Calibri"/>
                <w:sz w:val="24"/>
                <w:szCs w:val="24"/>
              </w:rPr>
              <w:t>. Scottish Wa</w:t>
            </w:r>
            <w:r w:rsidR="00A86FF4" w:rsidRPr="00954233">
              <w:rPr>
                <w:rFonts w:ascii="Calibri" w:hAnsi="Calibri" w:cs="Calibri"/>
                <w:sz w:val="24"/>
                <w:szCs w:val="24"/>
              </w:rPr>
              <w:t>ter should use a</w:t>
            </w:r>
            <w:r w:rsidR="007D6D2E" w:rsidRPr="00954233">
              <w:rPr>
                <w:rFonts w:ascii="Calibri" w:hAnsi="Calibri" w:cs="Calibri"/>
                <w:sz w:val="24"/>
                <w:szCs w:val="24"/>
              </w:rPr>
              <w:t xml:space="preserve"> published measure </w:t>
            </w:r>
            <w:r w:rsidR="00030681" w:rsidRPr="00954233">
              <w:rPr>
                <w:rFonts w:ascii="Calibri" w:hAnsi="Calibri" w:cs="Calibri"/>
                <w:sz w:val="24"/>
                <w:szCs w:val="24"/>
              </w:rPr>
              <w:t xml:space="preserve">that </w:t>
            </w:r>
            <w:r w:rsidR="00236DEF" w:rsidRPr="00954233">
              <w:rPr>
                <w:rFonts w:ascii="Calibri" w:hAnsi="Calibri" w:cs="Calibri"/>
                <w:sz w:val="24"/>
                <w:szCs w:val="24"/>
              </w:rPr>
              <w:t>it</w:t>
            </w:r>
            <w:r w:rsidR="00030681" w:rsidRPr="00954233">
              <w:rPr>
                <w:rFonts w:ascii="Calibri" w:hAnsi="Calibri" w:cs="Calibri"/>
                <w:sz w:val="24"/>
                <w:szCs w:val="24"/>
              </w:rPr>
              <w:t xml:space="preserve"> considers </w:t>
            </w:r>
            <w:r w:rsidR="00315126" w:rsidRPr="00954233">
              <w:rPr>
                <w:rFonts w:ascii="Calibri" w:hAnsi="Calibri" w:cs="Calibri"/>
                <w:sz w:val="24"/>
                <w:szCs w:val="24"/>
              </w:rPr>
              <w:t xml:space="preserve">closely follows </w:t>
            </w:r>
            <w:r w:rsidR="00F742CB" w:rsidRPr="00954233">
              <w:rPr>
                <w:rFonts w:ascii="Calibri" w:hAnsi="Calibri" w:cs="Calibri"/>
                <w:sz w:val="24"/>
                <w:szCs w:val="24"/>
              </w:rPr>
              <w:t>the capital price inflation that it observes</w:t>
            </w:r>
            <w:r w:rsidR="007A26FC" w:rsidRPr="00954233">
              <w:rPr>
                <w:rFonts w:ascii="Calibri" w:hAnsi="Calibri" w:cs="Calibri"/>
                <w:sz w:val="24"/>
                <w:szCs w:val="24"/>
              </w:rPr>
              <w:t xml:space="preserve">. </w:t>
            </w:r>
          </w:p>
        </w:tc>
        <w:tc>
          <w:tcPr>
            <w:tcW w:w="748" w:type="pct"/>
          </w:tcPr>
          <w:p w14:paraId="44C34E41" w14:textId="3DAA3F11" w:rsidR="008475F3" w:rsidRPr="00954233" w:rsidRDefault="00764FD9">
            <w:pPr>
              <w:pStyle w:val="TableParagraph"/>
              <w:rPr>
                <w:rFonts w:ascii="Calibri" w:hAnsi="Calibri" w:cs="Calibri"/>
                <w:sz w:val="24"/>
                <w:szCs w:val="24"/>
              </w:rPr>
            </w:pPr>
            <w:r w:rsidRPr="00954233">
              <w:rPr>
                <w:rFonts w:ascii="Calibri" w:hAnsi="Calibri" w:cs="Calibri"/>
                <w:sz w:val="24"/>
                <w:szCs w:val="24"/>
              </w:rPr>
              <w:lastRenderedPageBreak/>
              <w:t>%</w:t>
            </w:r>
          </w:p>
        </w:tc>
      </w:tr>
    </w:tbl>
    <w:p w14:paraId="546CC48C" w14:textId="77777777" w:rsidR="00E343D2" w:rsidRDefault="00E343D2" w:rsidP="00191AE8"/>
    <w:p w14:paraId="65E1B7A2" w14:textId="0EB3E831" w:rsidR="00E343D2" w:rsidRPr="004876C2" w:rsidRDefault="00861AD3" w:rsidP="00191AE8">
      <w:pPr>
        <w:rPr>
          <w:b/>
          <w:u w:val="single"/>
        </w:rPr>
      </w:pPr>
      <w:r w:rsidRPr="00717E2F">
        <w:rPr>
          <w:rFonts w:ascii="Calibri" w:hAnsi="Calibri" w:cs="Calibri"/>
          <w:b/>
          <w:color w:val="064276" w:themeColor="text2"/>
          <w:sz w:val="28"/>
          <w:szCs w:val="28"/>
        </w:rPr>
        <w:t xml:space="preserve">Block </w:t>
      </w:r>
      <w:r>
        <w:rPr>
          <w:rFonts w:ascii="Calibri" w:hAnsi="Calibri" w:cs="Calibri"/>
          <w:b/>
          <w:color w:val="064276" w:themeColor="text2"/>
          <w:sz w:val="28"/>
          <w:szCs w:val="28"/>
        </w:rPr>
        <w:t>E</w:t>
      </w:r>
      <w:r w:rsidRPr="00717E2F">
        <w:rPr>
          <w:rFonts w:ascii="Calibri" w:hAnsi="Calibri" w:cs="Calibri"/>
          <w:b/>
          <w:color w:val="064276" w:themeColor="text2"/>
          <w:sz w:val="28"/>
          <w:szCs w:val="28"/>
        </w:rPr>
        <w:t xml:space="preserve">: </w:t>
      </w:r>
      <w:r w:rsidRPr="00861AD3">
        <w:rPr>
          <w:rFonts w:ascii="Calibri" w:hAnsi="Calibri" w:cs="Calibri"/>
          <w:b/>
          <w:color w:val="064276" w:themeColor="text2"/>
          <w:sz w:val="28"/>
          <w:szCs w:val="28"/>
        </w:rPr>
        <w:t>Property/Population Growth Assumptions</w:t>
      </w:r>
    </w:p>
    <w:tbl>
      <w:tblPr>
        <w:tblStyle w:val="Blueline"/>
        <w:tblW w:w="5000" w:type="pct"/>
        <w:tblLook w:val="04A0" w:firstRow="1" w:lastRow="0" w:firstColumn="1" w:lastColumn="0" w:noHBand="0" w:noVBand="1"/>
      </w:tblPr>
      <w:tblGrid>
        <w:gridCol w:w="1960"/>
        <w:gridCol w:w="3908"/>
        <w:gridCol w:w="6522"/>
        <w:gridCol w:w="2180"/>
      </w:tblGrid>
      <w:tr w:rsidR="00E343D2" w:rsidRPr="00FF4778" w14:paraId="56ED768C"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673" w:type="pct"/>
          </w:tcPr>
          <w:p w14:paraId="3ED297B3" w14:textId="08B9E886" w:rsidR="00E343D2" w:rsidRPr="00954233" w:rsidRDefault="00E343D2">
            <w:pPr>
              <w:pStyle w:val="TableParagraph"/>
              <w:rPr>
                <w:rFonts w:asciiTheme="minorHAnsi" w:hAnsiTheme="minorHAnsi" w:cstheme="minorHAnsi"/>
                <w:sz w:val="24"/>
                <w:szCs w:val="24"/>
              </w:rPr>
            </w:pPr>
            <w:r w:rsidRPr="00954233">
              <w:rPr>
                <w:rFonts w:asciiTheme="minorHAnsi" w:hAnsiTheme="minorHAnsi" w:cstheme="minorHAnsi"/>
                <w:sz w:val="24"/>
                <w:szCs w:val="24"/>
              </w:rPr>
              <w:t>Line</w:t>
            </w:r>
            <w:r w:rsidR="00BF3BBC" w:rsidRPr="00954233">
              <w:rPr>
                <w:rFonts w:asciiTheme="minorHAnsi" w:hAnsiTheme="minorHAnsi" w:cstheme="minorHAnsi"/>
                <w:sz w:val="24"/>
                <w:szCs w:val="24"/>
              </w:rPr>
              <w:t xml:space="preserve"> Reference</w:t>
            </w:r>
          </w:p>
        </w:tc>
        <w:tc>
          <w:tcPr>
            <w:tcW w:w="1341" w:type="pct"/>
          </w:tcPr>
          <w:p w14:paraId="30127D61" w14:textId="77777777" w:rsidR="00E343D2" w:rsidRPr="00954233" w:rsidRDefault="00E343D2">
            <w:pPr>
              <w:pStyle w:val="TableParagraph"/>
              <w:rPr>
                <w:rFonts w:asciiTheme="minorHAnsi" w:hAnsiTheme="minorHAnsi" w:cstheme="minorHAnsi"/>
                <w:sz w:val="24"/>
                <w:szCs w:val="24"/>
              </w:rPr>
            </w:pPr>
            <w:r w:rsidRPr="00954233">
              <w:rPr>
                <w:rFonts w:asciiTheme="minorHAnsi" w:hAnsiTheme="minorHAnsi" w:cstheme="minorHAnsi"/>
                <w:sz w:val="24"/>
                <w:szCs w:val="24"/>
              </w:rPr>
              <w:t>Title</w:t>
            </w:r>
          </w:p>
        </w:tc>
        <w:tc>
          <w:tcPr>
            <w:tcW w:w="2238" w:type="pct"/>
          </w:tcPr>
          <w:p w14:paraId="5060B36D" w14:textId="77777777" w:rsidR="00E343D2" w:rsidRPr="00954233" w:rsidRDefault="00E343D2">
            <w:pPr>
              <w:pStyle w:val="TableParagraph"/>
              <w:rPr>
                <w:rFonts w:asciiTheme="minorHAnsi" w:hAnsiTheme="minorHAnsi" w:cstheme="minorHAnsi"/>
                <w:sz w:val="24"/>
                <w:szCs w:val="24"/>
              </w:rPr>
            </w:pPr>
            <w:r w:rsidRPr="00954233">
              <w:rPr>
                <w:rFonts w:asciiTheme="minorHAnsi" w:hAnsiTheme="minorHAnsi" w:cstheme="minorHAnsi"/>
                <w:sz w:val="24"/>
                <w:szCs w:val="24"/>
              </w:rPr>
              <w:t>Definition</w:t>
            </w:r>
          </w:p>
        </w:tc>
        <w:tc>
          <w:tcPr>
            <w:tcW w:w="748" w:type="pct"/>
          </w:tcPr>
          <w:p w14:paraId="28D0377D" w14:textId="77777777" w:rsidR="00E343D2" w:rsidRPr="00954233" w:rsidRDefault="00E343D2">
            <w:pPr>
              <w:pStyle w:val="TableParagraph"/>
              <w:rPr>
                <w:rFonts w:asciiTheme="minorHAnsi" w:hAnsiTheme="minorHAnsi" w:cstheme="minorHAnsi"/>
                <w:sz w:val="24"/>
                <w:szCs w:val="24"/>
              </w:rPr>
            </w:pPr>
            <w:r w:rsidRPr="00954233">
              <w:rPr>
                <w:rFonts w:asciiTheme="minorHAnsi" w:hAnsiTheme="minorHAnsi" w:cstheme="minorHAnsi"/>
                <w:sz w:val="24"/>
                <w:szCs w:val="24"/>
              </w:rPr>
              <w:t xml:space="preserve">Unit </w:t>
            </w:r>
          </w:p>
        </w:tc>
      </w:tr>
      <w:tr w:rsidR="00E343D2" w:rsidRPr="00FF4778" w14:paraId="2CC10744" w14:textId="77777777" w:rsidTr="00954233">
        <w:tc>
          <w:tcPr>
            <w:tcW w:w="673" w:type="pct"/>
          </w:tcPr>
          <w:p w14:paraId="6EE9C547" w14:textId="2D1FFD8E" w:rsidR="00E343D2" w:rsidRPr="00954233" w:rsidRDefault="009D24B7">
            <w:pPr>
              <w:pStyle w:val="TableParagraph"/>
              <w:rPr>
                <w:rFonts w:cstheme="minorHAnsi"/>
                <w:sz w:val="24"/>
                <w:szCs w:val="24"/>
              </w:rPr>
            </w:pPr>
            <w:r w:rsidRPr="00954233">
              <w:rPr>
                <w:rFonts w:cstheme="minorHAnsi"/>
                <w:sz w:val="24"/>
                <w:szCs w:val="24"/>
              </w:rPr>
              <w:t>7.</w:t>
            </w:r>
            <w:r w:rsidR="00B03EF1" w:rsidRPr="00954233">
              <w:rPr>
                <w:rFonts w:cstheme="minorHAnsi"/>
                <w:sz w:val="24"/>
                <w:szCs w:val="24"/>
              </w:rPr>
              <w:t>2</w:t>
            </w:r>
            <w:r w:rsidR="00B300D7" w:rsidRPr="00954233">
              <w:rPr>
                <w:rFonts w:cstheme="minorHAnsi"/>
                <w:sz w:val="24"/>
                <w:szCs w:val="24"/>
                <w:lang w:eastAsia="zh-CN"/>
              </w:rPr>
              <w:t>9</w:t>
            </w:r>
            <w:r w:rsidRPr="00954233">
              <w:rPr>
                <w:rFonts w:cstheme="minorHAnsi"/>
                <w:sz w:val="24"/>
                <w:szCs w:val="24"/>
              </w:rPr>
              <w:t xml:space="preserve"> </w:t>
            </w:r>
            <w:r w:rsidR="000A04DC" w:rsidRPr="00954233">
              <w:rPr>
                <w:rFonts w:cstheme="minorHAnsi"/>
                <w:sz w:val="24"/>
                <w:szCs w:val="24"/>
              </w:rPr>
              <w:t xml:space="preserve">- </w:t>
            </w:r>
            <w:r w:rsidRPr="00954233">
              <w:rPr>
                <w:rFonts w:cstheme="minorHAnsi"/>
                <w:sz w:val="24"/>
                <w:szCs w:val="24"/>
              </w:rPr>
              <w:t>7.</w:t>
            </w:r>
            <w:r w:rsidR="00B300D7" w:rsidRPr="00954233">
              <w:rPr>
                <w:rFonts w:cstheme="minorHAnsi"/>
                <w:sz w:val="24"/>
                <w:szCs w:val="24"/>
                <w:lang w:eastAsia="zh-CN"/>
              </w:rPr>
              <w:t>31</w:t>
            </w:r>
          </w:p>
        </w:tc>
        <w:tc>
          <w:tcPr>
            <w:tcW w:w="1341" w:type="pct"/>
          </w:tcPr>
          <w:p w14:paraId="1D1081FC" w14:textId="77777777" w:rsidR="00613EEC" w:rsidRPr="00954233" w:rsidRDefault="00613EEC" w:rsidP="00613EEC">
            <w:pPr>
              <w:spacing w:line="240" w:lineRule="auto"/>
              <w:jc w:val="left"/>
              <w:rPr>
                <w:rFonts w:cstheme="minorHAnsi"/>
                <w:szCs w:val="24"/>
              </w:rPr>
            </w:pPr>
            <w:r w:rsidRPr="00954233">
              <w:rPr>
                <w:rFonts w:cstheme="minorHAnsi"/>
                <w:szCs w:val="24"/>
              </w:rPr>
              <w:t>Water billed properties and active supply points</w:t>
            </w:r>
          </w:p>
          <w:p w14:paraId="19422EA1" w14:textId="3612B08B" w:rsidR="00E343D2" w:rsidRPr="00954233" w:rsidRDefault="00E343D2">
            <w:pPr>
              <w:pStyle w:val="TableParagraph"/>
              <w:rPr>
                <w:rFonts w:cstheme="minorHAnsi"/>
                <w:sz w:val="24"/>
                <w:szCs w:val="24"/>
              </w:rPr>
            </w:pPr>
          </w:p>
        </w:tc>
        <w:tc>
          <w:tcPr>
            <w:tcW w:w="2238" w:type="pct"/>
          </w:tcPr>
          <w:p w14:paraId="0A1F4860" w14:textId="77777777" w:rsidR="00216FFC" w:rsidRPr="00954233" w:rsidRDefault="00216FFC" w:rsidP="00954233">
            <w:pPr>
              <w:pStyle w:val="TableParagraph"/>
              <w:spacing w:afterLines="60" w:after="144"/>
              <w:rPr>
                <w:rFonts w:cstheme="minorHAnsi"/>
                <w:sz w:val="24"/>
                <w:szCs w:val="24"/>
              </w:rPr>
            </w:pPr>
            <w:r w:rsidRPr="00954233">
              <w:rPr>
                <w:rFonts w:cstheme="minorHAnsi"/>
                <w:sz w:val="24"/>
                <w:szCs w:val="24"/>
              </w:rPr>
              <w:t>Billed properties to include number of:</w:t>
            </w:r>
          </w:p>
          <w:p w14:paraId="3B855906" w14:textId="77777777" w:rsidR="00216FFC" w:rsidRPr="00954233" w:rsidRDefault="00216FFC" w:rsidP="00954233">
            <w:r w:rsidRPr="00954233">
              <w:t>Household billed properties</w:t>
            </w:r>
          </w:p>
          <w:p w14:paraId="4C753E57" w14:textId="77777777" w:rsidR="00E343D2" w:rsidRPr="00954233" w:rsidRDefault="00216FFC" w:rsidP="00954233">
            <w:r w:rsidRPr="00954233">
              <w:t>Licensed Provider supply points</w:t>
            </w:r>
          </w:p>
          <w:p w14:paraId="2634A0B8" w14:textId="03807940" w:rsidR="0093021B" w:rsidRPr="00954233" w:rsidRDefault="0093021B" w:rsidP="00954233">
            <w:pPr>
              <w:pStyle w:val="TableParagraph"/>
              <w:spacing w:afterLines="60" w:after="144"/>
              <w:rPr>
                <w:rFonts w:cstheme="minorHAnsi"/>
                <w:sz w:val="24"/>
                <w:szCs w:val="24"/>
              </w:rPr>
            </w:pPr>
            <w:r w:rsidRPr="00954233">
              <w:rPr>
                <w:rFonts w:cstheme="minorHAnsi"/>
                <w:sz w:val="24"/>
                <w:szCs w:val="24"/>
              </w:rPr>
              <w:t>Total billed properties and supply po</w:t>
            </w:r>
            <w:r w:rsidR="00897C17" w:rsidRPr="00954233">
              <w:rPr>
                <w:rFonts w:cstheme="minorHAnsi"/>
                <w:sz w:val="24"/>
                <w:szCs w:val="24"/>
              </w:rPr>
              <w:t>ints</w:t>
            </w:r>
          </w:p>
        </w:tc>
        <w:tc>
          <w:tcPr>
            <w:tcW w:w="748" w:type="pct"/>
          </w:tcPr>
          <w:p w14:paraId="4C066798" w14:textId="7264522E" w:rsidR="00E343D2" w:rsidRPr="00954233" w:rsidRDefault="00E84D67">
            <w:pPr>
              <w:pStyle w:val="TableParagraph"/>
              <w:rPr>
                <w:rFonts w:cstheme="minorHAnsi"/>
                <w:sz w:val="24"/>
                <w:szCs w:val="24"/>
              </w:rPr>
            </w:pPr>
            <w:r w:rsidRPr="00954233">
              <w:rPr>
                <w:rFonts w:cstheme="minorHAnsi"/>
                <w:sz w:val="24"/>
                <w:szCs w:val="24"/>
              </w:rPr>
              <w:t>Nr</w:t>
            </w:r>
          </w:p>
        </w:tc>
      </w:tr>
      <w:tr w:rsidR="00E343D2" w:rsidRPr="00FF4778" w14:paraId="431390A2" w14:textId="77777777" w:rsidTr="00954233">
        <w:tc>
          <w:tcPr>
            <w:tcW w:w="673" w:type="pct"/>
          </w:tcPr>
          <w:p w14:paraId="04407567" w14:textId="25555EEC" w:rsidR="00E343D2" w:rsidRPr="00954233" w:rsidRDefault="009D24B7">
            <w:pPr>
              <w:pStyle w:val="TableParagraph"/>
              <w:rPr>
                <w:rFonts w:cstheme="minorHAnsi"/>
                <w:sz w:val="24"/>
                <w:szCs w:val="24"/>
              </w:rPr>
            </w:pPr>
            <w:r w:rsidRPr="00954233">
              <w:rPr>
                <w:rFonts w:cstheme="minorHAnsi"/>
                <w:sz w:val="24"/>
                <w:szCs w:val="24"/>
              </w:rPr>
              <w:t>7.</w:t>
            </w:r>
            <w:r w:rsidR="00B300D7" w:rsidRPr="00954233">
              <w:rPr>
                <w:rFonts w:cstheme="minorHAnsi"/>
                <w:sz w:val="24"/>
                <w:szCs w:val="24"/>
                <w:lang w:eastAsia="zh-CN"/>
              </w:rPr>
              <w:t>32</w:t>
            </w:r>
            <w:r w:rsidRPr="00954233">
              <w:rPr>
                <w:rFonts w:cstheme="minorHAnsi"/>
                <w:sz w:val="24"/>
                <w:szCs w:val="24"/>
              </w:rPr>
              <w:t xml:space="preserve"> </w:t>
            </w:r>
            <w:r w:rsidR="000A04DC" w:rsidRPr="00954233">
              <w:rPr>
                <w:rFonts w:cstheme="minorHAnsi"/>
                <w:sz w:val="24"/>
                <w:szCs w:val="24"/>
              </w:rPr>
              <w:t>-</w:t>
            </w:r>
            <w:r w:rsidRPr="00954233">
              <w:rPr>
                <w:rFonts w:cstheme="minorHAnsi"/>
                <w:sz w:val="24"/>
                <w:szCs w:val="24"/>
              </w:rPr>
              <w:t xml:space="preserve"> 7.</w:t>
            </w:r>
            <w:r w:rsidR="007456B5" w:rsidRPr="00954233">
              <w:rPr>
                <w:rFonts w:cstheme="minorHAnsi"/>
                <w:sz w:val="24"/>
                <w:szCs w:val="24"/>
              </w:rPr>
              <w:t>3</w:t>
            </w:r>
            <w:r w:rsidR="00B300D7" w:rsidRPr="00954233">
              <w:rPr>
                <w:rFonts w:cstheme="minorHAnsi"/>
                <w:sz w:val="24"/>
                <w:szCs w:val="24"/>
                <w:lang w:eastAsia="zh-CN"/>
              </w:rPr>
              <w:t>4</w:t>
            </w:r>
          </w:p>
        </w:tc>
        <w:tc>
          <w:tcPr>
            <w:tcW w:w="1341" w:type="pct"/>
          </w:tcPr>
          <w:p w14:paraId="60703BB3" w14:textId="77777777" w:rsidR="008A40D9" w:rsidRPr="00954233" w:rsidRDefault="008A40D9" w:rsidP="008A40D9">
            <w:pPr>
              <w:spacing w:line="240" w:lineRule="auto"/>
              <w:jc w:val="left"/>
              <w:rPr>
                <w:rFonts w:cstheme="minorHAnsi"/>
                <w:szCs w:val="24"/>
              </w:rPr>
            </w:pPr>
            <w:r w:rsidRPr="00954233">
              <w:rPr>
                <w:rFonts w:cstheme="minorHAnsi"/>
                <w:szCs w:val="24"/>
              </w:rPr>
              <w:t>Water connected properties &amp; supply points</w:t>
            </w:r>
          </w:p>
          <w:p w14:paraId="37E49EA6" w14:textId="7798BE03" w:rsidR="00E343D2" w:rsidRPr="00954233" w:rsidRDefault="00E343D2">
            <w:pPr>
              <w:pStyle w:val="TableParagraph"/>
              <w:rPr>
                <w:rFonts w:cstheme="minorHAnsi"/>
                <w:sz w:val="24"/>
                <w:szCs w:val="24"/>
              </w:rPr>
            </w:pPr>
          </w:p>
        </w:tc>
        <w:tc>
          <w:tcPr>
            <w:tcW w:w="2238" w:type="pct"/>
          </w:tcPr>
          <w:p w14:paraId="5AA5431D" w14:textId="77777777" w:rsidR="00E343D2" w:rsidRPr="00954233" w:rsidRDefault="00D11A05" w:rsidP="00954233">
            <w:pPr>
              <w:pStyle w:val="TableParagraph"/>
              <w:spacing w:afterLines="60" w:after="144"/>
              <w:rPr>
                <w:rFonts w:cstheme="minorHAnsi"/>
                <w:sz w:val="24"/>
                <w:szCs w:val="24"/>
              </w:rPr>
            </w:pPr>
            <w:r w:rsidRPr="00954233">
              <w:rPr>
                <w:rFonts w:cstheme="minorHAnsi"/>
                <w:sz w:val="24"/>
                <w:szCs w:val="24"/>
              </w:rPr>
              <w:t>Connected properties to include</w:t>
            </w:r>
            <w:r w:rsidR="00E851E3" w:rsidRPr="00954233">
              <w:rPr>
                <w:rFonts w:cstheme="minorHAnsi"/>
                <w:sz w:val="24"/>
                <w:szCs w:val="24"/>
              </w:rPr>
              <w:t>:</w:t>
            </w:r>
          </w:p>
          <w:p w14:paraId="05EE5B66" w14:textId="77777777" w:rsidR="00E851E3" w:rsidRPr="00954233" w:rsidRDefault="00E851E3" w:rsidP="00954233">
            <w:r w:rsidRPr="00954233">
              <w:t>Household connected properties</w:t>
            </w:r>
          </w:p>
          <w:p w14:paraId="62555F49" w14:textId="77777777" w:rsidR="00E851E3" w:rsidRPr="00954233" w:rsidRDefault="00E851E3" w:rsidP="00954233">
            <w:r w:rsidRPr="00954233">
              <w:t>Licensed Provider connected supply points</w:t>
            </w:r>
          </w:p>
          <w:p w14:paraId="789068E0" w14:textId="69B17A82" w:rsidR="00897C17" w:rsidRPr="00954233" w:rsidRDefault="00897C17" w:rsidP="00954233">
            <w:pPr>
              <w:pStyle w:val="TableParagraph"/>
              <w:spacing w:afterLines="60" w:after="144"/>
              <w:rPr>
                <w:rFonts w:cstheme="minorHAnsi"/>
                <w:sz w:val="24"/>
                <w:szCs w:val="24"/>
              </w:rPr>
            </w:pPr>
            <w:r w:rsidRPr="00954233">
              <w:rPr>
                <w:rFonts w:cstheme="minorHAnsi"/>
                <w:sz w:val="24"/>
                <w:szCs w:val="24"/>
              </w:rPr>
              <w:t xml:space="preserve">Total connected properties </w:t>
            </w:r>
            <w:r w:rsidR="00615D15" w:rsidRPr="00954233">
              <w:rPr>
                <w:rFonts w:cstheme="minorHAnsi"/>
                <w:sz w:val="24"/>
                <w:szCs w:val="24"/>
              </w:rPr>
              <w:t>and supply points</w:t>
            </w:r>
          </w:p>
        </w:tc>
        <w:tc>
          <w:tcPr>
            <w:tcW w:w="748" w:type="pct"/>
          </w:tcPr>
          <w:p w14:paraId="57145BD3" w14:textId="0A56D2C0" w:rsidR="00E343D2" w:rsidRPr="00954233" w:rsidRDefault="00E84D67">
            <w:pPr>
              <w:pStyle w:val="TableParagraph"/>
              <w:rPr>
                <w:rFonts w:cstheme="minorHAnsi"/>
                <w:sz w:val="24"/>
                <w:szCs w:val="24"/>
              </w:rPr>
            </w:pPr>
            <w:r w:rsidRPr="00954233">
              <w:rPr>
                <w:rFonts w:cstheme="minorHAnsi"/>
                <w:sz w:val="24"/>
                <w:szCs w:val="24"/>
              </w:rPr>
              <w:t>Nr</w:t>
            </w:r>
          </w:p>
        </w:tc>
      </w:tr>
      <w:tr w:rsidR="00E343D2" w:rsidRPr="00FF4778" w14:paraId="0B2B3666" w14:textId="77777777" w:rsidTr="00954233">
        <w:tc>
          <w:tcPr>
            <w:tcW w:w="673" w:type="pct"/>
          </w:tcPr>
          <w:p w14:paraId="60A06EAA" w14:textId="2D621358" w:rsidR="00E343D2" w:rsidRPr="00954233" w:rsidRDefault="009D24B7">
            <w:pPr>
              <w:pStyle w:val="TableParagraph"/>
              <w:rPr>
                <w:rFonts w:cstheme="minorHAnsi"/>
                <w:sz w:val="24"/>
                <w:szCs w:val="24"/>
              </w:rPr>
            </w:pPr>
            <w:r w:rsidRPr="00954233">
              <w:rPr>
                <w:rFonts w:cstheme="minorHAnsi"/>
                <w:sz w:val="24"/>
                <w:szCs w:val="24"/>
              </w:rPr>
              <w:t>7.</w:t>
            </w:r>
            <w:r w:rsidR="007456B5" w:rsidRPr="00954233">
              <w:rPr>
                <w:rFonts w:cstheme="minorHAnsi"/>
                <w:sz w:val="24"/>
                <w:szCs w:val="24"/>
              </w:rPr>
              <w:t>3</w:t>
            </w:r>
            <w:r w:rsidR="00B300D7" w:rsidRPr="00954233">
              <w:rPr>
                <w:rFonts w:cstheme="minorHAnsi"/>
                <w:sz w:val="24"/>
                <w:szCs w:val="24"/>
                <w:lang w:eastAsia="zh-CN"/>
              </w:rPr>
              <w:t>5</w:t>
            </w:r>
          </w:p>
        </w:tc>
        <w:tc>
          <w:tcPr>
            <w:tcW w:w="1341" w:type="pct"/>
          </w:tcPr>
          <w:p w14:paraId="1E7D0941" w14:textId="77777777" w:rsidR="00D11A05" w:rsidRPr="00954233" w:rsidRDefault="00D11A05" w:rsidP="00D11A05">
            <w:pPr>
              <w:spacing w:line="240" w:lineRule="auto"/>
              <w:jc w:val="left"/>
              <w:rPr>
                <w:rFonts w:cstheme="minorHAnsi"/>
                <w:szCs w:val="24"/>
              </w:rPr>
            </w:pPr>
            <w:r w:rsidRPr="00954233">
              <w:rPr>
                <w:rFonts w:cstheme="minorHAnsi"/>
                <w:szCs w:val="24"/>
              </w:rPr>
              <w:t>Water population</w:t>
            </w:r>
          </w:p>
          <w:p w14:paraId="05C26B78" w14:textId="75832AE0" w:rsidR="00E343D2" w:rsidRPr="00954233" w:rsidRDefault="00E343D2">
            <w:pPr>
              <w:pStyle w:val="TableParagraph"/>
              <w:rPr>
                <w:rFonts w:cstheme="minorHAnsi"/>
                <w:sz w:val="24"/>
                <w:szCs w:val="24"/>
              </w:rPr>
            </w:pPr>
          </w:p>
        </w:tc>
        <w:tc>
          <w:tcPr>
            <w:tcW w:w="2238" w:type="pct"/>
          </w:tcPr>
          <w:p w14:paraId="0EEA2F44" w14:textId="7E62F592" w:rsidR="00175A99" w:rsidRPr="00954233" w:rsidRDefault="00175A99" w:rsidP="00954233">
            <w:pPr>
              <w:pStyle w:val="TableParagraph"/>
              <w:spacing w:afterLines="60" w:after="144"/>
              <w:rPr>
                <w:rFonts w:cstheme="minorHAnsi"/>
                <w:sz w:val="24"/>
                <w:szCs w:val="24"/>
              </w:rPr>
            </w:pPr>
            <w:r w:rsidRPr="00954233">
              <w:rPr>
                <w:rFonts w:cstheme="minorHAnsi"/>
                <w:sz w:val="24"/>
                <w:szCs w:val="24"/>
              </w:rPr>
              <w:t>Data to be provided on the</w:t>
            </w:r>
            <w:r w:rsidR="00E84D67" w:rsidRPr="00954233">
              <w:rPr>
                <w:rFonts w:cstheme="minorHAnsi"/>
                <w:sz w:val="24"/>
                <w:szCs w:val="24"/>
              </w:rPr>
              <w:t>:</w:t>
            </w:r>
          </w:p>
          <w:p w14:paraId="66304195" w14:textId="5E711BFB" w:rsidR="00E343D2" w:rsidRPr="00954233" w:rsidRDefault="00E1317A" w:rsidP="00954233">
            <w:pPr>
              <w:pStyle w:val="TableParagraph"/>
              <w:spacing w:afterLines="60" w:after="144"/>
              <w:rPr>
                <w:rFonts w:cstheme="minorHAnsi"/>
                <w:sz w:val="24"/>
                <w:szCs w:val="24"/>
              </w:rPr>
            </w:pPr>
            <w:r w:rsidRPr="00954233">
              <w:rPr>
                <w:rFonts w:cstheme="minorHAnsi"/>
                <w:sz w:val="24"/>
                <w:szCs w:val="24"/>
              </w:rPr>
              <w:t>Household population connected to the water service</w:t>
            </w:r>
          </w:p>
        </w:tc>
        <w:tc>
          <w:tcPr>
            <w:tcW w:w="748" w:type="pct"/>
          </w:tcPr>
          <w:p w14:paraId="6450CF3D" w14:textId="1CE644FF" w:rsidR="00E343D2" w:rsidRPr="00954233" w:rsidRDefault="00E84D67">
            <w:pPr>
              <w:pStyle w:val="TableParagraph"/>
              <w:rPr>
                <w:rFonts w:cstheme="minorHAnsi"/>
                <w:sz w:val="24"/>
                <w:szCs w:val="24"/>
              </w:rPr>
            </w:pPr>
            <w:r w:rsidRPr="00954233">
              <w:rPr>
                <w:rFonts w:cstheme="minorHAnsi"/>
                <w:sz w:val="24"/>
                <w:szCs w:val="24"/>
              </w:rPr>
              <w:t>Nr</w:t>
            </w:r>
          </w:p>
        </w:tc>
      </w:tr>
      <w:tr w:rsidR="00E343D2" w:rsidRPr="00FF4778" w14:paraId="17172345" w14:textId="77777777" w:rsidTr="00954233">
        <w:tc>
          <w:tcPr>
            <w:tcW w:w="673" w:type="pct"/>
          </w:tcPr>
          <w:p w14:paraId="13D2955D" w14:textId="610C6FBC" w:rsidR="00E343D2" w:rsidRPr="00954233" w:rsidRDefault="000A71F8">
            <w:pPr>
              <w:pStyle w:val="TableParagraph"/>
              <w:rPr>
                <w:rFonts w:cstheme="minorHAnsi"/>
                <w:sz w:val="24"/>
                <w:szCs w:val="24"/>
              </w:rPr>
            </w:pPr>
            <w:r w:rsidRPr="00954233">
              <w:rPr>
                <w:rFonts w:cstheme="minorHAnsi"/>
                <w:sz w:val="24"/>
                <w:szCs w:val="24"/>
              </w:rPr>
              <w:lastRenderedPageBreak/>
              <w:t>7.</w:t>
            </w:r>
            <w:r w:rsidR="000D56AB" w:rsidRPr="00954233">
              <w:rPr>
                <w:rFonts w:cstheme="minorHAnsi"/>
                <w:sz w:val="24"/>
                <w:szCs w:val="24"/>
              </w:rPr>
              <w:t>3</w:t>
            </w:r>
            <w:r w:rsidR="00B300D7" w:rsidRPr="00954233">
              <w:rPr>
                <w:rFonts w:cstheme="minorHAnsi"/>
                <w:sz w:val="24"/>
                <w:szCs w:val="24"/>
                <w:lang w:eastAsia="zh-CN"/>
              </w:rPr>
              <w:t>6</w:t>
            </w:r>
            <w:r w:rsidRPr="00954233">
              <w:rPr>
                <w:rFonts w:cstheme="minorHAnsi"/>
                <w:sz w:val="24"/>
                <w:szCs w:val="24"/>
              </w:rPr>
              <w:t xml:space="preserve"> </w:t>
            </w:r>
            <w:r w:rsidR="000A04DC" w:rsidRPr="00954233">
              <w:rPr>
                <w:rFonts w:cstheme="minorHAnsi"/>
                <w:sz w:val="24"/>
                <w:szCs w:val="24"/>
              </w:rPr>
              <w:t>-</w:t>
            </w:r>
            <w:r w:rsidRPr="00954233">
              <w:rPr>
                <w:rFonts w:cstheme="minorHAnsi"/>
                <w:sz w:val="24"/>
                <w:szCs w:val="24"/>
              </w:rPr>
              <w:t xml:space="preserve"> 7.</w:t>
            </w:r>
            <w:r w:rsidR="009B1BFF" w:rsidRPr="00954233">
              <w:rPr>
                <w:rFonts w:cstheme="minorHAnsi"/>
                <w:sz w:val="24"/>
                <w:szCs w:val="24"/>
              </w:rPr>
              <w:t>3</w:t>
            </w:r>
            <w:r w:rsidR="00B300D7" w:rsidRPr="00954233">
              <w:rPr>
                <w:rFonts w:cstheme="minorHAnsi"/>
                <w:sz w:val="24"/>
                <w:szCs w:val="24"/>
                <w:lang w:eastAsia="zh-CN"/>
              </w:rPr>
              <w:t>9</w:t>
            </w:r>
          </w:p>
        </w:tc>
        <w:tc>
          <w:tcPr>
            <w:tcW w:w="1341" w:type="pct"/>
          </w:tcPr>
          <w:p w14:paraId="26CCDEB3" w14:textId="77777777" w:rsidR="001E1E68" w:rsidRPr="00954233" w:rsidRDefault="001E1E68" w:rsidP="001E1E68">
            <w:pPr>
              <w:pStyle w:val="TableParagraph"/>
              <w:rPr>
                <w:rFonts w:cstheme="minorHAnsi"/>
                <w:sz w:val="24"/>
                <w:szCs w:val="24"/>
              </w:rPr>
            </w:pPr>
            <w:r w:rsidRPr="00954233">
              <w:rPr>
                <w:rFonts w:cstheme="minorHAnsi"/>
                <w:sz w:val="24"/>
                <w:szCs w:val="24"/>
              </w:rPr>
              <w:t>Wastewater billed properties and supply points</w:t>
            </w:r>
          </w:p>
          <w:p w14:paraId="10B8CE01" w14:textId="7F263BA7" w:rsidR="00E343D2" w:rsidRPr="00954233" w:rsidRDefault="00E343D2" w:rsidP="001E1E68">
            <w:pPr>
              <w:pStyle w:val="TableParagraph"/>
              <w:rPr>
                <w:rFonts w:cstheme="minorHAnsi"/>
                <w:sz w:val="24"/>
                <w:szCs w:val="24"/>
              </w:rPr>
            </w:pPr>
          </w:p>
        </w:tc>
        <w:tc>
          <w:tcPr>
            <w:tcW w:w="2238" w:type="pct"/>
          </w:tcPr>
          <w:p w14:paraId="571AA192" w14:textId="5B388039" w:rsidR="00E343D2" w:rsidRPr="00954233" w:rsidRDefault="001905A3" w:rsidP="00954233">
            <w:pPr>
              <w:pStyle w:val="TableParagraph"/>
              <w:spacing w:afterLines="60" w:after="144"/>
              <w:rPr>
                <w:rFonts w:cstheme="minorHAnsi"/>
                <w:sz w:val="24"/>
                <w:szCs w:val="24"/>
              </w:rPr>
            </w:pPr>
            <w:r w:rsidRPr="00954233">
              <w:rPr>
                <w:rFonts w:cstheme="minorHAnsi"/>
                <w:sz w:val="24"/>
                <w:szCs w:val="24"/>
              </w:rPr>
              <w:t>Billed properties to include</w:t>
            </w:r>
            <w:r w:rsidR="00216FFC" w:rsidRPr="00954233">
              <w:rPr>
                <w:rFonts w:cstheme="minorHAnsi"/>
                <w:sz w:val="24"/>
                <w:szCs w:val="24"/>
              </w:rPr>
              <w:t xml:space="preserve"> number of:</w:t>
            </w:r>
          </w:p>
          <w:p w14:paraId="316D8C8B" w14:textId="77777777" w:rsidR="00216FFC" w:rsidRPr="00954233" w:rsidRDefault="00216FFC" w:rsidP="00954233">
            <w:r w:rsidRPr="00954233">
              <w:t>Household billed properties</w:t>
            </w:r>
          </w:p>
          <w:p w14:paraId="6A180A83" w14:textId="77777777" w:rsidR="00216FFC" w:rsidRPr="00954233" w:rsidRDefault="00216FFC" w:rsidP="00954233">
            <w:r w:rsidRPr="00954233">
              <w:t>Licensed Provider supply points</w:t>
            </w:r>
          </w:p>
          <w:p w14:paraId="12A1233A" w14:textId="3BFCCB96" w:rsidR="00615D15" w:rsidRPr="00954233" w:rsidRDefault="00615D15" w:rsidP="00954233">
            <w:r w:rsidRPr="00954233">
              <w:t>Total billed properties and supply points</w:t>
            </w:r>
          </w:p>
          <w:p w14:paraId="1CC3BF34" w14:textId="6795783F" w:rsidR="00D1606D" w:rsidRPr="00954233" w:rsidRDefault="00D1606D" w:rsidP="00954233">
            <w:pPr>
              <w:pStyle w:val="TableParagraph"/>
              <w:spacing w:afterLines="60" w:after="144"/>
              <w:rPr>
                <w:rFonts w:cstheme="minorHAnsi"/>
                <w:sz w:val="24"/>
                <w:szCs w:val="24"/>
              </w:rPr>
            </w:pPr>
            <w:r w:rsidRPr="00954233">
              <w:rPr>
                <w:rFonts w:cstheme="minorHAnsi"/>
                <w:sz w:val="24"/>
                <w:szCs w:val="24"/>
              </w:rPr>
              <w:t>Total billed properties and supply points not connected for property drainage</w:t>
            </w:r>
          </w:p>
        </w:tc>
        <w:tc>
          <w:tcPr>
            <w:tcW w:w="748" w:type="pct"/>
          </w:tcPr>
          <w:p w14:paraId="1C8AE245" w14:textId="4033F96F" w:rsidR="00E343D2" w:rsidRPr="00954233" w:rsidRDefault="00E84D67">
            <w:pPr>
              <w:pStyle w:val="TableParagraph"/>
              <w:rPr>
                <w:rFonts w:cstheme="minorHAnsi"/>
                <w:sz w:val="24"/>
                <w:szCs w:val="24"/>
              </w:rPr>
            </w:pPr>
            <w:r w:rsidRPr="00954233">
              <w:rPr>
                <w:rFonts w:cstheme="minorHAnsi"/>
                <w:sz w:val="24"/>
                <w:szCs w:val="24"/>
              </w:rPr>
              <w:t>Nr</w:t>
            </w:r>
          </w:p>
        </w:tc>
      </w:tr>
      <w:tr w:rsidR="00D11A05" w:rsidRPr="00FF4778" w14:paraId="678C69CC" w14:textId="77777777" w:rsidTr="00954233">
        <w:tc>
          <w:tcPr>
            <w:tcW w:w="673" w:type="pct"/>
          </w:tcPr>
          <w:p w14:paraId="67C8F54B" w14:textId="4493AB36" w:rsidR="00D11A05" w:rsidRPr="00954233" w:rsidRDefault="000A71F8">
            <w:pPr>
              <w:pStyle w:val="TableParagraph"/>
              <w:rPr>
                <w:rFonts w:cstheme="minorHAnsi"/>
                <w:sz w:val="24"/>
                <w:szCs w:val="24"/>
              </w:rPr>
            </w:pPr>
            <w:r w:rsidRPr="00954233">
              <w:rPr>
                <w:rFonts w:cstheme="minorHAnsi"/>
                <w:sz w:val="24"/>
                <w:szCs w:val="24"/>
              </w:rPr>
              <w:t>7.</w:t>
            </w:r>
            <w:r w:rsidR="00B300D7" w:rsidRPr="00954233">
              <w:rPr>
                <w:rFonts w:cstheme="minorHAnsi"/>
                <w:sz w:val="24"/>
                <w:szCs w:val="24"/>
                <w:lang w:eastAsia="zh-CN"/>
              </w:rPr>
              <w:t>40</w:t>
            </w:r>
            <w:r w:rsidRPr="00954233">
              <w:rPr>
                <w:rFonts w:cstheme="minorHAnsi"/>
                <w:sz w:val="24"/>
                <w:szCs w:val="24"/>
              </w:rPr>
              <w:t xml:space="preserve"> </w:t>
            </w:r>
            <w:r w:rsidR="000A04DC" w:rsidRPr="00954233">
              <w:rPr>
                <w:rFonts w:cstheme="minorHAnsi"/>
                <w:sz w:val="24"/>
                <w:szCs w:val="24"/>
              </w:rPr>
              <w:t xml:space="preserve">- </w:t>
            </w:r>
            <w:r w:rsidRPr="00954233">
              <w:rPr>
                <w:rFonts w:cstheme="minorHAnsi"/>
                <w:sz w:val="24"/>
                <w:szCs w:val="24"/>
              </w:rPr>
              <w:t>7.</w:t>
            </w:r>
            <w:r w:rsidR="00B300D7" w:rsidRPr="00954233">
              <w:rPr>
                <w:rFonts w:cstheme="minorHAnsi"/>
                <w:sz w:val="24"/>
                <w:szCs w:val="24"/>
                <w:lang w:eastAsia="zh-CN"/>
              </w:rPr>
              <w:t>42</w:t>
            </w:r>
          </w:p>
        </w:tc>
        <w:tc>
          <w:tcPr>
            <w:tcW w:w="1341" w:type="pct"/>
          </w:tcPr>
          <w:p w14:paraId="237737C8" w14:textId="78CB6ED3" w:rsidR="00D11A05" w:rsidRPr="00954233" w:rsidRDefault="001E1E68">
            <w:pPr>
              <w:pStyle w:val="TableParagraph"/>
              <w:rPr>
                <w:rFonts w:cstheme="minorHAnsi"/>
                <w:sz w:val="24"/>
                <w:szCs w:val="24"/>
              </w:rPr>
            </w:pPr>
            <w:r w:rsidRPr="00954233">
              <w:rPr>
                <w:rFonts w:cstheme="minorHAnsi"/>
                <w:sz w:val="24"/>
                <w:szCs w:val="24"/>
              </w:rPr>
              <w:t>Wastewater connected properties &amp; supply points</w:t>
            </w:r>
          </w:p>
        </w:tc>
        <w:tc>
          <w:tcPr>
            <w:tcW w:w="2238" w:type="pct"/>
          </w:tcPr>
          <w:p w14:paraId="5CB453B6" w14:textId="597C05BF" w:rsidR="00D11A05" w:rsidRPr="00954233" w:rsidRDefault="001905A3" w:rsidP="00954233">
            <w:pPr>
              <w:pStyle w:val="TableParagraph"/>
              <w:spacing w:afterLines="60" w:after="144"/>
              <w:rPr>
                <w:rFonts w:cstheme="minorHAnsi"/>
                <w:sz w:val="24"/>
                <w:szCs w:val="24"/>
              </w:rPr>
            </w:pPr>
            <w:r w:rsidRPr="00954233">
              <w:rPr>
                <w:rFonts w:cstheme="minorHAnsi"/>
                <w:sz w:val="24"/>
                <w:szCs w:val="24"/>
              </w:rPr>
              <w:t>Connected properties to include</w:t>
            </w:r>
            <w:r w:rsidR="00275E97" w:rsidRPr="00954233">
              <w:rPr>
                <w:rFonts w:cstheme="minorHAnsi"/>
                <w:sz w:val="24"/>
                <w:szCs w:val="24"/>
              </w:rPr>
              <w:t xml:space="preserve"> number of:</w:t>
            </w:r>
          </w:p>
          <w:p w14:paraId="4F063E26" w14:textId="77777777" w:rsidR="00275E97" w:rsidRPr="00954233" w:rsidRDefault="00275E97" w:rsidP="00954233">
            <w:r w:rsidRPr="00954233">
              <w:t>Household connected properties</w:t>
            </w:r>
          </w:p>
          <w:p w14:paraId="05889FB2" w14:textId="77777777" w:rsidR="00275E97" w:rsidRPr="00954233" w:rsidRDefault="00275E97" w:rsidP="00954233">
            <w:r w:rsidRPr="00954233">
              <w:t>Licensed Provider connected supply points</w:t>
            </w:r>
          </w:p>
          <w:p w14:paraId="2FA3BEF6" w14:textId="74E281EF" w:rsidR="00096291" w:rsidRPr="00954233" w:rsidRDefault="00096291" w:rsidP="00954233">
            <w:pPr>
              <w:pStyle w:val="TableParagraph"/>
              <w:spacing w:afterLines="60" w:after="144"/>
              <w:rPr>
                <w:rFonts w:cstheme="minorHAnsi"/>
                <w:sz w:val="24"/>
                <w:szCs w:val="24"/>
              </w:rPr>
            </w:pPr>
            <w:r w:rsidRPr="00954233">
              <w:rPr>
                <w:rFonts w:cstheme="minorHAnsi"/>
                <w:sz w:val="24"/>
                <w:szCs w:val="24"/>
              </w:rPr>
              <w:t>Total</w:t>
            </w:r>
            <w:r w:rsidR="00834F44" w:rsidRPr="00954233">
              <w:rPr>
                <w:rFonts w:cstheme="minorHAnsi"/>
                <w:sz w:val="24"/>
                <w:szCs w:val="24"/>
              </w:rPr>
              <w:t xml:space="preserve"> connected properties and supply points</w:t>
            </w:r>
          </w:p>
        </w:tc>
        <w:tc>
          <w:tcPr>
            <w:tcW w:w="748" w:type="pct"/>
          </w:tcPr>
          <w:p w14:paraId="37E1ABE6" w14:textId="2E79922E" w:rsidR="00D11A05" w:rsidRPr="00954233" w:rsidRDefault="00E84D67">
            <w:pPr>
              <w:pStyle w:val="TableParagraph"/>
              <w:rPr>
                <w:rFonts w:cstheme="minorHAnsi"/>
                <w:sz w:val="24"/>
                <w:szCs w:val="24"/>
              </w:rPr>
            </w:pPr>
            <w:r w:rsidRPr="00954233">
              <w:rPr>
                <w:rFonts w:cstheme="minorHAnsi"/>
                <w:sz w:val="24"/>
                <w:szCs w:val="24"/>
              </w:rPr>
              <w:t>Nr</w:t>
            </w:r>
          </w:p>
        </w:tc>
      </w:tr>
      <w:tr w:rsidR="00D11A05" w:rsidRPr="00FF4778" w14:paraId="4C8C1FBC" w14:textId="77777777" w:rsidTr="00954233">
        <w:tc>
          <w:tcPr>
            <w:tcW w:w="673" w:type="pct"/>
          </w:tcPr>
          <w:p w14:paraId="0F678D67" w14:textId="3D9B9288" w:rsidR="00D11A05" w:rsidRPr="00954233" w:rsidRDefault="000A71F8">
            <w:pPr>
              <w:pStyle w:val="TableParagraph"/>
              <w:rPr>
                <w:rFonts w:cstheme="minorHAnsi"/>
                <w:sz w:val="24"/>
                <w:szCs w:val="24"/>
              </w:rPr>
            </w:pPr>
            <w:r w:rsidRPr="00954233">
              <w:rPr>
                <w:rFonts w:cstheme="minorHAnsi"/>
                <w:sz w:val="24"/>
                <w:szCs w:val="24"/>
              </w:rPr>
              <w:t>7.</w:t>
            </w:r>
            <w:r w:rsidR="00B300D7" w:rsidRPr="00954233">
              <w:rPr>
                <w:rFonts w:cstheme="minorHAnsi"/>
                <w:sz w:val="24"/>
                <w:szCs w:val="24"/>
                <w:lang w:eastAsia="zh-CN"/>
              </w:rPr>
              <w:t>43</w:t>
            </w:r>
            <w:r w:rsidRPr="00954233">
              <w:rPr>
                <w:rFonts w:cstheme="minorHAnsi"/>
                <w:sz w:val="24"/>
                <w:szCs w:val="24"/>
              </w:rPr>
              <w:t xml:space="preserve"> </w:t>
            </w:r>
            <w:r w:rsidR="000A04DC" w:rsidRPr="00954233">
              <w:rPr>
                <w:rFonts w:cstheme="minorHAnsi"/>
                <w:sz w:val="24"/>
                <w:szCs w:val="24"/>
              </w:rPr>
              <w:t>-</w:t>
            </w:r>
            <w:r w:rsidRPr="00954233">
              <w:rPr>
                <w:rFonts w:cstheme="minorHAnsi"/>
                <w:sz w:val="24"/>
                <w:szCs w:val="24"/>
              </w:rPr>
              <w:t xml:space="preserve"> 7.</w:t>
            </w:r>
            <w:r w:rsidR="00E8232D" w:rsidRPr="00954233">
              <w:rPr>
                <w:rFonts w:cstheme="minorHAnsi"/>
                <w:sz w:val="24"/>
                <w:szCs w:val="24"/>
              </w:rPr>
              <w:t>4</w:t>
            </w:r>
            <w:r w:rsidR="006A08AA" w:rsidRPr="00954233">
              <w:rPr>
                <w:rFonts w:cstheme="minorHAnsi"/>
                <w:sz w:val="24"/>
                <w:szCs w:val="24"/>
                <w:lang w:eastAsia="zh-CN"/>
              </w:rPr>
              <w:t>4</w:t>
            </w:r>
          </w:p>
        </w:tc>
        <w:tc>
          <w:tcPr>
            <w:tcW w:w="1341" w:type="pct"/>
          </w:tcPr>
          <w:p w14:paraId="12A86DE1" w14:textId="5C77F319" w:rsidR="00D11A05" w:rsidRPr="00954233" w:rsidRDefault="00280680">
            <w:pPr>
              <w:pStyle w:val="TableParagraph"/>
              <w:rPr>
                <w:rFonts w:cstheme="minorHAnsi"/>
                <w:sz w:val="24"/>
                <w:szCs w:val="24"/>
              </w:rPr>
            </w:pPr>
            <w:r w:rsidRPr="00954233">
              <w:rPr>
                <w:rFonts w:cstheme="minorHAnsi"/>
                <w:sz w:val="24"/>
                <w:szCs w:val="24"/>
              </w:rPr>
              <w:t>Wastewater population</w:t>
            </w:r>
          </w:p>
        </w:tc>
        <w:tc>
          <w:tcPr>
            <w:tcW w:w="2238" w:type="pct"/>
          </w:tcPr>
          <w:p w14:paraId="58AC1006" w14:textId="77777777" w:rsidR="00E84D67" w:rsidRPr="00954233" w:rsidRDefault="00E84D67" w:rsidP="00954233">
            <w:pPr>
              <w:pStyle w:val="TableParagraph"/>
              <w:keepNext/>
              <w:keepLines/>
              <w:spacing w:afterLines="60" w:after="144"/>
              <w:rPr>
                <w:rFonts w:cstheme="minorHAnsi"/>
                <w:sz w:val="24"/>
                <w:szCs w:val="24"/>
              </w:rPr>
            </w:pPr>
            <w:r w:rsidRPr="00954233">
              <w:rPr>
                <w:rFonts w:cstheme="minorHAnsi"/>
                <w:sz w:val="24"/>
                <w:szCs w:val="24"/>
              </w:rPr>
              <w:t>Data to be provided on the:</w:t>
            </w:r>
          </w:p>
          <w:p w14:paraId="48A3B39E" w14:textId="77777777" w:rsidR="00C2533B" w:rsidRPr="00954233" w:rsidRDefault="00C2533B" w:rsidP="00954233">
            <w:r w:rsidRPr="00954233">
              <w:t>Household population connected to the wastewater service</w:t>
            </w:r>
          </w:p>
          <w:p w14:paraId="628C12D3" w14:textId="4B2E8FBD" w:rsidR="00D11A05" w:rsidRPr="00954233" w:rsidRDefault="00C2533B" w:rsidP="00954233">
            <w:pPr>
              <w:pStyle w:val="TableParagraph"/>
              <w:keepNext/>
              <w:keepLines/>
              <w:spacing w:afterLines="60" w:after="144"/>
              <w:rPr>
                <w:rFonts w:cstheme="minorHAnsi"/>
                <w:sz w:val="24"/>
                <w:szCs w:val="24"/>
              </w:rPr>
            </w:pPr>
            <w:r w:rsidRPr="00954233">
              <w:rPr>
                <w:rFonts w:cstheme="minorHAnsi"/>
                <w:sz w:val="24"/>
                <w:szCs w:val="24"/>
              </w:rPr>
              <w:t>Assumed percentage returned to sewer</w:t>
            </w:r>
          </w:p>
        </w:tc>
        <w:tc>
          <w:tcPr>
            <w:tcW w:w="748" w:type="pct"/>
          </w:tcPr>
          <w:p w14:paraId="32BB0A6F" w14:textId="71F31786" w:rsidR="00D11A05" w:rsidRPr="00954233" w:rsidRDefault="00E84D67">
            <w:pPr>
              <w:pStyle w:val="TableParagraph"/>
              <w:rPr>
                <w:rFonts w:cstheme="minorHAnsi"/>
                <w:sz w:val="24"/>
                <w:szCs w:val="24"/>
              </w:rPr>
            </w:pPr>
            <w:r w:rsidRPr="00954233">
              <w:rPr>
                <w:rFonts w:cstheme="minorHAnsi"/>
                <w:sz w:val="24"/>
                <w:szCs w:val="24"/>
              </w:rPr>
              <w:t>Nr</w:t>
            </w:r>
          </w:p>
        </w:tc>
      </w:tr>
    </w:tbl>
    <w:p w14:paraId="3B3E749F" w14:textId="77777777" w:rsidR="00197915" w:rsidRDefault="00197915">
      <w:pPr>
        <w:spacing w:after="160" w:line="259" w:lineRule="auto"/>
        <w:jc w:val="left"/>
      </w:pPr>
    </w:p>
    <w:p w14:paraId="7568AE57" w14:textId="77777777" w:rsidR="00197915" w:rsidRDefault="00197915" w:rsidP="00954233">
      <w:pPr>
        <w:pStyle w:val="heading20"/>
        <w:ind w:left="788" w:hanging="431"/>
        <w:outlineLvl w:val="1"/>
      </w:pPr>
      <w:bookmarkStart w:id="37" w:name="_Toc184736056"/>
      <w:r w:rsidRPr="00D2612F">
        <w:t>Additional areas to be covered in commentary but not in tables</w:t>
      </w:r>
      <w:bookmarkEnd w:id="37"/>
    </w:p>
    <w:p w14:paraId="5F45B5F9" w14:textId="77777777" w:rsidR="00197915" w:rsidRDefault="00197915" w:rsidP="00197915">
      <w:pPr>
        <w:pStyle w:val="SMALLHEADINGALLCAPS"/>
      </w:pPr>
    </w:p>
    <w:p w14:paraId="159A9B59" w14:textId="50837C55" w:rsidR="00197915" w:rsidRDefault="00197915" w:rsidP="00197915">
      <w:pPr>
        <w:pStyle w:val="SMALLHEADINGALLCAPS"/>
      </w:pPr>
      <w:r w:rsidRPr="0030124D">
        <w:t xml:space="preserve">Evidence that Scottish Water has met the requirements of the </w:t>
      </w:r>
      <w:r>
        <w:t xml:space="preserve">SRC21 </w:t>
      </w:r>
      <w:r w:rsidRPr="0030124D">
        <w:t>final determination</w:t>
      </w:r>
    </w:p>
    <w:p w14:paraId="0FCCDA41" w14:textId="77777777" w:rsidR="00197915" w:rsidRPr="00731075" w:rsidRDefault="00197915" w:rsidP="00197915">
      <w:r w:rsidRPr="00731075">
        <w:t>Scottish Water’s business plan should also provide evidence on:</w:t>
      </w:r>
    </w:p>
    <w:p w14:paraId="40DDB406" w14:textId="77777777" w:rsidR="00197915" w:rsidRPr="00731075" w:rsidRDefault="00197915" w:rsidP="005E1BE3">
      <w:pPr>
        <w:pStyle w:val="ListParagraph"/>
        <w:numPr>
          <w:ilvl w:val="0"/>
          <w:numId w:val="8"/>
        </w:numPr>
        <w:spacing w:after="160" w:line="259" w:lineRule="auto"/>
        <w:jc w:val="left"/>
      </w:pPr>
      <w:r w:rsidRPr="00731075">
        <w:t>whether it has achieved the Tier 1 efficiency challenge of 1% per annum from SRC21; and</w:t>
      </w:r>
    </w:p>
    <w:p w14:paraId="0927C395" w14:textId="09EAB5FF" w:rsidR="00AD51F1" w:rsidRDefault="00197915" w:rsidP="00954233">
      <w:pPr>
        <w:pStyle w:val="ListParagraph"/>
        <w:numPr>
          <w:ilvl w:val="0"/>
          <w:numId w:val="8"/>
        </w:numPr>
        <w:spacing w:after="160" w:line="259" w:lineRule="auto"/>
        <w:jc w:val="left"/>
        <w:sectPr w:rsidR="00AD51F1" w:rsidSect="00954233">
          <w:pgSz w:w="16838" w:h="11906" w:orient="landscape" w:code="9"/>
          <w:pgMar w:top="1134" w:right="1134" w:bottom="1134" w:left="1134" w:header="567" w:footer="567" w:gutter="0"/>
          <w:cols w:space="708"/>
          <w:docGrid w:linePitch="360"/>
        </w:sectPr>
      </w:pPr>
      <w:r w:rsidRPr="00731075">
        <w:t>where those reductions in expenditure have been made with respect to the individual components of Tier 1 expenditure.</w:t>
      </w:r>
    </w:p>
    <w:p w14:paraId="3D119EEF" w14:textId="7A862835" w:rsidR="00191AE8" w:rsidRDefault="00191AE8" w:rsidP="00954233">
      <w:pPr>
        <w:pStyle w:val="heading10"/>
        <w:outlineLvl w:val="0"/>
      </w:pPr>
      <w:bookmarkStart w:id="38" w:name="_Toc184736057"/>
      <w:r>
        <w:lastRenderedPageBreak/>
        <w:t xml:space="preserve">Summary </w:t>
      </w:r>
      <w:r w:rsidR="005E1A53">
        <w:t>c</w:t>
      </w:r>
      <w:r>
        <w:t>osts</w:t>
      </w:r>
      <w:bookmarkEnd w:id="38"/>
      <w:r>
        <w:t xml:space="preserve"> </w:t>
      </w:r>
    </w:p>
    <w:p w14:paraId="680B0978" w14:textId="77777777" w:rsidR="00191AE8" w:rsidRDefault="00191AE8" w:rsidP="00191AE8">
      <w:pPr>
        <w:pStyle w:val="heading20"/>
        <w:ind w:left="788" w:hanging="431"/>
        <w:outlineLvl w:val="1"/>
      </w:pPr>
      <w:bookmarkStart w:id="39" w:name="_Toc184736058"/>
      <w:r>
        <w:t>Purpose</w:t>
      </w:r>
      <w:bookmarkEnd w:id="39"/>
    </w:p>
    <w:p w14:paraId="0A7727D9" w14:textId="77777777" w:rsidR="00191AE8" w:rsidRDefault="00191AE8" w:rsidP="00191AE8"/>
    <w:p w14:paraId="18406ED9" w14:textId="46033FD3" w:rsidR="00191AE8" w:rsidRDefault="00FF1F44" w:rsidP="00191AE8">
      <w:r>
        <w:t>This table summarises all cap</w:t>
      </w:r>
      <w:r w:rsidR="00B43A8C">
        <w:t xml:space="preserve">ital </w:t>
      </w:r>
      <w:r>
        <w:t>ex</w:t>
      </w:r>
      <w:r w:rsidR="00B43A8C">
        <w:t>penditure</w:t>
      </w:r>
      <w:r>
        <w:t xml:space="preserve"> and op</w:t>
      </w:r>
      <w:r w:rsidR="00B43A8C">
        <w:t>erating expenditure</w:t>
      </w:r>
      <w:r>
        <w:t xml:space="preserve"> </w:t>
      </w:r>
      <w:r w:rsidR="00094D29">
        <w:t>to provide a high-level overview</w:t>
      </w:r>
      <w:r w:rsidR="00B36186">
        <w:t xml:space="preserve"> of the SRC27 business plan costs. </w:t>
      </w:r>
    </w:p>
    <w:p w14:paraId="7AE94B74" w14:textId="77777777" w:rsidR="00191AE8" w:rsidRDefault="00191AE8" w:rsidP="00191AE8"/>
    <w:p w14:paraId="63008C10" w14:textId="77777777" w:rsidR="00191AE8" w:rsidRDefault="00191AE8" w:rsidP="00191AE8">
      <w:pPr>
        <w:pStyle w:val="heading20"/>
        <w:ind w:left="788" w:hanging="431"/>
        <w:outlineLvl w:val="1"/>
      </w:pPr>
      <w:bookmarkStart w:id="40" w:name="_Toc184736059"/>
      <w:r>
        <w:t>Guidance</w:t>
      </w:r>
      <w:bookmarkEnd w:id="40"/>
    </w:p>
    <w:p w14:paraId="270A2372" w14:textId="77777777" w:rsidR="00191AE8" w:rsidRDefault="00191AE8" w:rsidP="00191AE8"/>
    <w:p w14:paraId="2D03B133" w14:textId="5FEF1D14" w:rsidR="00124740" w:rsidRDefault="00124740" w:rsidP="00191AE8">
      <w:r>
        <w:t xml:space="preserve">The table is split into three </w:t>
      </w:r>
      <w:r w:rsidR="00305009">
        <w:t>blocks</w:t>
      </w:r>
      <w:r>
        <w:t xml:space="preserve"> </w:t>
      </w:r>
      <w:r w:rsidR="009D5A0C">
        <w:t>with costs for the Reference Scenario</w:t>
      </w:r>
      <w:r w:rsidR="000B5D4D">
        <w:t xml:space="preserve"> A</w:t>
      </w:r>
      <w:r w:rsidR="009D5A0C">
        <w:t xml:space="preserve">, Scenario </w:t>
      </w:r>
      <w:r w:rsidR="00926701">
        <w:t xml:space="preserve">B </w:t>
      </w:r>
      <w:r w:rsidR="009D5A0C">
        <w:t xml:space="preserve">and Scenario </w:t>
      </w:r>
      <w:r w:rsidR="00926701">
        <w:t>C</w:t>
      </w:r>
      <w:r w:rsidR="009D5A0C">
        <w:t xml:space="preserve">. </w:t>
      </w:r>
    </w:p>
    <w:p w14:paraId="6DC36962" w14:textId="77777777" w:rsidR="009D5A0C" w:rsidRDefault="009D5A0C" w:rsidP="00191AE8"/>
    <w:p w14:paraId="404EF15A" w14:textId="632D4582" w:rsidR="005F6D8F" w:rsidRDefault="00CD5967" w:rsidP="00191AE8">
      <w:r>
        <w:t xml:space="preserve">This table </w:t>
      </w:r>
      <w:r w:rsidR="00924547">
        <w:t xml:space="preserve">should </w:t>
      </w:r>
      <w:r w:rsidR="002150F1">
        <w:t>be p</w:t>
      </w:r>
      <w:r w:rsidR="007549F0">
        <w:t>opulated using</w:t>
      </w:r>
      <w:r>
        <w:t xml:space="preserve"> data </w:t>
      </w:r>
      <w:r w:rsidR="004F532E">
        <w:t xml:space="preserve">from </w:t>
      </w:r>
      <w:r w:rsidR="003A7325">
        <w:t>t</w:t>
      </w:r>
      <w:r w:rsidR="00B24BD4" w:rsidRPr="00B24BD4">
        <w:t>able 5 S</w:t>
      </w:r>
      <w:r w:rsidR="00CB6C55">
        <w:t>RC</w:t>
      </w:r>
      <w:r w:rsidR="00B24BD4" w:rsidRPr="00B24BD4">
        <w:t>27 Projects</w:t>
      </w:r>
      <w:r w:rsidR="00926E95">
        <w:t xml:space="preserve"> and </w:t>
      </w:r>
      <w:r w:rsidR="005B2C4F">
        <w:t xml:space="preserve">Programmes </w:t>
      </w:r>
      <w:r w:rsidR="00926E95">
        <w:t xml:space="preserve">and </w:t>
      </w:r>
      <w:r w:rsidR="005B2C4F">
        <w:t>t</w:t>
      </w:r>
      <w:r w:rsidR="005A1DFB" w:rsidRPr="005A1DFB">
        <w:t>able 7 Other Costs and Assumptions</w:t>
      </w:r>
      <w:r w:rsidR="005A1DFB">
        <w:t>.</w:t>
      </w:r>
    </w:p>
    <w:p w14:paraId="53BC7D1C" w14:textId="77777777" w:rsidR="005F6D8F" w:rsidRDefault="005F6D8F" w:rsidP="00191AE8"/>
    <w:p w14:paraId="3B1A70A0" w14:textId="47F03A53" w:rsidR="005F6D8F" w:rsidRDefault="005F6D8F" w:rsidP="00191AE8">
      <w:r>
        <w:t xml:space="preserve">The </w:t>
      </w:r>
      <w:r w:rsidR="00D46AF4">
        <w:t xml:space="preserve">capital </w:t>
      </w:r>
      <w:r w:rsidR="004C3CD0">
        <w:t>expenditure</w:t>
      </w:r>
      <w:r w:rsidDel="00925094">
        <w:t xml:space="preserve"> </w:t>
      </w:r>
      <w:r w:rsidR="00925094">
        <w:t>lines</w:t>
      </w:r>
      <w:r>
        <w:t xml:space="preserve"> should </w:t>
      </w:r>
      <w:r w:rsidR="00102E8B">
        <w:t>be calculated</w:t>
      </w:r>
      <w:r>
        <w:t xml:space="preserve"> with </w:t>
      </w:r>
      <w:r w:rsidR="002D2B32">
        <w:t>t</w:t>
      </w:r>
      <w:r>
        <w:t xml:space="preserve">able 5 </w:t>
      </w:r>
      <w:r w:rsidR="00A666DE">
        <w:t xml:space="preserve">using the </w:t>
      </w:r>
      <w:r w:rsidR="00D54BFC">
        <w:t xml:space="preserve">percentage </w:t>
      </w:r>
      <w:r w:rsidR="00A666DE">
        <w:t>allocations for maintenance</w:t>
      </w:r>
      <w:r w:rsidR="004474E9">
        <w:t xml:space="preserve"> (replace</w:t>
      </w:r>
      <w:r w:rsidR="00CC7508">
        <w:t>ment</w:t>
      </w:r>
      <w:r w:rsidR="004474E9">
        <w:t>)</w:t>
      </w:r>
      <w:r w:rsidR="00A666DE">
        <w:t xml:space="preserve">, </w:t>
      </w:r>
      <w:r w:rsidR="004474E9">
        <w:t>maintenance (repair and refurb</w:t>
      </w:r>
      <w:r w:rsidR="00CC7508">
        <w:t>ishment</w:t>
      </w:r>
      <w:r w:rsidR="004474E9">
        <w:t xml:space="preserve">), </w:t>
      </w:r>
      <w:r w:rsidR="00A666DE">
        <w:t>enhancement</w:t>
      </w:r>
      <w:r w:rsidR="00246A91">
        <w:t>,</w:t>
      </w:r>
      <w:r w:rsidR="004474E9">
        <w:t xml:space="preserve"> </w:t>
      </w:r>
      <w:r w:rsidR="00A666DE">
        <w:t>growth</w:t>
      </w:r>
      <w:r w:rsidR="002A5045">
        <w:t>, and transformation activities to provide the subtotals</w:t>
      </w:r>
      <w:r w:rsidR="004474E9">
        <w:t xml:space="preserve"> in each category. </w:t>
      </w:r>
    </w:p>
    <w:p w14:paraId="3F236893" w14:textId="77777777" w:rsidR="009D5A0C" w:rsidRDefault="009D5A0C" w:rsidP="00191AE8"/>
    <w:p w14:paraId="00D770E9" w14:textId="65FA697A" w:rsidR="0065171B" w:rsidRDefault="005F6D8F" w:rsidP="00191AE8">
      <w:r>
        <w:t>The op</w:t>
      </w:r>
      <w:r w:rsidR="008A192C">
        <w:t xml:space="preserve">erating </w:t>
      </w:r>
      <w:r>
        <w:t>ex</w:t>
      </w:r>
      <w:r w:rsidR="008A192C">
        <w:t>penditure</w:t>
      </w:r>
      <w:r>
        <w:t xml:space="preserve"> </w:t>
      </w:r>
      <w:r w:rsidR="00615437">
        <w:t xml:space="preserve">and other cost </w:t>
      </w:r>
      <w:r w:rsidR="00925094">
        <w:t>lines</w:t>
      </w:r>
      <w:r>
        <w:t xml:space="preserve"> should align with </w:t>
      </w:r>
      <w:r w:rsidR="00416956">
        <w:t>t</w:t>
      </w:r>
      <w:r>
        <w:t>able 7</w:t>
      </w:r>
      <w:r w:rsidR="004474E9">
        <w:t xml:space="preserve">. </w:t>
      </w:r>
    </w:p>
    <w:p w14:paraId="47A3382E" w14:textId="77777777" w:rsidR="0065171B" w:rsidRDefault="0065171B" w:rsidP="00191AE8"/>
    <w:p w14:paraId="24BE18F6" w14:textId="5F55C19F" w:rsidR="005F6D8F" w:rsidRDefault="00351430" w:rsidP="00191AE8">
      <w:r>
        <w:t xml:space="preserve">The price profile and level of borrowing </w:t>
      </w:r>
      <w:r w:rsidR="00BF3D31">
        <w:t xml:space="preserve">should </w:t>
      </w:r>
      <w:r w:rsidR="00C335B3">
        <w:t xml:space="preserve">align with table 7 for Scenario A and should </w:t>
      </w:r>
      <w:r w:rsidR="00BF3D31">
        <w:t xml:space="preserve">be manually input </w:t>
      </w:r>
      <w:r w:rsidR="00DF6E55">
        <w:t xml:space="preserve">into </w:t>
      </w:r>
      <w:r w:rsidR="002A5045">
        <w:t xml:space="preserve">the </w:t>
      </w:r>
      <w:r w:rsidR="00BF3D31">
        <w:t xml:space="preserve">Scenario </w:t>
      </w:r>
      <w:r w:rsidR="00926701">
        <w:t xml:space="preserve">B </w:t>
      </w:r>
      <w:r w:rsidR="00BF3D31">
        <w:t xml:space="preserve">and Scenario </w:t>
      </w:r>
      <w:r w:rsidR="00926701">
        <w:t xml:space="preserve">C </w:t>
      </w:r>
      <w:r w:rsidR="00BF3D31">
        <w:t>blocks.</w:t>
      </w:r>
    </w:p>
    <w:p w14:paraId="246292A0" w14:textId="3C057284" w:rsidR="00191AE8" w:rsidRDefault="004F532E" w:rsidP="00191AE8">
      <w:r>
        <w:t xml:space="preserve"> </w:t>
      </w:r>
    </w:p>
    <w:p w14:paraId="247B5B7E" w14:textId="77777777" w:rsidR="00191AE8" w:rsidRDefault="00191AE8" w:rsidP="00191AE8"/>
    <w:p w14:paraId="2B71A500" w14:textId="7FECAD13" w:rsidR="00191AE8" w:rsidRPr="00E6436F" w:rsidRDefault="00A80543">
      <w:pPr>
        <w:spacing w:after="160" w:line="259" w:lineRule="auto"/>
        <w:jc w:val="left"/>
      </w:pPr>
      <w:r>
        <w:br w:type="page"/>
      </w:r>
    </w:p>
    <w:p w14:paraId="6B557F5D" w14:textId="77777777" w:rsidR="005313CD" w:rsidRDefault="005313CD" w:rsidP="004048CC">
      <w:pPr>
        <w:pStyle w:val="heading10"/>
        <w:ind w:left="357" w:hanging="357"/>
        <w:outlineLvl w:val="0"/>
        <w:sectPr w:rsidR="005313CD" w:rsidSect="003606EA">
          <w:pgSz w:w="11906" w:h="16838" w:code="9"/>
          <w:pgMar w:top="1134" w:right="1134" w:bottom="1134" w:left="1134" w:header="567" w:footer="567" w:gutter="0"/>
          <w:cols w:space="708"/>
          <w:docGrid w:linePitch="360"/>
        </w:sectPr>
      </w:pPr>
    </w:p>
    <w:p w14:paraId="52540F7E" w14:textId="0DEE86D2" w:rsidR="004048CC" w:rsidRDefault="002567FA" w:rsidP="00954233">
      <w:pPr>
        <w:pStyle w:val="heading10"/>
        <w:outlineLvl w:val="0"/>
      </w:pPr>
      <w:bookmarkStart w:id="41" w:name="_Toc184736060"/>
      <w:r>
        <w:lastRenderedPageBreak/>
        <w:t xml:space="preserve">Enhancement </w:t>
      </w:r>
      <w:r w:rsidR="00F14757">
        <w:t>and growth benchmarking</w:t>
      </w:r>
      <w:bookmarkEnd w:id="41"/>
    </w:p>
    <w:p w14:paraId="30B6C11B" w14:textId="77777777" w:rsidR="00402E85" w:rsidRDefault="00402E85" w:rsidP="00402E85">
      <w:pPr>
        <w:pStyle w:val="heading20"/>
        <w:ind w:left="788" w:hanging="431"/>
        <w:outlineLvl w:val="1"/>
      </w:pPr>
      <w:bookmarkStart w:id="42" w:name="_Toc184736061"/>
      <w:r>
        <w:t>Purpose</w:t>
      </w:r>
      <w:bookmarkEnd w:id="42"/>
    </w:p>
    <w:p w14:paraId="6E1B021F" w14:textId="77777777" w:rsidR="00402E85" w:rsidRDefault="00402E85" w:rsidP="00402E85"/>
    <w:p w14:paraId="1D2D4CE2" w14:textId="62D037B3" w:rsidR="00402E85" w:rsidRDefault="0035683D" w:rsidP="00402E85">
      <w:r>
        <w:t xml:space="preserve">The purpose of this data is to provide </w:t>
      </w:r>
      <w:r w:rsidR="00774A40">
        <w:t xml:space="preserve">a basis for benchmarking analysis between </w:t>
      </w:r>
      <w:r w:rsidR="007E7532">
        <w:t xml:space="preserve">Scottish Water and other water companies in England and Wales. </w:t>
      </w:r>
    </w:p>
    <w:p w14:paraId="6DEB4A0C" w14:textId="77777777" w:rsidR="00402E85" w:rsidRDefault="00402E85" w:rsidP="00402E85"/>
    <w:p w14:paraId="7684A74A" w14:textId="77777777" w:rsidR="00402E85" w:rsidRDefault="00402E85" w:rsidP="00402E85">
      <w:pPr>
        <w:pStyle w:val="heading20"/>
        <w:ind w:left="788" w:hanging="431"/>
        <w:outlineLvl w:val="1"/>
      </w:pPr>
      <w:bookmarkStart w:id="43" w:name="_Toc184736062"/>
      <w:r>
        <w:t>Guidance</w:t>
      </w:r>
      <w:bookmarkEnd w:id="43"/>
    </w:p>
    <w:p w14:paraId="5A12C8AD" w14:textId="77777777" w:rsidR="00402E85" w:rsidRDefault="00402E85" w:rsidP="00402E85"/>
    <w:p w14:paraId="67CD2BC1" w14:textId="01115037" w:rsidR="005F75DD" w:rsidRDefault="00F71C1B" w:rsidP="00402E85">
      <w:r>
        <w:t xml:space="preserve">The data lines align to the Ofwat PR24 </w:t>
      </w:r>
      <w:r w:rsidR="005F75DD">
        <w:t xml:space="preserve">data tables and guidance. </w:t>
      </w:r>
    </w:p>
    <w:p w14:paraId="0C7A7466" w14:textId="14AE3378" w:rsidR="00402E85" w:rsidRDefault="005F75DD" w:rsidP="00402E85">
      <w:r>
        <w:t xml:space="preserve">References below </w:t>
      </w:r>
      <w:r w:rsidR="008F55CC">
        <w:t xml:space="preserve">refer </w:t>
      </w:r>
      <w:r>
        <w:t xml:space="preserve">to tables with the pre-fix CW </w:t>
      </w:r>
      <w:r w:rsidR="00A979FF">
        <w:t xml:space="preserve">(section 3) </w:t>
      </w:r>
      <w:r>
        <w:t xml:space="preserve">and CWW </w:t>
      </w:r>
      <w:r w:rsidR="00A979FF">
        <w:t>(section 4)</w:t>
      </w:r>
      <w:r w:rsidR="008F55CC">
        <w:t>. The guidance for these</w:t>
      </w:r>
      <w:r w:rsidR="00A979FF">
        <w:t xml:space="preserve"> </w:t>
      </w:r>
      <w:r>
        <w:t xml:space="preserve">can be accessed here </w:t>
      </w:r>
      <w:hyperlink r:id="rId22" w:history="1">
        <w:r w:rsidR="00A979FF">
          <w:rPr>
            <w:rStyle w:val="Hyperlink"/>
          </w:rPr>
          <w:t>PR24 Final methodology submission tables and guidance - Ofwat</w:t>
        </w:r>
      </w:hyperlink>
      <w:r w:rsidR="00FD5526">
        <w:t>.</w:t>
      </w:r>
    </w:p>
    <w:p w14:paraId="223826A2" w14:textId="77777777" w:rsidR="000D5EC7" w:rsidRDefault="000D5EC7" w:rsidP="00402E85"/>
    <w:p w14:paraId="50D031C3" w14:textId="77777777" w:rsidR="00402E85" w:rsidRDefault="00402E85" w:rsidP="00402E85">
      <w:pPr>
        <w:pStyle w:val="heading20"/>
        <w:ind w:left="788" w:hanging="431"/>
        <w:outlineLvl w:val="1"/>
      </w:pPr>
      <w:bookmarkStart w:id="44" w:name="_Toc184736063"/>
      <w:r>
        <w:t>Definitions</w:t>
      </w:r>
      <w:bookmarkEnd w:id="44"/>
    </w:p>
    <w:p w14:paraId="1555F055" w14:textId="77777777" w:rsidR="0067596F" w:rsidRDefault="0067596F" w:rsidP="001B1AB0"/>
    <w:p w14:paraId="5E11F555" w14:textId="62711CBD" w:rsidR="00402E85" w:rsidRDefault="001606AB" w:rsidP="00FD5526">
      <w:pPr>
        <w:jc w:val="left"/>
      </w:pPr>
      <w:r>
        <w:t>For the following costs drivers, please provide the number of interventions in line with the reference</w:t>
      </w:r>
      <w:r w:rsidR="000A2A0D">
        <w:t xml:space="preserve">. The data should be presented for each year of the SRC27 </w:t>
      </w:r>
      <w:r w:rsidR="001D5D9B">
        <w:t xml:space="preserve">regulatory control </w:t>
      </w:r>
      <w:r w:rsidR="000A2A0D">
        <w:t xml:space="preserve">period. </w:t>
      </w:r>
      <w:r w:rsidR="007549F0">
        <w:t xml:space="preserve">For the purpose of these definitions, </w:t>
      </w:r>
      <w:r w:rsidR="0032027D">
        <w:t>a ‘</w:t>
      </w:r>
      <w:r w:rsidR="007549F0">
        <w:t>scheme</w:t>
      </w:r>
      <w:r w:rsidR="0032027D">
        <w:t xml:space="preserve">’ covers both programmes </w:t>
      </w:r>
      <w:r w:rsidR="002F7BB8">
        <w:t xml:space="preserve">of </w:t>
      </w:r>
      <w:r w:rsidR="00097F45">
        <w:t xml:space="preserve">work </w:t>
      </w:r>
      <w:r w:rsidR="0032027D">
        <w:t xml:space="preserve">and </w:t>
      </w:r>
      <w:r w:rsidR="002F7BB8">
        <w:t>projects.</w:t>
      </w:r>
      <w:r w:rsidR="007549F0">
        <w:t xml:space="preserve"> </w:t>
      </w:r>
    </w:p>
    <w:p w14:paraId="72C68AC4" w14:textId="77777777" w:rsidR="000D0BF9" w:rsidRDefault="000D0BF9" w:rsidP="00FD5526">
      <w:pPr>
        <w:jc w:val="left"/>
      </w:pPr>
    </w:p>
    <w:tbl>
      <w:tblPr>
        <w:tblStyle w:val="Blueline"/>
        <w:tblW w:w="5000" w:type="pct"/>
        <w:tblLayout w:type="fixed"/>
        <w:tblLook w:val="04A0" w:firstRow="1" w:lastRow="0" w:firstColumn="1" w:lastColumn="0" w:noHBand="0" w:noVBand="1"/>
      </w:tblPr>
      <w:tblGrid>
        <w:gridCol w:w="1702"/>
        <w:gridCol w:w="2410"/>
        <w:gridCol w:w="2104"/>
        <w:gridCol w:w="5551"/>
        <w:gridCol w:w="1273"/>
        <w:gridCol w:w="1530"/>
      </w:tblGrid>
      <w:tr w:rsidR="00926F58" w:rsidRPr="001B1AB0" w14:paraId="588C51DB" w14:textId="209A979B"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4F4DB8D1" w14:textId="60AED40E"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Line</w:t>
            </w:r>
            <w:r w:rsidR="00BF3BBC" w:rsidRPr="001B1AB0">
              <w:rPr>
                <w:rFonts w:asciiTheme="minorHAnsi" w:hAnsiTheme="minorHAnsi" w:cstheme="minorHAnsi"/>
                <w:sz w:val="24"/>
                <w:szCs w:val="24"/>
              </w:rPr>
              <w:t xml:space="preserve"> Reference</w:t>
            </w:r>
          </w:p>
        </w:tc>
        <w:tc>
          <w:tcPr>
            <w:tcW w:w="0" w:type="pct"/>
          </w:tcPr>
          <w:p w14:paraId="73B7F946" w14:textId="77777777"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Title</w:t>
            </w:r>
          </w:p>
        </w:tc>
        <w:tc>
          <w:tcPr>
            <w:tcW w:w="0" w:type="pct"/>
          </w:tcPr>
          <w:p w14:paraId="73E2D9FA" w14:textId="2AFA45A2" w:rsidR="00402E85" w:rsidRPr="001B1AB0" w:rsidRDefault="00FA7B37">
            <w:pPr>
              <w:pStyle w:val="TableParagraph"/>
              <w:rPr>
                <w:rFonts w:asciiTheme="minorHAnsi" w:hAnsiTheme="minorHAnsi" w:cstheme="minorHAnsi"/>
                <w:sz w:val="24"/>
                <w:szCs w:val="24"/>
              </w:rPr>
            </w:pPr>
            <w:r w:rsidRPr="001B1AB0">
              <w:rPr>
                <w:rFonts w:asciiTheme="minorHAnsi" w:hAnsiTheme="minorHAnsi" w:cstheme="minorHAnsi"/>
                <w:sz w:val="24"/>
                <w:szCs w:val="24"/>
              </w:rPr>
              <w:t>Service</w:t>
            </w:r>
          </w:p>
        </w:tc>
        <w:tc>
          <w:tcPr>
            <w:tcW w:w="0" w:type="pct"/>
          </w:tcPr>
          <w:p w14:paraId="57EB922C" w14:textId="4EE9799D" w:rsidR="00FA7B37" w:rsidRPr="001B1AB0" w:rsidRDefault="00FA7B37">
            <w:pPr>
              <w:pStyle w:val="TableParagraph"/>
              <w:rPr>
                <w:rFonts w:asciiTheme="minorHAnsi" w:hAnsiTheme="minorHAnsi" w:cstheme="minorHAnsi"/>
                <w:sz w:val="24"/>
                <w:szCs w:val="24"/>
              </w:rPr>
            </w:pPr>
            <w:r w:rsidRPr="001B1AB0">
              <w:rPr>
                <w:rFonts w:asciiTheme="minorHAnsi" w:hAnsiTheme="minorHAnsi" w:cstheme="minorHAnsi"/>
                <w:sz w:val="24"/>
                <w:szCs w:val="24"/>
              </w:rPr>
              <w:t>Defin</w:t>
            </w:r>
            <w:r w:rsidR="00076AFD" w:rsidRPr="001B1AB0">
              <w:rPr>
                <w:rFonts w:asciiTheme="minorHAnsi" w:hAnsiTheme="minorHAnsi" w:cstheme="minorHAnsi"/>
                <w:sz w:val="24"/>
                <w:szCs w:val="24"/>
              </w:rPr>
              <w:t>ition</w:t>
            </w:r>
          </w:p>
        </w:tc>
        <w:tc>
          <w:tcPr>
            <w:tcW w:w="0" w:type="pct"/>
          </w:tcPr>
          <w:p w14:paraId="60D14D38" w14:textId="17E56F4D"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 xml:space="preserve">Unit </w:t>
            </w:r>
          </w:p>
        </w:tc>
        <w:tc>
          <w:tcPr>
            <w:tcW w:w="0" w:type="pct"/>
          </w:tcPr>
          <w:p w14:paraId="5E71F203" w14:textId="1C5E4160" w:rsidR="00DE76EA" w:rsidRPr="001B1AB0" w:rsidRDefault="00DE76EA">
            <w:pPr>
              <w:pStyle w:val="TableParagraph"/>
              <w:rPr>
                <w:rFonts w:asciiTheme="minorHAnsi" w:hAnsiTheme="minorHAnsi" w:cstheme="minorHAnsi"/>
                <w:sz w:val="24"/>
                <w:szCs w:val="24"/>
              </w:rPr>
            </w:pPr>
            <w:r w:rsidRPr="001B1AB0">
              <w:rPr>
                <w:rFonts w:asciiTheme="minorHAnsi" w:hAnsiTheme="minorHAnsi" w:cstheme="minorHAnsi"/>
                <w:sz w:val="24"/>
                <w:szCs w:val="24"/>
              </w:rPr>
              <w:t>Reference</w:t>
            </w:r>
          </w:p>
        </w:tc>
      </w:tr>
      <w:tr w:rsidR="00926F58" w:rsidRPr="001B1AB0" w14:paraId="3725922B" w14:textId="22B307EA" w:rsidTr="00DD38BA">
        <w:tc>
          <w:tcPr>
            <w:tcW w:w="584" w:type="pct"/>
          </w:tcPr>
          <w:p w14:paraId="1A2D29B5" w14:textId="7E7C87BA" w:rsidR="00402E85" w:rsidRPr="001B1AB0" w:rsidRDefault="005628E7">
            <w:pPr>
              <w:pStyle w:val="TableParagraph"/>
              <w:rPr>
                <w:rFonts w:cstheme="minorHAnsi"/>
                <w:sz w:val="24"/>
                <w:szCs w:val="24"/>
              </w:rPr>
            </w:pPr>
            <w:r w:rsidRPr="001B1AB0">
              <w:rPr>
                <w:rFonts w:cstheme="minorHAnsi"/>
                <w:sz w:val="24"/>
                <w:szCs w:val="24"/>
              </w:rPr>
              <w:t>9.1a</w:t>
            </w:r>
          </w:p>
        </w:tc>
        <w:tc>
          <w:tcPr>
            <w:tcW w:w="827" w:type="pct"/>
          </w:tcPr>
          <w:p w14:paraId="61E38FB4" w14:textId="23A7E7FC" w:rsidR="00402E85" w:rsidRPr="001B1AB0" w:rsidRDefault="00526681">
            <w:pPr>
              <w:pStyle w:val="TableParagraph"/>
              <w:rPr>
                <w:rFonts w:cstheme="minorHAnsi"/>
                <w:sz w:val="24"/>
                <w:szCs w:val="24"/>
              </w:rPr>
            </w:pPr>
            <w:r w:rsidRPr="001B1AB0">
              <w:rPr>
                <w:rFonts w:cstheme="minorHAnsi"/>
                <w:sz w:val="24"/>
                <w:szCs w:val="24"/>
              </w:rPr>
              <w:t xml:space="preserve">Leakage </w:t>
            </w:r>
            <w:r w:rsidR="00A52ADE" w:rsidRPr="001B1AB0">
              <w:rPr>
                <w:rFonts w:cstheme="minorHAnsi"/>
                <w:sz w:val="24"/>
                <w:szCs w:val="24"/>
              </w:rPr>
              <w:t>a</w:t>
            </w:r>
            <w:r w:rsidRPr="001B1AB0">
              <w:rPr>
                <w:rFonts w:cstheme="minorHAnsi"/>
                <w:sz w:val="24"/>
                <w:szCs w:val="24"/>
              </w:rPr>
              <w:t>ctivity</w:t>
            </w:r>
            <w:r w:rsidRPr="001B1AB0">
              <w:rPr>
                <w:rFonts w:cstheme="minorHAnsi"/>
                <w:sz w:val="24"/>
                <w:szCs w:val="24"/>
              </w:rPr>
              <w:tab/>
            </w:r>
          </w:p>
        </w:tc>
        <w:tc>
          <w:tcPr>
            <w:tcW w:w="722" w:type="pct"/>
          </w:tcPr>
          <w:p w14:paraId="62CA6DB3" w14:textId="3B3FA353" w:rsidR="00402E85" w:rsidRPr="001B1AB0" w:rsidRDefault="00526681">
            <w:pPr>
              <w:pStyle w:val="TableParagraph"/>
              <w:rPr>
                <w:rFonts w:cstheme="minorHAnsi"/>
                <w:sz w:val="24"/>
                <w:szCs w:val="24"/>
              </w:rPr>
            </w:pPr>
            <w:r w:rsidRPr="001B1AB0">
              <w:rPr>
                <w:rFonts w:cstheme="minorHAnsi"/>
                <w:sz w:val="24"/>
                <w:szCs w:val="24"/>
              </w:rPr>
              <w:t>Mains replacement</w:t>
            </w:r>
            <w:r w:rsidR="002067BB">
              <w:rPr>
                <w:rFonts w:cstheme="minorHAnsi"/>
                <w:sz w:val="24"/>
                <w:szCs w:val="24"/>
              </w:rPr>
              <w:t xml:space="preserve"> </w:t>
            </w:r>
          </w:p>
        </w:tc>
        <w:tc>
          <w:tcPr>
            <w:tcW w:w="1905" w:type="pct"/>
          </w:tcPr>
          <w:p w14:paraId="5716F213" w14:textId="0CC30440" w:rsidR="002F2774" w:rsidRPr="001B1AB0" w:rsidRDefault="002F2774">
            <w:pPr>
              <w:pStyle w:val="TableParagraph"/>
              <w:rPr>
                <w:rFonts w:cstheme="minorHAnsi"/>
                <w:sz w:val="24"/>
                <w:szCs w:val="24"/>
              </w:rPr>
            </w:pPr>
            <w:r w:rsidRPr="001B1AB0">
              <w:rPr>
                <w:rFonts w:cstheme="minorHAnsi"/>
                <w:sz w:val="24"/>
                <w:szCs w:val="24"/>
              </w:rPr>
              <w:t xml:space="preserve">The length of mains that will be replaced for the purpose of </w:t>
            </w:r>
            <w:r w:rsidR="000E0CF0" w:rsidRPr="001B1AB0">
              <w:rPr>
                <w:rFonts w:cstheme="minorHAnsi"/>
                <w:sz w:val="24"/>
                <w:szCs w:val="24"/>
              </w:rPr>
              <w:t>reducing leakage.</w:t>
            </w:r>
          </w:p>
        </w:tc>
        <w:tc>
          <w:tcPr>
            <w:tcW w:w="437" w:type="pct"/>
          </w:tcPr>
          <w:p w14:paraId="0ADF64AA" w14:textId="55451A83" w:rsidR="00402E85" w:rsidRPr="001B1AB0" w:rsidRDefault="00FA7B37">
            <w:pPr>
              <w:pStyle w:val="TableParagraph"/>
              <w:rPr>
                <w:rFonts w:cstheme="minorHAnsi"/>
                <w:sz w:val="24"/>
                <w:szCs w:val="24"/>
              </w:rPr>
            </w:pPr>
            <w:r w:rsidRPr="001B1AB0">
              <w:rPr>
                <w:rFonts w:cstheme="minorHAnsi"/>
                <w:sz w:val="24"/>
                <w:szCs w:val="24"/>
              </w:rPr>
              <w:t>km</w:t>
            </w:r>
          </w:p>
        </w:tc>
        <w:tc>
          <w:tcPr>
            <w:tcW w:w="525" w:type="pct"/>
          </w:tcPr>
          <w:p w14:paraId="1F7ABFDF" w14:textId="304077C6" w:rsidR="00DE76EA" w:rsidRPr="001B1AB0" w:rsidRDefault="00D852DF">
            <w:pPr>
              <w:pStyle w:val="TableParagraph"/>
              <w:rPr>
                <w:rFonts w:cstheme="minorHAnsi"/>
                <w:sz w:val="24"/>
                <w:szCs w:val="24"/>
              </w:rPr>
            </w:pPr>
            <w:r w:rsidRPr="001B1AB0">
              <w:rPr>
                <w:rFonts w:cstheme="minorHAnsi"/>
                <w:sz w:val="24"/>
                <w:szCs w:val="24"/>
              </w:rPr>
              <w:t>N/A</w:t>
            </w:r>
          </w:p>
        </w:tc>
      </w:tr>
      <w:tr w:rsidR="00926F58" w:rsidRPr="001B1AB0" w14:paraId="56FC23E0" w14:textId="5C40D271" w:rsidTr="00DD38BA">
        <w:tc>
          <w:tcPr>
            <w:tcW w:w="584" w:type="pct"/>
          </w:tcPr>
          <w:p w14:paraId="37654F3E" w14:textId="7095D6E0" w:rsidR="00402E85" w:rsidRPr="001B1AB0" w:rsidRDefault="007D16C1">
            <w:pPr>
              <w:pStyle w:val="TableParagraph"/>
              <w:rPr>
                <w:rFonts w:cstheme="minorHAnsi"/>
                <w:sz w:val="24"/>
                <w:szCs w:val="24"/>
              </w:rPr>
            </w:pPr>
            <w:r w:rsidRPr="001B1AB0">
              <w:rPr>
                <w:rFonts w:cstheme="minorHAnsi"/>
                <w:sz w:val="24"/>
                <w:szCs w:val="24"/>
              </w:rPr>
              <w:t>9.2</w:t>
            </w:r>
          </w:p>
        </w:tc>
        <w:tc>
          <w:tcPr>
            <w:tcW w:w="827" w:type="pct"/>
          </w:tcPr>
          <w:p w14:paraId="74B26F98" w14:textId="2917E2D9" w:rsidR="00402E85" w:rsidRPr="001B1AB0" w:rsidRDefault="00F975A7">
            <w:pPr>
              <w:pStyle w:val="TableParagraph"/>
              <w:rPr>
                <w:rFonts w:cstheme="minorHAnsi"/>
                <w:sz w:val="24"/>
                <w:szCs w:val="24"/>
              </w:rPr>
            </w:pPr>
            <w:r w:rsidRPr="001B1AB0">
              <w:rPr>
                <w:rFonts w:cstheme="minorHAnsi"/>
                <w:sz w:val="24"/>
                <w:szCs w:val="24"/>
              </w:rPr>
              <w:t>Investiga</w:t>
            </w:r>
            <w:r>
              <w:rPr>
                <w:rFonts w:cstheme="minorHAnsi"/>
                <w:sz w:val="24"/>
                <w:szCs w:val="24"/>
              </w:rPr>
              <w:t>t</w:t>
            </w:r>
            <w:r w:rsidRPr="001B1AB0">
              <w:rPr>
                <w:rFonts w:cstheme="minorHAnsi"/>
                <w:sz w:val="24"/>
                <w:szCs w:val="24"/>
              </w:rPr>
              <w:t>ions</w:t>
            </w:r>
          </w:p>
        </w:tc>
        <w:tc>
          <w:tcPr>
            <w:tcW w:w="722" w:type="pct"/>
          </w:tcPr>
          <w:p w14:paraId="5F053DC9" w14:textId="37967CFD" w:rsidR="00402E85" w:rsidRPr="001B1AB0" w:rsidRDefault="00226C45">
            <w:pPr>
              <w:pStyle w:val="TableParagraph"/>
              <w:rPr>
                <w:rFonts w:cstheme="minorHAnsi"/>
                <w:sz w:val="24"/>
                <w:szCs w:val="24"/>
              </w:rPr>
            </w:pPr>
            <w:r w:rsidRPr="001B1AB0">
              <w:rPr>
                <w:rFonts w:cstheme="minorHAnsi"/>
                <w:sz w:val="24"/>
                <w:szCs w:val="24"/>
              </w:rPr>
              <w:t>S</w:t>
            </w:r>
            <w:r w:rsidR="005C5F55" w:rsidRPr="001B1AB0">
              <w:rPr>
                <w:rFonts w:cstheme="minorHAnsi"/>
                <w:sz w:val="24"/>
                <w:szCs w:val="24"/>
              </w:rPr>
              <w:t>tudies</w:t>
            </w:r>
          </w:p>
        </w:tc>
        <w:tc>
          <w:tcPr>
            <w:tcW w:w="1905" w:type="pct"/>
          </w:tcPr>
          <w:p w14:paraId="3966FAC3" w14:textId="77777777" w:rsidR="00025C04" w:rsidRDefault="00025C04">
            <w:pPr>
              <w:pStyle w:val="TableParagraph"/>
              <w:rPr>
                <w:rFonts w:cstheme="minorHAnsi"/>
                <w:sz w:val="24"/>
                <w:szCs w:val="24"/>
              </w:rPr>
            </w:pPr>
            <w:r w:rsidRPr="001B1AB0">
              <w:rPr>
                <w:rFonts w:cstheme="minorHAnsi"/>
                <w:sz w:val="24"/>
                <w:szCs w:val="24"/>
              </w:rPr>
              <w:t xml:space="preserve">The number of </w:t>
            </w:r>
            <w:r w:rsidR="00E51349" w:rsidRPr="001B1AB0">
              <w:rPr>
                <w:rFonts w:cstheme="minorHAnsi"/>
                <w:sz w:val="24"/>
                <w:szCs w:val="24"/>
              </w:rPr>
              <w:t>environmental</w:t>
            </w:r>
            <w:r w:rsidR="00B30A41" w:rsidRPr="001B1AB0">
              <w:rPr>
                <w:rFonts w:cstheme="minorHAnsi"/>
                <w:sz w:val="24"/>
                <w:szCs w:val="24"/>
              </w:rPr>
              <w:t xml:space="preserve"> </w:t>
            </w:r>
            <w:r w:rsidRPr="001B1AB0">
              <w:rPr>
                <w:rFonts w:cstheme="minorHAnsi"/>
                <w:sz w:val="24"/>
                <w:szCs w:val="24"/>
              </w:rPr>
              <w:t xml:space="preserve">studies </w:t>
            </w:r>
            <w:r w:rsidR="00B30A41" w:rsidRPr="001B1AB0">
              <w:rPr>
                <w:rFonts w:cstheme="minorHAnsi"/>
                <w:sz w:val="24"/>
                <w:szCs w:val="24"/>
              </w:rPr>
              <w:t>to be undertaken.</w:t>
            </w:r>
          </w:p>
          <w:p w14:paraId="43479061" w14:textId="68F222BB" w:rsidR="00025C04" w:rsidRPr="001B1AB0" w:rsidRDefault="00025C04">
            <w:pPr>
              <w:pStyle w:val="TableParagraph"/>
              <w:rPr>
                <w:rFonts w:cstheme="minorHAnsi"/>
                <w:sz w:val="24"/>
                <w:szCs w:val="24"/>
              </w:rPr>
            </w:pPr>
          </w:p>
        </w:tc>
        <w:tc>
          <w:tcPr>
            <w:tcW w:w="437" w:type="pct"/>
          </w:tcPr>
          <w:p w14:paraId="6720236E" w14:textId="77C0F3F1" w:rsidR="00402E85" w:rsidRPr="001B1AB0" w:rsidRDefault="00FA7B37">
            <w:pPr>
              <w:pStyle w:val="TableParagraph"/>
              <w:rPr>
                <w:rFonts w:cstheme="minorHAnsi"/>
                <w:sz w:val="24"/>
                <w:szCs w:val="24"/>
              </w:rPr>
            </w:pPr>
            <w:r w:rsidRPr="001B1AB0">
              <w:rPr>
                <w:rFonts w:cstheme="minorHAnsi"/>
                <w:sz w:val="24"/>
                <w:szCs w:val="24"/>
              </w:rPr>
              <w:t>N</w:t>
            </w:r>
            <w:r w:rsidR="00BE6428" w:rsidRPr="001B1AB0">
              <w:rPr>
                <w:rFonts w:cstheme="minorHAnsi"/>
                <w:sz w:val="24"/>
                <w:szCs w:val="24"/>
              </w:rPr>
              <w:t>umber</w:t>
            </w:r>
          </w:p>
        </w:tc>
        <w:tc>
          <w:tcPr>
            <w:tcW w:w="525" w:type="pct"/>
          </w:tcPr>
          <w:p w14:paraId="461B8850" w14:textId="266D7F5A" w:rsidR="00DE76EA" w:rsidRPr="001B1AB0" w:rsidRDefault="00D852DF">
            <w:pPr>
              <w:pStyle w:val="TableParagraph"/>
              <w:rPr>
                <w:rFonts w:cstheme="minorHAnsi"/>
                <w:sz w:val="24"/>
                <w:szCs w:val="24"/>
              </w:rPr>
            </w:pPr>
            <w:r w:rsidRPr="001B1AB0">
              <w:rPr>
                <w:rFonts w:cstheme="minorHAnsi"/>
                <w:sz w:val="24"/>
                <w:szCs w:val="24"/>
              </w:rPr>
              <w:t>N/A</w:t>
            </w:r>
          </w:p>
        </w:tc>
      </w:tr>
      <w:tr w:rsidR="00926F58" w:rsidRPr="001B1AB0" w14:paraId="63654314" w14:textId="09FDD9AB" w:rsidTr="00DD38BA">
        <w:tc>
          <w:tcPr>
            <w:tcW w:w="584" w:type="pct"/>
          </w:tcPr>
          <w:p w14:paraId="21F93E50" w14:textId="00CE4C97" w:rsidR="00402E85" w:rsidRPr="001B1AB0" w:rsidRDefault="007D16C1">
            <w:pPr>
              <w:pStyle w:val="TableParagraph"/>
              <w:rPr>
                <w:rFonts w:cstheme="minorHAnsi"/>
                <w:sz w:val="24"/>
                <w:szCs w:val="24"/>
              </w:rPr>
            </w:pPr>
            <w:r w:rsidRPr="001B1AB0">
              <w:rPr>
                <w:rFonts w:cstheme="minorHAnsi"/>
                <w:sz w:val="24"/>
                <w:szCs w:val="24"/>
              </w:rPr>
              <w:lastRenderedPageBreak/>
              <w:t>9.3a</w:t>
            </w:r>
          </w:p>
        </w:tc>
        <w:tc>
          <w:tcPr>
            <w:tcW w:w="827" w:type="pct"/>
          </w:tcPr>
          <w:p w14:paraId="6E210071" w14:textId="5381BB73" w:rsidR="00105F72" w:rsidRPr="001B1AB0" w:rsidRDefault="00105F72" w:rsidP="00105F72">
            <w:pPr>
              <w:pStyle w:val="TableParagraph"/>
              <w:rPr>
                <w:rFonts w:cstheme="minorHAnsi"/>
                <w:sz w:val="24"/>
                <w:szCs w:val="24"/>
              </w:rPr>
            </w:pPr>
            <w:r w:rsidRPr="001B1AB0">
              <w:rPr>
                <w:rFonts w:cstheme="minorHAnsi"/>
                <w:sz w:val="24"/>
                <w:szCs w:val="24"/>
              </w:rPr>
              <w:t>Lead</w:t>
            </w:r>
            <w:r w:rsidRPr="001B1AB0">
              <w:rPr>
                <w:rFonts w:cstheme="minorHAnsi"/>
                <w:sz w:val="24"/>
                <w:szCs w:val="24"/>
              </w:rPr>
              <w:tab/>
            </w:r>
          </w:p>
          <w:p w14:paraId="031AD33C" w14:textId="6B2E2507" w:rsidR="00105F72" w:rsidRPr="001B1AB0" w:rsidRDefault="00105F72" w:rsidP="00105F72">
            <w:pPr>
              <w:pStyle w:val="TableParagraph"/>
              <w:rPr>
                <w:rFonts w:cstheme="minorHAnsi"/>
                <w:sz w:val="24"/>
                <w:szCs w:val="24"/>
              </w:rPr>
            </w:pPr>
            <w:r w:rsidRPr="001B1AB0">
              <w:rPr>
                <w:rFonts w:cstheme="minorHAnsi"/>
                <w:sz w:val="24"/>
                <w:szCs w:val="24"/>
              </w:rPr>
              <w:tab/>
            </w:r>
          </w:p>
          <w:p w14:paraId="13E1220F" w14:textId="0D7DBCFF" w:rsidR="00402E85" w:rsidRPr="001B1AB0" w:rsidRDefault="00105F72">
            <w:pPr>
              <w:pStyle w:val="TableParagraph"/>
              <w:rPr>
                <w:rFonts w:cstheme="minorHAnsi"/>
                <w:sz w:val="24"/>
                <w:szCs w:val="24"/>
              </w:rPr>
            </w:pPr>
            <w:r w:rsidRPr="001B1AB0">
              <w:rPr>
                <w:rFonts w:cstheme="minorHAnsi"/>
                <w:sz w:val="24"/>
                <w:szCs w:val="24"/>
              </w:rPr>
              <w:tab/>
            </w:r>
          </w:p>
        </w:tc>
        <w:tc>
          <w:tcPr>
            <w:tcW w:w="722" w:type="pct"/>
          </w:tcPr>
          <w:p w14:paraId="0C4F07D7" w14:textId="5F90AA55" w:rsidR="00402E85" w:rsidRPr="001B1AB0" w:rsidRDefault="00B02720">
            <w:pPr>
              <w:pStyle w:val="TableParagraph"/>
              <w:rPr>
                <w:rFonts w:cstheme="minorHAnsi"/>
                <w:sz w:val="24"/>
                <w:szCs w:val="24"/>
              </w:rPr>
            </w:pPr>
            <w:r w:rsidRPr="001B1AB0">
              <w:rPr>
                <w:rFonts w:cstheme="minorHAnsi"/>
                <w:sz w:val="24"/>
                <w:szCs w:val="24"/>
              </w:rPr>
              <w:t>L</w:t>
            </w:r>
            <w:r w:rsidR="00105F72" w:rsidRPr="001B1AB0">
              <w:rPr>
                <w:rFonts w:cstheme="minorHAnsi"/>
                <w:sz w:val="24"/>
                <w:szCs w:val="24"/>
              </w:rPr>
              <w:t>ead communication pipes replaced or relined for water quality</w:t>
            </w:r>
          </w:p>
        </w:tc>
        <w:tc>
          <w:tcPr>
            <w:tcW w:w="1905" w:type="pct"/>
          </w:tcPr>
          <w:p w14:paraId="00B454F8" w14:textId="77777777" w:rsidR="00A977F2" w:rsidRPr="001B1AB0" w:rsidRDefault="00A977F2" w:rsidP="00A977F2">
            <w:pPr>
              <w:pStyle w:val="TableParagraph"/>
              <w:rPr>
                <w:rFonts w:cstheme="minorHAnsi"/>
                <w:sz w:val="24"/>
                <w:szCs w:val="24"/>
              </w:rPr>
            </w:pPr>
            <w:r w:rsidRPr="001B1AB0">
              <w:rPr>
                <w:rFonts w:cstheme="minorHAnsi"/>
                <w:sz w:val="24"/>
                <w:szCs w:val="24"/>
              </w:rPr>
              <w:t xml:space="preserve">The number of lead communication pipes replaced or </w:t>
            </w:r>
          </w:p>
          <w:p w14:paraId="4F888E12" w14:textId="45EE0D69" w:rsidR="00A977F2" w:rsidRPr="001B1AB0" w:rsidRDefault="00A977F2" w:rsidP="00A977F2">
            <w:pPr>
              <w:pStyle w:val="TableParagraph"/>
              <w:rPr>
                <w:rFonts w:cstheme="minorHAnsi"/>
                <w:sz w:val="24"/>
                <w:szCs w:val="24"/>
              </w:rPr>
            </w:pPr>
            <w:r w:rsidRPr="001B1AB0">
              <w:rPr>
                <w:rFonts w:cstheme="minorHAnsi"/>
                <w:sz w:val="24"/>
                <w:szCs w:val="24"/>
              </w:rPr>
              <w:t>relined for water quality</w:t>
            </w:r>
            <w:r w:rsidR="00AF3D02" w:rsidRPr="001B1AB0">
              <w:rPr>
                <w:rFonts w:cstheme="minorHAnsi"/>
                <w:sz w:val="24"/>
                <w:szCs w:val="24"/>
              </w:rPr>
              <w:t xml:space="preserve"> </w:t>
            </w:r>
            <w:r w:rsidRPr="001B1AB0">
              <w:rPr>
                <w:rFonts w:cstheme="minorHAnsi"/>
                <w:sz w:val="24"/>
                <w:szCs w:val="24"/>
              </w:rPr>
              <w:t>reasons.</w:t>
            </w:r>
          </w:p>
        </w:tc>
        <w:tc>
          <w:tcPr>
            <w:tcW w:w="437" w:type="pct"/>
          </w:tcPr>
          <w:p w14:paraId="4EEC898A" w14:textId="5512E3CD" w:rsidR="00402E85"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0D0BAC1F" w14:textId="6B48C1C3" w:rsidR="00A32C38" w:rsidRPr="001B1AB0" w:rsidRDefault="006A0C4B" w:rsidP="00A32C38">
            <w:pPr>
              <w:pStyle w:val="TableParagraph"/>
              <w:rPr>
                <w:rFonts w:cstheme="minorHAnsi"/>
                <w:sz w:val="24"/>
                <w:szCs w:val="24"/>
              </w:rPr>
            </w:pPr>
            <w:r>
              <w:rPr>
                <w:rFonts w:cstheme="minorHAnsi"/>
                <w:sz w:val="24"/>
                <w:szCs w:val="24"/>
              </w:rPr>
              <w:t xml:space="preserve">Ofwat </w:t>
            </w:r>
            <w:r w:rsidR="00A32C38" w:rsidRPr="001B1AB0">
              <w:rPr>
                <w:rFonts w:cstheme="minorHAnsi"/>
                <w:sz w:val="24"/>
                <w:szCs w:val="24"/>
              </w:rPr>
              <w:t>CW6.21</w:t>
            </w:r>
          </w:p>
          <w:p w14:paraId="3826185D" w14:textId="4C45AE96" w:rsidR="00DE76EA" w:rsidRPr="001B1AB0" w:rsidRDefault="00DE76EA">
            <w:pPr>
              <w:pStyle w:val="TableParagraph"/>
              <w:rPr>
                <w:rFonts w:cstheme="minorHAnsi"/>
                <w:sz w:val="24"/>
                <w:szCs w:val="24"/>
              </w:rPr>
            </w:pPr>
          </w:p>
        </w:tc>
      </w:tr>
      <w:tr w:rsidR="00926F58" w:rsidRPr="001B1AB0" w14:paraId="5CACFE1A" w14:textId="77777777" w:rsidTr="00DD38BA">
        <w:tc>
          <w:tcPr>
            <w:tcW w:w="584" w:type="pct"/>
          </w:tcPr>
          <w:p w14:paraId="4D62EA7D" w14:textId="0A2E0C95" w:rsidR="00535B43" w:rsidRPr="001B1AB0" w:rsidRDefault="007D16C1">
            <w:pPr>
              <w:pStyle w:val="TableParagraph"/>
              <w:rPr>
                <w:rFonts w:cstheme="minorHAnsi"/>
                <w:sz w:val="24"/>
                <w:szCs w:val="24"/>
              </w:rPr>
            </w:pPr>
            <w:r w:rsidRPr="001B1AB0">
              <w:rPr>
                <w:rFonts w:cstheme="minorHAnsi"/>
                <w:sz w:val="24"/>
                <w:szCs w:val="24"/>
              </w:rPr>
              <w:t>9.3b</w:t>
            </w:r>
          </w:p>
        </w:tc>
        <w:tc>
          <w:tcPr>
            <w:tcW w:w="827" w:type="pct"/>
          </w:tcPr>
          <w:p w14:paraId="66CA98F8" w14:textId="54727763" w:rsidR="00535B43" w:rsidRPr="001B1AB0" w:rsidRDefault="00535B43" w:rsidP="00105F72">
            <w:pPr>
              <w:pStyle w:val="TableParagraph"/>
              <w:rPr>
                <w:rFonts w:cstheme="minorHAnsi"/>
                <w:sz w:val="24"/>
                <w:szCs w:val="24"/>
              </w:rPr>
            </w:pPr>
            <w:r w:rsidRPr="001B1AB0">
              <w:rPr>
                <w:rFonts w:cstheme="minorHAnsi"/>
                <w:sz w:val="24"/>
                <w:szCs w:val="24"/>
              </w:rPr>
              <w:t>Lead</w:t>
            </w:r>
          </w:p>
        </w:tc>
        <w:tc>
          <w:tcPr>
            <w:tcW w:w="722" w:type="pct"/>
          </w:tcPr>
          <w:p w14:paraId="055B60F4" w14:textId="3A250F0F" w:rsidR="00535B43" w:rsidRPr="001B1AB0" w:rsidRDefault="00B02720">
            <w:pPr>
              <w:pStyle w:val="TableParagraph"/>
              <w:rPr>
                <w:rFonts w:cstheme="minorHAnsi"/>
                <w:sz w:val="24"/>
                <w:szCs w:val="24"/>
              </w:rPr>
            </w:pPr>
            <w:r w:rsidRPr="001B1AB0">
              <w:rPr>
                <w:rFonts w:cstheme="minorHAnsi"/>
                <w:sz w:val="24"/>
                <w:szCs w:val="24"/>
              </w:rPr>
              <w:t>E</w:t>
            </w:r>
            <w:r w:rsidR="00535B43" w:rsidRPr="001B1AB0">
              <w:rPr>
                <w:rFonts w:cstheme="minorHAnsi"/>
                <w:sz w:val="24"/>
                <w:szCs w:val="24"/>
              </w:rPr>
              <w:t>xternal lead supply pipes replaced or relined</w:t>
            </w:r>
          </w:p>
        </w:tc>
        <w:tc>
          <w:tcPr>
            <w:tcW w:w="1905" w:type="pct"/>
          </w:tcPr>
          <w:p w14:paraId="1DA3119D" w14:textId="7E92FBE6" w:rsidR="00535B43" w:rsidRPr="001B1AB0" w:rsidRDefault="005348FA">
            <w:pPr>
              <w:pStyle w:val="TableParagraph"/>
              <w:rPr>
                <w:rFonts w:cstheme="minorHAnsi"/>
                <w:sz w:val="24"/>
                <w:szCs w:val="24"/>
              </w:rPr>
            </w:pPr>
            <w:r w:rsidRPr="001B1AB0">
              <w:rPr>
                <w:rFonts w:cstheme="minorHAnsi"/>
                <w:sz w:val="24"/>
                <w:szCs w:val="24"/>
              </w:rPr>
              <w:t>Number of external lead supply pipes replaced or relined from the underground boundary box or property boundary to the internal stop tap or above ground boundary box (if fitted).</w:t>
            </w:r>
          </w:p>
        </w:tc>
        <w:tc>
          <w:tcPr>
            <w:tcW w:w="437" w:type="pct"/>
          </w:tcPr>
          <w:p w14:paraId="13E76484" w14:textId="309F9345" w:rsidR="00535B43"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030306BE" w14:textId="48759E65" w:rsidR="0017514D" w:rsidRPr="001B1AB0" w:rsidRDefault="006A0C4B" w:rsidP="0017514D">
            <w:pPr>
              <w:pStyle w:val="TableParagraph"/>
              <w:rPr>
                <w:rFonts w:cstheme="minorHAnsi"/>
                <w:sz w:val="24"/>
                <w:szCs w:val="24"/>
              </w:rPr>
            </w:pPr>
            <w:r>
              <w:rPr>
                <w:rFonts w:cstheme="minorHAnsi"/>
                <w:sz w:val="24"/>
                <w:szCs w:val="24"/>
              </w:rPr>
              <w:t xml:space="preserve">Ofwat </w:t>
            </w:r>
            <w:r w:rsidR="0017514D" w:rsidRPr="001B1AB0">
              <w:rPr>
                <w:rFonts w:cstheme="minorHAnsi"/>
                <w:sz w:val="24"/>
                <w:szCs w:val="24"/>
              </w:rPr>
              <w:t>CW6.24</w:t>
            </w:r>
          </w:p>
          <w:p w14:paraId="2F07E370" w14:textId="77777777" w:rsidR="00535B43" w:rsidRPr="001B1AB0" w:rsidRDefault="00535B43" w:rsidP="00A32C38">
            <w:pPr>
              <w:pStyle w:val="TableParagraph"/>
              <w:rPr>
                <w:rFonts w:cstheme="minorHAnsi"/>
                <w:sz w:val="24"/>
                <w:szCs w:val="24"/>
              </w:rPr>
            </w:pPr>
          </w:p>
        </w:tc>
      </w:tr>
      <w:tr w:rsidR="00926F58" w:rsidRPr="001B1AB0" w14:paraId="67866145" w14:textId="77777777" w:rsidTr="00DD38BA">
        <w:tc>
          <w:tcPr>
            <w:tcW w:w="584" w:type="pct"/>
          </w:tcPr>
          <w:p w14:paraId="0F8EE4DB" w14:textId="16A1D4FC" w:rsidR="00D5442D" w:rsidRPr="001B1AB0" w:rsidRDefault="00BC027E">
            <w:pPr>
              <w:pStyle w:val="TableParagraph"/>
              <w:rPr>
                <w:rFonts w:cstheme="minorHAnsi"/>
                <w:sz w:val="24"/>
                <w:szCs w:val="24"/>
              </w:rPr>
            </w:pPr>
            <w:r w:rsidRPr="001B1AB0">
              <w:rPr>
                <w:rFonts w:cstheme="minorHAnsi"/>
                <w:sz w:val="24"/>
                <w:szCs w:val="24"/>
              </w:rPr>
              <w:t>9</w:t>
            </w:r>
            <w:r w:rsidR="007D16C1" w:rsidRPr="001B1AB0">
              <w:rPr>
                <w:rFonts w:cstheme="minorHAnsi"/>
                <w:sz w:val="24"/>
                <w:szCs w:val="24"/>
              </w:rPr>
              <w:t>.3c</w:t>
            </w:r>
          </w:p>
        </w:tc>
        <w:tc>
          <w:tcPr>
            <w:tcW w:w="827" w:type="pct"/>
          </w:tcPr>
          <w:p w14:paraId="77EE5848" w14:textId="5BBFACED" w:rsidR="00D5442D" w:rsidRPr="001B1AB0" w:rsidRDefault="0017514D" w:rsidP="00105F72">
            <w:pPr>
              <w:pStyle w:val="TableParagraph"/>
              <w:rPr>
                <w:rFonts w:cstheme="minorHAnsi"/>
                <w:sz w:val="24"/>
                <w:szCs w:val="24"/>
              </w:rPr>
            </w:pPr>
            <w:r w:rsidRPr="001B1AB0">
              <w:rPr>
                <w:rFonts w:cstheme="minorHAnsi"/>
                <w:sz w:val="24"/>
                <w:szCs w:val="24"/>
              </w:rPr>
              <w:t>Lead</w:t>
            </w:r>
          </w:p>
        </w:tc>
        <w:tc>
          <w:tcPr>
            <w:tcW w:w="722" w:type="pct"/>
          </w:tcPr>
          <w:p w14:paraId="0DBDC13D" w14:textId="59E70534" w:rsidR="00D5442D" w:rsidRPr="001B1AB0" w:rsidRDefault="00B02720">
            <w:pPr>
              <w:pStyle w:val="TableParagraph"/>
              <w:rPr>
                <w:rFonts w:cstheme="minorHAnsi"/>
                <w:sz w:val="24"/>
                <w:szCs w:val="24"/>
              </w:rPr>
            </w:pPr>
            <w:r w:rsidRPr="001B1AB0">
              <w:rPr>
                <w:rFonts w:cstheme="minorHAnsi"/>
                <w:sz w:val="24"/>
                <w:szCs w:val="24"/>
              </w:rPr>
              <w:t>I</w:t>
            </w:r>
            <w:r w:rsidR="0017514D" w:rsidRPr="001B1AB0">
              <w:rPr>
                <w:rFonts w:cstheme="minorHAnsi"/>
                <w:sz w:val="24"/>
                <w:szCs w:val="24"/>
              </w:rPr>
              <w:t>nternal lead supply pipes replaced or relined</w:t>
            </w:r>
          </w:p>
        </w:tc>
        <w:tc>
          <w:tcPr>
            <w:tcW w:w="1905" w:type="pct"/>
          </w:tcPr>
          <w:p w14:paraId="43AAF709" w14:textId="056D5435" w:rsidR="00D5442D" w:rsidRPr="001B1AB0" w:rsidRDefault="006D291C">
            <w:pPr>
              <w:pStyle w:val="TableParagraph"/>
              <w:rPr>
                <w:rFonts w:cstheme="minorHAnsi"/>
                <w:sz w:val="24"/>
                <w:szCs w:val="24"/>
              </w:rPr>
            </w:pPr>
            <w:r w:rsidRPr="001B1AB0">
              <w:rPr>
                <w:rFonts w:cstheme="minorHAnsi"/>
                <w:sz w:val="24"/>
                <w:szCs w:val="24"/>
              </w:rPr>
              <w:t>Number of internal lead supply pipes replaced or relined from the internal stop tap or above ground boundary box to the compliance point (kitchen tap).</w:t>
            </w:r>
          </w:p>
        </w:tc>
        <w:tc>
          <w:tcPr>
            <w:tcW w:w="437" w:type="pct"/>
          </w:tcPr>
          <w:p w14:paraId="10D3DEC0" w14:textId="0E9213D3" w:rsidR="00D5442D"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2B15345B" w14:textId="4E51B209" w:rsidR="00D5442D" w:rsidRPr="001B1AB0" w:rsidRDefault="006A0C4B" w:rsidP="00A32C38">
            <w:pPr>
              <w:pStyle w:val="TableParagraph"/>
              <w:rPr>
                <w:rFonts w:cstheme="minorHAnsi"/>
                <w:sz w:val="24"/>
                <w:szCs w:val="24"/>
              </w:rPr>
            </w:pPr>
            <w:r>
              <w:rPr>
                <w:rFonts w:cstheme="minorHAnsi"/>
                <w:sz w:val="24"/>
                <w:szCs w:val="24"/>
              </w:rPr>
              <w:t xml:space="preserve">Ofwat </w:t>
            </w:r>
            <w:r w:rsidR="0017514D" w:rsidRPr="001B1AB0">
              <w:rPr>
                <w:rFonts w:cstheme="minorHAnsi"/>
                <w:sz w:val="24"/>
                <w:szCs w:val="24"/>
              </w:rPr>
              <w:t>CW6.26</w:t>
            </w:r>
          </w:p>
        </w:tc>
      </w:tr>
      <w:tr w:rsidR="00926F58" w:rsidRPr="001B1AB0" w14:paraId="47ACBD65" w14:textId="060B1931" w:rsidTr="00DD38BA">
        <w:tc>
          <w:tcPr>
            <w:tcW w:w="584" w:type="pct"/>
          </w:tcPr>
          <w:p w14:paraId="3ECB4F33" w14:textId="1DCFDC15" w:rsidR="00402E85" w:rsidRPr="001B1AB0" w:rsidRDefault="00BC027E">
            <w:pPr>
              <w:pStyle w:val="TableParagraph"/>
              <w:rPr>
                <w:rFonts w:cstheme="minorHAnsi"/>
                <w:sz w:val="24"/>
                <w:szCs w:val="24"/>
              </w:rPr>
            </w:pPr>
            <w:r w:rsidRPr="001B1AB0">
              <w:rPr>
                <w:rFonts w:cstheme="minorHAnsi"/>
                <w:sz w:val="24"/>
                <w:szCs w:val="24"/>
              </w:rPr>
              <w:t>9.4a</w:t>
            </w:r>
          </w:p>
        </w:tc>
        <w:tc>
          <w:tcPr>
            <w:tcW w:w="827" w:type="pct"/>
          </w:tcPr>
          <w:p w14:paraId="308659D2" w14:textId="29B7D39E" w:rsidR="00FA0D4F" w:rsidRPr="001B1AB0" w:rsidRDefault="00FA0D4F" w:rsidP="00FA0D4F">
            <w:pPr>
              <w:pStyle w:val="TableParagraph"/>
              <w:rPr>
                <w:rFonts w:cstheme="minorHAnsi"/>
                <w:sz w:val="24"/>
                <w:szCs w:val="24"/>
              </w:rPr>
            </w:pPr>
            <w:r w:rsidRPr="001B1AB0">
              <w:rPr>
                <w:rFonts w:cstheme="minorHAnsi"/>
                <w:sz w:val="24"/>
                <w:szCs w:val="24"/>
              </w:rPr>
              <w:t>Metering</w:t>
            </w:r>
            <w:r w:rsidRPr="001B1AB0">
              <w:rPr>
                <w:rFonts w:cstheme="minorHAnsi"/>
                <w:sz w:val="24"/>
                <w:szCs w:val="24"/>
              </w:rPr>
              <w:tab/>
            </w:r>
          </w:p>
          <w:p w14:paraId="552BE9B3" w14:textId="33ADA1C5" w:rsidR="00402E85" w:rsidRPr="001B1AB0" w:rsidRDefault="00402E85">
            <w:pPr>
              <w:pStyle w:val="TableParagraph"/>
              <w:rPr>
                <w:rFonts w:cstheme="minorHAnsi"/>
                <w:sz w:val="24"/>
                <w:szCs w:val="24"/>
              </w:rPr>
            </w:pPr>
          </w:p>
        </w:tc>
        <w:tc>
          <w:tcPr>
            <w:tcW w:w="722" w:type="pct"/>
          </w:tcPr>
          <w:p w14:paraId="6D6B2B0E" w14:textId="4AD28DC3" w:rsidR="00402E85" w:rsidRPr="001B1AB0" w:rsidRDefault="00FA0D4F">
            <w:pPr>
              <w:pStyle w:val="TableParagraph"/>
              <w:rPr>
                <w:rFonts w:cstheme="minorHAnsi"/>
                <w:sz w:val="24"/>
                <w:szCs w:val="24"/>
              </w:rPr>
            </w:pPr>
            <w:r w:rsidRPr="001B1AB0">
              <w:rPr>
                <w:rFonts w:cstheme="minorHAnsi"/>
                <w:sz w:val="24"/>
                <w:szCs w:val="24"/>
              </w:rPr>
              <w:t>Total meters installed Basic/AMI/AMR</w:t>
            </w:r>
          </w:p>
        </w:tc>
        <w:tc>
          <w:tcPr>
            <w:tcW w:w="1905" w:type="pct"/>
          </w:tcPr>
          <w:p w14:paraId="3FDBE5E5" w14:textId="70ED212A" w:rsidR="00EB19A6" w:rsidRPr="001B1AB0" w:rsidRDefault="00EB19A6">
            <w:pPr>
              <w:pStyle w:val="TableParagraph"/>
              <w:rPr>
                <w:rFonts w:cstheme="minorHAnsi"/>
                <w:sz w:val="24"/>
                <w:szCs w:val="24"/>
                <w:lang w:eastAsia="zh-CN"/>
              </w:rPr>
            </w:pPr>
            <w:r w:rsidRPr="001B1AB0">
              <w:rPr>
                <w:rFonts w:cstheme="minorHAnsi"/>
                <w:sz w:val="24"/>
                <w:szCs w:val="24"/>
              </w:rPr>
              <w:t>The total number of meters installed at existing residential</w:t>
            </w:r>
            <w:r w:rsidR="00F75F28" w:rsidRPr="001B1AB0">
              <w:rPr>
                <w:rFonts w:cstheme="minorHAnsi"/>
                <w:sz w:val="24"/>
                <w:szCs w:val="24"/>
              </w:rPr>
              <w:t xml:space="preserve"> or business</w:t>
            </w:r>
            <w:r w:rsidRPr="001B1AB0">
              <w:rPr>
                <w:rFonts w:cstheme="minorHAnsi"/>
                <w:sz w:val="24"/>
                <w:szCs w:val="24"/>
              </w:rPr>
              <w:t xml:space="preserve"> properties during the reporting year.</w:t>
            </w:r>
            <w:r w:rsidR="004A03B1" w:rsidRPr="001B1AB0">
              <w:rPr>
                <w:rFonts w:cstheme="minorHAnsi"/>
                <w:sz w:val="24"/>
                <w:szCs w:val="24"/>
              </w:rPr>
              <w:t xml:space="preserve"> Include meters installed at properties fitted in any location (</w:t>
            </w:r>
            <w:r w:rsidR="00783EBC" w:rsidRPr="001B1AB0">
              <w:rPr>
                <w:rFonts w:cstheme="minorHAnsi"/>
                <w:sz w:val="24"/>
                <w:szCs w:val="24"/>
              </w:rPr>
              <w:t>e</w:t>
            </w:r>
            <w:r w:rsidR="00783EBC">
              <w:rPr>
                <w:rFonts w:cstheme="minorHAnsi"/>
                <w:sz w:val="24"/>
                <w:szCs w:val="24"/>
              </w:rPr>
              <w:t>.</w:t>
            </w:r>
            <w:r w:rsidR="00783EBC" w:rsidRPr="001B1AB0">
              <w:rPr>
                <w:rFonts w:cstheme="minorHAnsi"/>
                <w:sz w:val="24"/>
                <w:szCs w:val="24"/>
              </w:rPr>
              <w:t>g</w:t>
            </w:r>
            <w:r w:rsidR="00783EBC">
              <w:rPr>
                <w:rFonts w:cstheme="minorHAnsi"/>
                <w:sz w:val="24"/>
                <w:szCs w:val="24"/>
              </w:rPr>
              <w:t>.</w:t>
            </w:r>
            <w:r w:rsidR="004A03B1" w:rsidRPr="001B1AB0">
              <w:rPr>
                <w:rFonts w:cstheme="minorHAnsi"/>
                <w:sz w:val="24"/>
                <w:szCs w:val="24"/>
              </w:rPr>
              <w:t xml:space="preserve"> internal, external in garden, external at boundary etc).</w:t>
            </w:r>
            <w:r w:rsidR="00F80CEC">
              <w:rPr>
                <w:rFonts w:cstheme="minorHAnsi"/>
                <w:sz w:val="24"/>
                <w:szCs w:val="24"/>
              </w:rPr>
              <w:t xml:space="preserve"> Meter types </w:t>
            </w:r>
            <w:r w:rsidR="00A01111">
              <w:rPr>
                <w:rFonts w:cstheme="minorHAnsi"/>
                <w:sz w:val="24"/>
                <w:szCs w:val="24"/>
              </w:rPr>
              <w:t>include basic</w:t>
            </w:r>
            <w:r w:rsidR="0013047E">
              <w:rPr>
                <w:rFonts w:cstheme="minorHAnsi"/>
                <w:sz w:val="24"/>
                <w:szCs w:val="24"/>
              </w:rPr>
              <w:t xml:space="preserve"> meter, </w:t>
            </w:r>
            <w:r w:rsidR="0013492B">
              <w:rPr>
                <w:rFonts w:cstheme="minorHAnsi"/>
                <w:sz w:val="24"/>
                <w:szCs w:val="24"/>
              </w:rPr>
              <w:t>advanced meter infrastructure (AMI) and automatic meter reading (AMR).</w:t>
            </w:r>
          </w:p>
        </w:tc>
        <w:tc>
          <w:tcPr>
            <w:tcW w:w="437" w:type="pct"/>
          </w:tcPr>
          <w:p w14:paraId="435FA794" w14:textId="62AB957D" w:rsidR="00402E85"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379B3584" w14:textId="1E86B330" w:rsidR="0062133D" w:rsidRPr="001B1AB0" w:rsidRDefault="0062133D" w:rsidP="006B61CD">
            <w:pPr>
              <w:pStyle w:val="TableParagraph"/>
              <w:rPr>
                <w:rFonts w:cstheme="minorHAnsi"/>
                <w:sz w:val="24"/>
                <w:szCs w:val="24"/>
              </w:rPr>
            </w:pPr>
            <w:r w:rsidRPr="001B1AB0">
              <w:rPr>
                <w:rFonts w:cstheme="minorHAnsi"/>
                <w:sz w:val="24"/>
                <w:szCs w:val="24"/>
              </w:rPr>
              <w:t xml:space="preserve">Sum </w:t>
            </w:r>
            <w:r w:rsidR="002C6C2D">
              <w:rPr>
                <w:rFonts w:cstheme="minorHAnsi"/>
                <w:sz w:val="24"/>
                <w:szCs w:val="24"/>
              </w:rPr>
              <w:t xml:space="preserve">of </w:t>
            </w:r>
          </w:p>
          <w:p w14:paraId="4D38F6BB" w14:textId="26EAB41C" w:rsidR="00DE76EA" w:rsidRPr="001B1AB0" w:rsidRDefault="006A0C4B">
            <w:pPr>
              <w:pStyle w:val="TableParagraph"/>
              <w:rPr>
                <w:rFonts w:cstheme="minorHAnsi"/>
                <w:sz w:val="24"/>
                <w:szCs w:val="24"/>
              </w:rPr>
            </w:pPr>
            <w:r>
              <w:rPr>
                <w:rFonts w:cstheme="minorHAnsi"/>
                <w:sz w:val="24"/>
                <w:szCs w:val="24"/>
              </w:rPr>
              <w:t xml:space="preserve">Ofwat </w:t>
            </w:r>
            <w:r w:rsidR="002C6C2D">
              <w:rPr>
                <w:rFonts w:cstheme="minorHAnsi"/>
                <w:sz w:val="24"/>
                <w:szCs w:val="24"/>
              </w:rPr>
              <w:t xml:space="preserve">lines </w:t>
            </w:r>
            <w:r w:rsidR="006B61CD" w:rsidRPr="001B1AB0">
              <w:rPr>
                <w:rFonts w:cstheme="minorHAnsi"/>
                <w:sz w:val="24"/>
                <w:szCs w:val="24"/>
              </w:rPr>
              <w:t>CW7.6-CW7.8</w:t>
            </w:r>
          </w:p>
        </w:tc>
      </w:tr>
      <w:tr w:rsidR="00926F58" w:rsidRPr="001B1AB0" w14:paraId="7CCA073C" w14:textId="77777777" w:rsidTr="00DD38BA">
        <w:tc>
          <w:tcPr>
            <w:tcW w:w="584" w:type="pct"/>
          </w:tcPr>
          <w:p w14:paraId="53071AA2" w14:textId="4EF2A0D8" w:rsidR="00F33280" w:rsidRPr="001B1AB0" w:rsidRDefault="00BC027E">
            <w:pPr>
              <w:pStyle w:val="TableParagraph"/>
              <w:rPr>
                <w:rFonts w:cstheme="minorHAnsi"/>
                <w:sz w:val="24"/>
                <w:szCs w:val="24"/>
              </w:rPr>
            </w:pPr>
            <w:r w:rsidRPr="001B1AB0">
              <w:rPr>
                <w:rFonts w:cstheme="minorHAnsi"/>
                <w:sz w:val="24"/>
                <w:szCs w:val="24"/>
              </w:rPr>
              <w:t>9.4b</w:t>
            </w:r>
          </w:p>
        </w:tc>
        <w:tc>
          <w:tcPr>
            <w:tcW w:w="827" w:type="pct"/>
          </w:tcPr>
          <w:p w14:paraId="52959CCE" w14:textId="31F17C19" w:rsidR="00F33280" w:rsidRPr="001B1AB0" w:rsidRDefault="00F33280" w:rsidP="00FA0D4F">
            <w:pPr>
              <w:pStyle w:val="TableParagraph"/>
              <w:rPr>
                <w:rFonts w:cstheme="minorHAnsi"/>
                <w:sz w:val="24"/>
                <w:szCs w:val="24"/>
              </w:rPr>
            </w:pPr>
            <w:r w:rsidRPr="001B1AB0">
              <w:rPr>
                <w:rFonts w:cstheme="minorHAnsi"/>
                <w:sz w:val="24"/>
                <w:szCs w:val="24"/>
              </w:rPr>
              <w:t>Metering</w:t>
            </w:r>
          </w:p>
        </w:tc>
        <w:tc>
          <w:tcPr>
            <w:tcW w:w="722" w:type="pct"/>
          </w:tcPr>
          <w:p w14:paraId="50AD7083" w14:textId="3DB6CA66" w:rsidR="00F33280" w:rsidRPr="001B1AB0" w:rsidRDefault="00F33280" w:rsidP="00FA0D4F">
            <w:pPr>
              <w:pStyle w:val="TableParagraph"/>
              <w:rPr>
                <w:rFonts w:cstheme="minorHAnsi"/>
                <w:sz w:val="24"/>
                <w:szCs w:val="24"/>
              </w:rPr>
            </w:pPr>
            <w:r w:rsidRPr="001B1AB0">
              <w:rPr>
                <w:rFonts w:cstheme="minorHAnsi"/>
                <w:sz w:val="24"/>
                <w:szCs w:val="24"/>
              </w:rPr>
              <w:t>Total meters upgraded Basic/AMI/AMR</w:t>
            </w:r>
          </w:p>
        </w:tc>
        <w:tc>
          <w:tcPr>
            <w:tcW w:w="1905" w:type="pct"/>
          </w:tcPr>
          <w:p w14:paraId="7B639562" w14:textId="5CC41373" w:rsidR="00877EA7" w:rsidRDefault="00E72A47">
            <w:pPr>
              <w:pStyle w:val="TableParagraph"/>
              <w:rPr>
                <w:rFonts w:cstheme="minorHAnsi"/>
                <w:sz w:val="24"/>
                <w:szCs w:val="24"/>
              </w:rPr>
            </w:pPr>
            <w:r w:rsidRPr="001B1AB0">
              <w:rPr>
                <w:rFonts w:cstheme="minorHAnsi"/>
                <w:sz w:val="24"/>
                <w:szCs w:val="24"/>
              </w:rPr>
              <w:t xml:space="preserve">The number of existing </w:t>
            </w:r>
            <w:r w:rsidR="00AC06DB" w:rsidRPr="001B1AB0">
              <w:rPr>
                <w:rFonts w:cstheme="minorHAnsi"/>
                <w:sz w:val="24"/>
                <w:szCs w:val="24"/>
              </w:rPr>
              <w:t xml:space="preserve">residential or business </w:t>
            </w:r>
            <w:r w:rsidRPr="001B1AB0">
              <w:rPr>
                <w:rFonts w:cstheme="minorHAnsi"/>
                <w:sz w:val="24"/>
                <w:szCs w:val="24"/>
              </w:rPr>
              <w:t xml:space="preserve">customers where meters were upgraded to/or replaced with </w:t>
            </w:r>
            <w:r w:rsidR="00194B84" w:rsidRPr="001B1AB0">
              <w:rPr>
                <w:rFonts w:cstheme="minorHAnsi"/>
                <w:sz w:val="24"/>
                <w:szCs w:val="24"/>
              </w:rPr>
              <w:t>smarter</w:t>
            </w:r>
            <w:r w:rsidRPr="001B1AB0">
              <w:rPr>
                <w:rFonts w:cstheme="minorHAnsi"/>
                <w:sz w:val="24"/>
                <w:szCs w:val="24"/>
              </w:rPr>
              <w:t xml:space="preserve"> meters during the reporting year</w:t>
            </w:r>
            <w:r w:rsidR="00194B84" w:rsidRPr="001B1AB0">
              <w:rPr>
                <w:rFonts w:cstheme="minorHAnsi"/>
                <w:sz w:val="24"/>
                <w:szCs w:val="24"/>
              </w:rPr>
              <w:t>.</w:t>
            </w:r>
            <w:r w:rsidR="00AC06DB" w:rsidRPr="001B1AB0">
              <w:rPr>
                <w:rFonts w:cstheme="minorHAnsi"/>
                <w:sz w:val="24"/>
                <w:szCs w:val="24"/>
              </w:rPr>
              <w:t xml:space="preserve"> </w:t>
            </w:r>
          </w:p>
          <w:p w14:paraId="0BF1E9D0" w14:textId="36CBE4AC" w:rsidR="00F33280" w:rsidRPr="001B1AB0" w:rsidRDefault="00AC06DB">
            <w:pPr>
              <w:pStyle w:val="TableParagraph"/>
              <w:rPr>
                <w:rFonts w:cstheme="minorHAnsi"/>
                <w:sz w:val="24"/>
                <w:szCs w:val="24"/>
              </w:rPr>
            </w:pPr>
            <w:r w:rsidRPr="001B1AB0">
              <w:rPr>
                <w:rFonts w:cstheme="minorHAnsi"/>
                <w:sz w:val="24"/>
                <w:szCs w:val="24"/>
              </w:rPr>
              <w:t>Upgrades can be:</w:t>
            </w:r>
          </w:p>
          <w:p w14:paraId="576EFD99" w14:textId="61A4008D" w:rsidR="00AC06DB" w:rsidRPr="001B1AB0" w:rsidRDefault="00AC06DB" w:rsidP="000A01AB">
            <w:pPr>
              <w:pStyle w:val="TableParagraph"/>
              <w:numPr>
                <w:ilvl w:val="0"/>
                <w:numId w:val="14"/>
              </w:numPr>
              <w:rPr>
                <w:rFonts w:cstheme="minorHAnsi"/>
                <w:sz w:val="24"/>
                <w:szCs w:val="24"/>
              </w:rPr>
            </w:pPr>
            <w:r w:rsidRPr="001B1AB0">
              <w:rPr>
                <w:rFonts w:cstheme="minorHAnsi"/>
                <w:sz w:val="24"/>
                <w:szCs w:val="24"/>
              </w:rPr>
              <w:t>Basic to AMR/AMI</w:t>
            </w:r>
            <w:r w:rsidR="009F59BC">
              <w:rPr>
                <w:rFonts w:cstheme="minorHAnsi"/>
                <w:sz w:val="24"/>
                <w:szCs w:val="24"/>
              </w:rPr>
              <w:t>, or</w:t>
            </w:r>
          </w:p>
          <w:p w14:paraId="28C23E16" w14:textId="5A17A057" w:rsidR="00AC06DB" w:rsidRPr="001B1AB0" w:rsidRDefault="00AC06DB" w:rsidP="000A01AB">
            <w:pPr>
              <w:pStyle w:val="TableParagraph"/>
              <w:numPr>
                <w:ilvl w:val="0"/>
                <w:numId w:val="14"/>
              </w:numPr>
              <w:rPr>
                <w:rFonts w:cstheme="minorHAnsi"/>
                <w:sz w:val="24"/>
                <w:szCs w:val="24"/>
              </w:rPr>
            </w:pPr>
            <w:r w:rsidRPr="001B1AB0">
              <w:rPr>
                <w:rFonts w:cstheme="minorHAnsi"/>
                <w:sz w:val="24"/>
                <w:szCs w:val="24"/>
              </w:rPr>
              <w:t>AMR to AMI</w:t>
            </w:r>
          </w:p>
        </w:tc>
        <w:tc>
          <w:tcPr>
            <w:tcW w:w="437" w:type="pct"/>
          </w:tcPr>
          <w:p w14:paraId="3ED4AC6E" w14:textId="5128363A" w:rsidR="00F33280"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137CBF54" w14:textId="188A67F3" w:rsidR="00F33280" w:rsidRPr="001B1AB0" w:rsidRDefault="00F33280" w:rsidP="006B61CD">
            <w:pPr>
              <w:pStyle w:val="TableParagraph"/>
              <w:rPr>
                <w:rFonts w:cstheme="minorHAnsi"/>
                <w:sz w:val="24"/>
                <w:szCs w:val="24"/>
              </w:rPr>
            </w:pPr>
            <w:r w:rsidRPr="001B1AB0">
              <w:rPr>
                <w:rFonts w:cstheme="minorHAnsi"/>
                <w:sz w:val="24"/>
                <w:szCs w:val="24"/>
              </w:rPr>
              <w:t xml:space="preserve">Sum </w:t>
            </w:r>
            <w:r w:rsidR="002C6C2D">
              <w:rPr>
                <w:rFonts w:cstheme="minorHAnsi"/>
                <w:sz w:val="24"/>
                <w:szCs w:val="24"/>
              </w:rPr>
              <w:t xml:space="preserve">of </w:t>
            </w:r>
          </w:p>
          <w:p w14:paraId="7FE7DB03" w14:textId="7747FB60" w:rsidR="00F33280" w:rsidRPr="001B1AB0" w:rsidRDefault="00A12012" w:rsidP="006B61CD">
            <w:pPr>
              <w:pStyle w:val="TableParagraph"/>
              <w:rPr>
                <w:rFonts w:cstheme="minorHAnsi"/>
                <w:sz w:val="24"/>
                <w:szCs w:val="24"/>
              </w:rPr>
            </w:pPr>
            <w:r>
              <w:rPr>
                <w:rFonts w:cstheme="minorHAnsi"/>
                <w:sz w:val="24"/>
                <w:szCs w:val="24"/>
              </w:rPr>
              <w:t xml:space="preserve">Ofwat </w:t>
            </w:r>
            <w:r w:rsidR="002C6C2D">
              <w:rPr>
                <w:rFonts w:cstheme="minorHAnsi"/>
                <w:sz w:val="24"/>
                <w:szCs w:val="24"/>
              </w:rPr>
              <w:t xml:space="preserve">lines </w:t>
            </w:r>
            <w:r w:rsidR="00F33280" w:rsidRPr="001B1AB0">
              <w:rPr>
                <w:rFonts w:cstheme="minorHAnsi"/>
                <w:sz w:val="24"/>
                <w:szCs w:val="24"/>
              </w:rPr>
              <w:t>CW7.11-CW7.14</w:t>
            </w:r>
          </w:p>
        </w:tc>
      </w:tr>
      <w:tr w:rsidR="00926F58" w:rsidRPr="001B1AB0" w14:paraId="0DAA6E31" w14:textId="5AD3CF9B" w:rsidTr="00DD38BA">
        <w:tc>
          <w:tcPr>
            <w:tcW w:w="584" w:type="pct"/>
          </w:tcPr>
          <w:p w14:paraId="48EAA35B" w14:textId="3FB5B0E5" w:rsidR="00402E85" w:rsidRPr="001B1AB0" w:rsidRDefault="00BC027E">
            <w:pPr>
              <w:pStyle w:val="TableParagraph"/>
              <w:rPr>
                <w:rFonts w:cstheme="minorHAnsi"/>
                <w:sz w:val="24"/>
                <w:szCs w:val="24"/>
              </w:rPr>
            </w:pPr>
            <w:r w:rsidRPr="001B1AB0">
              <w:rPr>
                <w:rFonts w:cstheme="minorHAnsi"/>
                <w:sz w:val="24"/>
                <w:szCs w:val="24"/>
              </w:rPr>
              <w:lastRenderedPageBreak/>
              <w:t>9.5</w:t>
            </w:r>
          </w:p>
        </w:tc>
        <w:tc>
          <w:tcPr>
            <w:tcW w:w="827" w:type="pct"/>
          </w:tcPr>
          <w:p w14:paraId="6C89C7D3" w14:textId="02964999" w:rsidR="00402E85" w:rsidRPr="001B1AB0" w:rsidRDefault="00907F0B">
            <w:pPr>
              <w:pStyle w:val="TableParagraph"/>
              <w:rPr>
                <w:rFonts w:cstheme="minorHAnsi"/>
                <w:sz w:val="24"/>
                <w:szCs w:val="24"/>
              </w:rPr>
            </w:pPr>
            <w:r w:rsidRPr="001B1AB0">
              <w:rPr>
                <w:rFonts w:cstheme="minorHAnsi"/>
                <w:sz w:val="24"/>
                <w:szCs w:val="24"/>
              </w:rPr>
              <w:t xml:space="preserve">Continuous river water quality monitoring </w:t>
            </w:r>
            <w:r w:rsidRPr="001B1AB0">
              <w:rPr>
                <w:rFonts w:cstheme="minorHAnsi"/>
                <w:sz w:val="24"/>
                <w:szCs w:val="24"/>
              </w:rPr>
              <w:tab/>
            </w:r>
          </w:p>
        </w:tc>
        <w:tc>
          <w:tcPr>
            <w:tcW w:w="722" w:type="pct"/>
          </w:tcPr>
          <w:p w14:paraId="4DD057F0" w14:textId="05FD68C4" w:rsidR="00402E85" w:rsidRPr="001B1AB0" w:rsidRDefault="00907F0B">
            <w:pPr>
              <w:pStyle w:val="TableParagraph"/>
              <w:rPr>
                <w:rFonts w:cstheme="minorHAnsi"/>
                <w:sz w:val="24"/>
                <w:szCs w:val="24"/>
              </w:rPr>
            </w:pPr>
            <w:r w:rsidRPr="001B1AB0">
              <w:rPr>
                <w:rFonts w:cstheme="minorHAnsi"/>
                <w:sz w:val="24"/>
                <w:szCs w:val="24"/>
              </w:rPr>
              <w:t xml:space="preserve">Continuous water quality monitor </w:t>
            </w:r>
            <w:r w:rsidR="00052F68" w:rsidRPr="001B1AB0">
              <w:rPr>
                <w:rFonts w:cstheme="minorHAnsi"/>
                <w:sz w:val="24"/>
                <w:szCs w:val="24"/>
              </w:rPr>
              <w:t>installed</w:t>
            </w:r>
          </w:p>
        </w:tc>
        <w:tc>
          <w:tcPr>
            <w:tcW w:w="1905" w:type="pct"/>
          </w:tcPr>
          <w:p w14:paraId="0337B3BE" w14:textId="01BDC786" w:rsidR="00CC21F5" w:rsidRPr="001B1AB0" w:rsidRDefault="00CC21F5">
            <w:pPr>
              <w:pStyle w:val="TableParagraph"/>
              <w:rPr>
                <w:rFonts w:cstheme="minorHAnsi"/>
                <w:sz w:val="24"/>
                <w:szCs w:val="24"/>
              </w:rPr>
            </w:pPr>
            <w:r w:rsidRPr="001B1AB0">
              <w:rPr>
                <w:rFonts w:cstheme="minorHAnsi"/>
                <w:sz w:val="24"/>
                <w:szCs w:val="24"/>
              </w:rPr>
              <w:t>Number of continuous water quality monitors to be installed under the storm overflow drivers.</w:t>
            </w:r>
          </w:p>
        </w:tc>
        <w:tc>
          <w:tcPr>
            <w:tcW w:w="437" w:type="pct"/>
          </w:tcPr>
          <w:p w14:paraId="4CCA72FF" w14:textId="25B51695" w:rsidR="00402E85"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291AE7BB" w14:textId="7F909023" w:rsidR="00DE76EA" w:rsidRPr="001B1AB0" w:rsidRDefault="00A12012">
            <w:pPr>
              <w:pStyle w:val="TableParagraph"/>
              <w:rPr>
                <w:rFonts w:cstheme="minorHAnsi"/>
                <w:sz w:val="24"/>
                <w:szCs w:val="24"/>
              </w:rPr>
            </w:pPr>
            <w:r>
              <w:rPr>
                <w:rFonts w:cstheme="minorHAnsi"/>
                <w:sz w:val="24"/>
                <w:szCs w:val="24"/>
              </w:rPr>
              <w:t xml:space="preserve">Ofwat </w:t>
            </w:r>
            <w:r w:rsidR="00E57A69" w:rsidRPr="001B1AB0">
              <w:rPr>
                <w:rFonts w:cstheme="minorHAnsi"/>
                <w:sz w:val="24"/>
                <w:szCs w:val="24"/>
              </w:rPr>
              <w:t>CWW20.</w:t>
            </w:r>
            <w:r w:rsidR="00353763" w:rsidRPr="001B1AB0">
              <w:rPr>
                <w:rFonts w:cstheme="minorHAnsi"/>
                <w:sz w:val="24"/>
                <w:szCs w:val="24"/>
              </w:rPr>
              <w:t>49</w:t>
            </w:r>
          </w:p>
        </w:tc>
      </w:tr>
      <w:tr w:rsidR="00E72EB6" w:rsidRPr="001B1AB0" w14:paraId="63039447" w14:textId="6A184A96" w:rsidTr="00DD38BA">
        <w:trPr>
          <w:trHeight w:val="47"/>
        </w:trPr>
        <w:tc>
          <w:tcPr>
            <w:tcW w:w="584" w:type="pct"/>
          </w:tcPr>
          <w:p w14:paraId="5E520133" w14:textId="5A8610B6" w:rsidR="00402E85" w:rsidRPr="001B1AB0" w:rsidRDefault="00BC027E">
            <w:pPr>
              <w:pStyle w:val="TableParagraph"/>
              <w:rPr>
                <w:rFonts w:cstheme="minorHAnsi"/>
                <w:sz w:val="24"/>
                <w:szCs w:val="24"/>
              </w:rPr>
            </w:pPr>
            <w:r w:rsidRPr="001B1AB0">
              <w:rPr>
                <w:rFonts w:cstheme="minorHAnsi"/>
                <w:sz w:val="24"/>
                <w:szCs w:val="24"/>
              </w:rPr>
              <w:t>9.6</w:t>
            </w:r>
          </w:p>
        </w:tc>
        <w:tc>
          <w:tcPr>
            <w:tcW w:w="827" w:type="pct"/>
          </w:tcPr>
          <w:p w14:paraId="0B04F299" w14:textId="3C8E40A1" w:rsidR="00402E85" w:rsidRPr="001B1AB0" w:rsidRDefault="00DE76EA">
            <w:pPr>
              <w:pStyle w:val="TableParagraph"/>
              <w:rPr>
                <w:rFonts w:cstheme="minorHAnsi"/>
                <w:sz w:val="24"/>
                <w:szCs w:val="24"/>
              </w:rPr>
            </w:pPr>
            <w:r w:rsidRPr="001B1AB0">
              <w:rPr>
                <w:rFonts w:cstheme="minorHAnsi"/>
                <w:sz w:val="24"/>
                <w:szCs w:val="24"/>
              </w:rPr>
              <w:t xml:space="preserve">Flow monitoring at </w:t>
            </w:r>
            <w:r w:rsidR="005B1A92" w:rsidRPr="001B1AB0">
              <w:rPr>
                <w:rFonts w:cstheme="minorHAnsi"/>
                <w:sz w:val="24"/>
                <w:szCs w:val="24"/>
              </w:rPr>
              <w:t>wastewater</w:t>
            </w:r>
            <w:r w:rsidRPr="001B1AB0">
              <w:rPr>
                <w:rFonts w:cstheme="minorHAnsi"/>
                <w:sz w:val="24"/>
                <w:szCs w:val="24"/>
              </w:rPr>
              <w:t xml:space="preserve"> treatment works</w:t>
            </w:r>
          </w:p>
        </w:tc>
        <w:tc>
          <w:tcPr>
            <w:tcW w:w="722" w:type="pct"/>
          </w:tcPr>
          <w:p w14:paraId="45AD1806" w14:textId="2E6EF5E4" w:rsidR="00402E85" w:rsidRPr="001B1AB0" w:rsidRDefault="00DE76EA">
            <w:pPr>
              <w:pStyle w:val="TableParagraph"/>
              <w:rPr>
                <w:rFonts w:cstheme="minorHAnsi"/>
                <w:sz w:val="24"/>
                <w:szCs w:val="24"/>
              </w:rPr>
            </w:pPr>
            <w:r w:rsidRPr="001B1AB0">
              <w:rPr>
                <w:rFonts w:cstheme="minorHAnsi"/>
                <w:sz w:val="24"/>
                <w:szCs w:val="24"/>
              </w:rPr>
              <w:t xml:space="preserve">Flow monitoring schemes </w:t>
            </w:r>
            <w:r w:rsidR="0040527A">
              <w:rPr>
                <w:rFonts w:cstheme="minorHAnsi"/>
                <w:sz w:val="24"/>
                <w:szCs w:val="24"/>
              </w:rPr>
              <w:t xml:space="preserve">applied and </w:t>
            </w:r>
            <w:r w:rsidR="000964D4" w:rsidRPr="000964D4">
              <w:rPr>
                <w:rFonts w:cstheme="minorHAnsi"/>
                <w:sz w:val="24"/>
                <w:szCs w:val="24"/>
              </w:rPr>
              <w:t>installed</w:t>
            </w:r>
          </w:p>
        </w:tc>
        <w:tc>
          <w:tcPr>
            <w:tcW w:w="1905" w:type="pct"/>
          </w:tcPr>
          <w:p w14:paraId="21F48A8E" w14:textId="0E09CAEF" w:rsidR="00C17D0F" w:rsidRDefault="00353763">
            <w:pPr>
              <w:pStyle w:val="TableParagraph"/>
              <w:rPr>
                <w:rFonts w:cstheme="minorHAnsi"/>
                <w:sz w:val="24"/>
                <w:szCs w:val="24"/>
              </w:rPr>
            </w:pPr>
            <w:r w:rsidRPr="001B1AB0">
              <w:rPr>
                <w:rFonts w:cstheme="minorHAnsi"/>
                <w:sz w:val="24"/>
                <w:szCs w:val="24"/>
              </w:rPr>
              <w:t xml:space="preserve">The number of flow monitoring schemes at </w:t>
            </w:r>
            <w:r w:rsidR="0024560A" w:rsidRPr="001B1AB0">
              <w:rPr>
                <w:rFonts w:cstheme="minorHAnsi"/>
                <w:sz w:val="24"/>
                <w:szCs w:val="24"/>
              </w:rPr>
              <w:t>wastewater</w:t>
            </w:r>
            <w:r w:rsidRPr="001B1AB0">
              <w:rPr>
                <w:rFonts w:cstheme="minorHAnsi"/>
                <w:sz w:val="24"/>
                <w:szCs w:val="24"/>
              </w:rPr>
              <w:t xml:space="preserve"> treatment works</w:t>
            </w:r>
            <w:r w:rsidR="00273D89">
              <w:rPr>
                <w:rFonts w:cstheme="minorHAnsi"/>
                <w:sz w:val="24"/>
                <w:szCs w:val="24"/>
              </w:rPr>
              <w:t xml:space="preserve"> that require</w:t>
            </w:r>
            <w:r w:rsidR="0002476C">
              <w:rPr>
                <w:rFonts w:cstheme="minorHAnsi"/>
                <w:sz w:val="24"/>
                <w:szCs w:val="24"/>
              </w:rPr>
              <w:t>:</w:t>
            </w:r>
            <w:r w:rsidR="005E08BD" w:rsidRPr="001B1AB0">
              <w:rPr>
                <w:rFonts w:cstheme="minorHAnsi"/>
                <w:sz w:val="24"/>
                <w:szCs w:val="24"/>
              </w:rPr>
              <w:t xml:space="preserve"> </w:t>
            </w:r>
          </w:p>
          <w:p w14:paraId="3CAB28A9" w14:textId="3AE2684F" w:rsidR="008E644D" w:rsidRDefault="008E644D" w:rsidP="000A01AB">
            <w:pPr>
              <w:pStyle w:val="TableParagraph"/>
              <w:numPr>
                <w:ilvl w:val="0"/>
                <w:numId w:val="15"/>
              </w:numPr>
              <w:rPr>
                <w:rFonts w:cstheme="minorHAnsi"/>
                <w:sz w:val="24"/>
                <w:szCs w:val="24"/>
              </w:rPr>
            </w:pPr>
            <w:r>
              <w:rPr>
                <w:rFonts w:cstheme="minorHAnsi"/>
                <w:sz w:val="24"/>
                <w:szCs w:val="24"/>
              </w:rPr>
              <w:t xml:space="preserve">Changes to </w:t>
            </w:r>
            <w:r w:rsidR="005E08BD" w:rsidRPr="001B1AB0">
              <w:rPr>
                <w:rFonts w:cstheme="minorHAnsi"/>
                <w:sz w:val="24"/>
                <w:szCs w:val="24"/>
              </w:rPr>
              <w:t>permits</w:t>
            </w:r>
            <w:r>
              <w:rPr>
                <w:rFonts w:cstheme="minorHAnsi"/>
                <w:sz w:val="24"/>
                <w:szCs w:val="24"/>
              </w:rPr>
              <w:t xml:space="preserve"> only</w:t>
            </w:r>
            <w:r w:rsidR="009F59BC">
              <w:rPr>
                <w:rFonts w:cstheme="minorHAnsi"/>
                <w:sz w:val="24"/>
                <w:szCs w:val="24"/>
              </w:rPr>
              <w:t>,</w:t>
            </w:r>
          </w:p>
          <w:p w14:paraId="050F802E" w14:textId="5B5F3893" w:rsidR="00AB3E68" w:rsidRDefault="00AB3E68" w:rsidP="000A01AB">
            <w:pPr>
              <w:pStyle w:val="TableParagraph"/>
              <w:numPr>
                <w:ilvl w:val="0"/>
                <w:numId w:val="15"/>
              </w:numPr>
              <w:rPr>
                <w:rFonts w:cstheme="minorHAnsi"/>
                <w:sz w:val="24"/>
                <w:szCs w:val="24"/>
              </w:rPr>
            </w:pPr>
            <w:r>
              <w:rPr>
                <w:rFonts w:cstheme="minorHAnsi"/>
                <w:sz w:val="24"/>
                <w:szCs w:val="24"/>
              </w:rPr>
              <w:t>S</w:t>
            </w:r>
            <w:r w:rsidR="005E08BD" w:rsidRPr="001B1AB0">
              <w:rPr>
                <w:rFonts w:cstheme="minorHAnsi"/>
                <w:sz w:val="24"/>
                <w:szCs w:val="24"/>
              </w:rPr>
              <w:t xml:space="preserve">imple meter </w:t>
            </w:r>
            <w:r>
              <w:rPr>
                <w:rFonts w:cstheme="minorHAnsi"/>
                <w:sz w:val="24"/>
                <w:szCs w:val="24"/>
              </w:rPr>
              <w:t>installations</w:t>
            </w:r>
            <w:r w:rsidR="009F59BC">
              <w:rPr>
                <w:rFonts w:cstheme="minorHAnsi"/>
                <w:sz w:val="24"/>
                <w:szCs w:val="24"/>
              </w:rPr>
              <w:t>, or</w:t>
            </w:r>
          </w:p>
          <w:p w14:paraId="249B01DE" w14:textId="29479A8A" w:rsidR="00353763" w:rsidRPr="009A4F35" w:rsidRDefault="00AB3E68" w:rsidP="000A01AB">
            <w:pPr>
              <w:pStyle w:val="TableParagraph"/>
              <w:numPr>
                <w:ilvl w:val="0"/>
                <w:numId w:val="15"/>
              </w:numPr>
              <w:rPr>
                <w:rFonts w:cstheme="minorHAnsi"/>
                <w:sz w:val="24"/>
                <w:szCs w:val="24"/>
              </w:rPr>
            </w:pPr>
            <w:r>
              <w:rPr>
                <w:rFonts w:cstheme="minorHAnsi"/>
                <w:sz w:val="24"/>
                <w:szCs w:val="24"/>
              </w:rPr>
              <w:t>C</w:t>
            </w:r>
            <w:r w:rsidR="005E08BD" w:rsidRPr="001B1AB0">
              <w:rPr>
                <w:rFonts w:cstheme="minorHAnsi"/>
                <w:sz w:val="24"/>
                <w:szCs w:val="24"/>
              </w:rPr>
              <w:t>omplex civils</w:t>
            </w:r>
            <w:r w:rsidR="00657503">
              <w:rPr>
                <w:rFonts w:cstheme="minorHAnsi"/>
                <w:sz w:val="24"/>
                <w:szCs w:val="24"/>
              </w:rPr>
              <w:t xml:space="preserve"> installations</w:t>
            </w:r>
            <w:r w:rsidR="0004096E">
              <w:rPr>
                <w:rFonts w:cstheme="minorHAnsi"/>
                <w:sz w:val="24"/>
                <w:szCs w:val="24"/>
              </w:rPr>
              <w:t xml:space="preserve"> (</w:t>
            </w:r>
            <w:r w:rsidR="0006226E">
              <w:rPr>
                <w:rFonts w:cstheme="minorHAnsi"/>
                <w:sz w:val="24"/>
                <w:szCs w:val="24"/>
              </w:rPr>
              <w:t>‘Complex civils’ refers to the provision of monitoring that requires new permanent civils structure(s) to b</w:t>
            </w:r>
            <w:r w:rsidR="00283810">
              <w:rPr>
                <w:rFonts w:cstheme="minorHAnsi"/>
                <w:sz w:val="24"/>
                <w:szCs w:val="24"/>
              </w:rPr>
              <w:t>e</w:t>
            </w:r>
            <w:r w:rsidR="0006226E">
              <w:rPr>
                <w:rFonts w:cstheme="minorHAnsi"/>
                <w:sz w:val="24"/>
                <w:szCs w:val="24"/>
              </w:rPr>
              <w:t xml:space="preserve"> built</w:t>
            </w:r>
            <w:r w:rsidR="00283810">
              <w:rPr>
                <w:rFonts w:cstheme="minorHAnsi"/>
                <w:sz w:val="24"/>
                <w:szCs w:val="24"/>
              </w:rPr>
              <w:t xml:space="preserve">. This excludes simple installations </w:t>
            </w:r>
            <w:r w:rsidR="00783EBC">
              <w:rPr>
                <w:rFonts w:cstheme="minorHAnsi"/>
                <w:sz w:val="24"/>
                <w:szCs w:val="24"/>
              </w:rPr>
              <w:t>e.g.</w:t>
            </w:r>
            <w:r w:rsidR="00283810">
              <w:rPr>
                <w:rFonts w:cstheme="minorHAnsi"/>
                <w:sz w:val="24"/>
                <w:szCs w:val="24"/>
              </w:rPr>
              <w:t xml:space="preserve"> standard monitor installations, whereby a monitor is fixed to a chamber with standard fixings or those requiring only minor adjustments/modifications.)</w:t>
            </w:r>
          </w:p>
        </w:tc>
        <w:tc>
          <w:tcPr>
            <w:tcW w:w="437" w:type="pct"/>
          </w:tcPr>
          <w:p w14:paraId="1C7F844F" w14:textId="412F09F5" w:rsidR="00402E85"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4E18AC6D" w14:textId="2F7DC230" w:rsidR="00353763" w:rsidRPr="001B1AB0" w:rsidRDefault="00353763" w:rsidP="00353763">
            <w:pPr>
              <w:pStyle w:val="TableParagraph"/>
              <w:rPr>
                <w:rFonts w:cstheme="minorHAnsi"/>
                <w:sz w:val="24"/>
                <w:szCs w:val="24"/>
              </w:rPr>
            </w:pPr>
            <w:r w:rsidRPr="001B1AB0">
              <w:rPr>
                <w:rFonts w:cstheme="minorHAnsi"/>
                <w:sz w:val="24"/>
                <w:szCs w:val="24"/>
              </w:rPr>
              <w:t xml:space="preserve">Sum </w:t>
            </w:r>
            <w:r w:rsidR="002C6C2D">
              <w:rPr>
                <w:rFonts w:cstheme="minorHAnsi"/>
                <w:sz w:val="24"/>
                <w:szCs w:val="24"/>
              </w:rPr>
              <w:t xml:space="preserve">of </w:t>
            </w:r>
            <w:r w:rsidRPr="001B1AB0">
              <w:rPr>
                <w:rFonts w:cstheme="minorHAnsi"/>
                <w:sz w:val="24"/>
                <w:szCs w:val="24"/>
              </w:rPr>
              <w:t xml:space="preserve"> </w:t>
            </w:r>
          </w:p>
          <w:p w14:paraId="239BA153" w14:textId="1AA2A1D4" w:rsidR="00353763" w:rsidRPr="001B1AB0" w:rsidRDefault="00A12012" w:rsidP="00353763">
            <w:pPr>
              <w:pStyle w:val="TableParagraph"/>
              <w:rPr>
                <w:rFonts w:cstheme="minorHAnsi"/>
                <w:sz w:val="24"/>
                <w:szCs w:val="24"/>
              </w:rPr>
            </w:pPr>
            <w:r>
              <w:rPr>
                <w:rFonts w:cstheme="minorHAnsi"/>
                <w:sz w:val="24"/>
                <w:szCs w:val="24"/>
              </w:rPr>
              <w:t xml:space="preserve">Ofwat </w:t>
            </w:r>
            <w:r w:rsidR="002C6C2D">
              <w:rPr>
                <w:rFonts w:cstheme="minorHAnsi"/>
                <w:sz w:val="24"/>
                <w:szCs w:val="24"/>
              </w:rPr>
              <w:t>lines</w:t>
            </w:r>
            <w:r>
              <w:rPr>
                <w:rFonts w:cstheme="minorHAnsi"/>
                <w:sz w:val="24"/>
                <w:szCs w:val="24"/>
              </w:rPr>
              <w:t xml:space="preserve"> </w:t>
            </w:r>
            <w:r w:rsidR="00565A2C" w:rsidRPr="001B1AB0">
              <w:rPr>
                <w:rFonts w:cstheme="minorHAnsi"/>
                <w:sz w:val="24"/>
                <w:szCs w:val="24"/>
              </w:rPr>
              <w:t>CWW20.</w:t>
            </w:r>
            <w:r w:rsidR="00353763" w:rsidRPr="001B1AB0">
              <w:rPr>
                <w:rFonts w:cstheme="minorHAnsi"/>
                <w:sz w:val="24"/>
                <w:szCs w:val="24"/>
              </w:rPr>
              <w:t>33</w:t>
            </w:r>
            <w:r w:rsidR="00D546F0" w:rsidRPr="001B1AB0">
              <w:rPr>
                <w:rFonts w:cstheme="minorHAnsi"/>
                <w:sz w:val="24"/>
                <w:szCs w:val="24"/>
              </w:rPr>
              <w:t>-</w:t>
            </w:r>
          </w:p>
          <w:p w14:paraId="2B42F008" w14:textId="125C00C5" w:rsidR="00DE76EA" w:rsidRPr="001B1AB0" w:rsidRDefault="00353763">
            <w:pPr>
              <w:pStyle w:val="TableParagraph"/>
              <w:rPr>
                <w:rFonts w:cstheme="minorHAnsi"/>
                <w:sz w:val="24"/>
                <w:szCs w:val="24"/>
              </w:rPr>
            </w:pPr>
            <w:r w:rsidRPr="001B1AB0">
              <w:rPr>
                <w:rFonts w:cstheme="minorHAnsi"/>
                <w:sz w:val="24"/>
                <w:szCs w:val="24"/>
              </w:rPr>
              <w:t>CWW20.35</w:t>
            </w:r>
          </w:p>
        </w:tc>
      </w:tr>
      <w:tr w:rsidR="00926F58" w:rsidRPr="001B1AB0" w14:paraId="69742781" w14:textId="7CD01896" w:rsidTr="00DD38BA">
        <w:tc>
          <w:tcPr>
            <w:tcW w:w="584" w:type="pct"/>
          </w:tcPr>
          <w:p w14:paraId="7D17E766" w14:textId="7DC6A98F" w:rsidR="001805E6" w:rsidRPr="001B1AB0" w:rsidRDefault="00BC027E">
            <w:pPr>
              <w:pStyle w:val="TableParagraph"/>
              <w:rPr>
                <w:rFonts w:cstheme="minorHAnsi"/>
                <w:sz w:val="24"/>
                <w:szCs w:val="24"/>
              </w:rPr>
            </w:pPr>
            <w:r w:rsidRPr="001B1AB0">
              <w:rPr>
                <w:rFonts w:cstheme="minorHAnsi"/>
                <w:sz w:val="24"/>
                <w:szCs w:val="24"/>
              </w:rPr>
              <w:t>9.7</w:t>
            </w:r>
          </w:p>
        </w:tc>
        <w:tc>
          <w:tcPr>
            <w:tcW w:w="827" w:type="pct"/>
          </w:tcPr>
          <w:p w14:paraId="19151F0E" w14:textId="14439EA7" w:rsidR="001805E6" w:rsidRPr="001B1AB0" w:rsidRDefault="00532A7C">
            <w:pPr>
              <w:pStyle w:val="TableParagraph"/>
              <w:rPr>
                <w:rFonts w:cstheme="minorHAnsi"/>
                <w:sz w:val="24"/>
                <w:szCs w:val="24"/>
              </w:rPr>
            </w:pPr>
            <w:r>
              <w:rPr>
                <w:rFonts w:cstheme="minorHAnsi"/>
                <w:sz w:val="24"/>
                <w:szCs w:val="24"/>
              </w:rPr>
              <w:t>Event dur</w:t>
            </w:r>
            <w:r w:rsidR="00B83207">
              <w:rPr>
                <w:rFonts w:cstheme="minorHAnsi"/>
                <w:sz w:val="24"/>
                <w:szCs w:val="24"/>
              </w:rPr>
              <w:t>ation</w:t>
            </w:r>
            <w:r>
              <w:rPr>
                <w:rFonts w:cstheme="minorHAnsi"/>
                <w:sz w:val="24"/>
                <w:szCs w:val="24"/>
              </w:rPr>
              <w:t xml:space="preserve"> and flow</w:t>
            </w:r>
            <w:r w:rsidR="00B83207">
              <w:rPr>
                <w:rFonts w:cstheme="minorHAnsi"/>
                <w:sz w:val="24"/>
                <w:szCs w:val="24"/>
              </w:rPr>
              <w:t xml:space="preserve"> monitor</w:t>
            </w:r>
            <w:r w:rsidR="008E3051">
              <w:rPr>
                <w:rFonts w:cstheme="minorHAnsi"/>
                <w:sz w:val="24"/>
                <w:szCs w:val="24"/>
              </w:rPr>
              <w:t>ing</w:t>
            </w:r>
            <w:r w:rsidR="00FC3B16" w:rsidRPr="001B1AB0">
              <w:rPr>
                <w:rFonts w:cstheme="minorHAnsi"/>
                <w:sz w:val="24"/>
                <w:szCs w:val="24"/>
              </w:rPr>
              <w:t xml:space="preserve"> for </w:t>
            </w:r>
            <w:r w:rsidR="00615EE9" w:rsidRPr="001B1AB0">
              <w:rPr>
                <w:rFonts w:cstheme="minorHAnsi"/>
                <w:sz w:val="24"/>
                <w:szCs w:val="24"/>
              </w:rPr>
              <w:t>wastewater</w:t>
            </w:r>
            <w:r w:rsidR="00FC3B16" w:rsidRPr="001B1AB0">
              <w:rPr>
                <w:rFonts w:cstheme="minorHAnsi"/>
                <w:sz w:val="24"/>
                <w:szCs w:val="24"/>
              </w:rPr>
              <w:t xml:space="preserve"> pumping station emergency overflows</w:t>
            </w:r>
            <w:r w:rsidR="00FC3B16" w:rsidRPr="001B1AB0">
              <w:rPr>
                <w:rFonts w:cstheme="minorHAnsi"/>
                <w:sz w:val="24"/>
                <w:szCs w:val="24"/>
              </w:rPr>
              <w:tab/>
            </w:r>
          </w:p>
        </w:tc>
        <w:tc>
          <w:tcPr>
            <w:tcW w:w="722" w:type="pct"/>
          </w:tcPr>
          <w:p w14:paraId="5A551E3F" w14:textId="2B1C21B2" w:rsidR="001805E6" w:rsidRPr="001B1AB0" w:rsidRDefault="00FC3B16">
            <w:pPr>
              <w:pStyle w:val="TableParagraph"/>
              <w:rPr>
                <w:rFonts w:cstheme="minorHAnsi"/>
                <w:sz w:val="24"/>
                <w:szCs w:val="24"/>
              </w:rPr>
            </w:pPr>
            <w:r w:rsidRPr="001B1AB0">
              <w:rPr>
                <w:rFonts w:cstheme="minorHAnsi"/>
                <w:sz w:val="24"/>
                <w:szCs w:val="24"/>
              </w:rPr>
              <w:t xml:space="preserve">New </w:t>
            </w:r>
            <w:r w:rsidR="00DE5613">
              <w:rPr>
                <w:rFonts w:cstheme="minorHAnsi"/>
                <w:sz w:val="24"/>
                <w:szCs w:val="24"/>
              </w:rPr>
              <w:t>event duration</w:t>
            </w:r>
            <w:r w:rsidRPr="001B1AB0">
              <w:rPr>
                <w:rFonts w:cstheme="minorHAnsi"/>
                <w:sz w:val="24"/>
                <w:szCs w:val="24"/>
              </w:rPr>
              <w:t xml:space="preserve"> </w:t>
            </w:r>
            <w:r w:rsidR="00B83207">
              <w:rPr>
                <w:rFonts w:cstheme="minorHAnsi"/>
                <w:sz w:val="24"/>
                <w:szCs w:val="24"/>
              </w:rPr>
              <w:t>and flow</w:t>
            </w:r>
            <w:r w:rsidRPr="001B1AB0">
              <w:rPr>
                <w:rFonts w:cstheme="minorHAnsi"/>
                <w:sz w:val="24"/>
                <w:szCs w:val="24"/>
              </w:rPr>
              <w:t xml:space="preserve"> monitors installed</w:t>
            </w:r>
          </w:p>
        </w:tc>
        <w:tc>
          <w:tcPr>
            <w:tcW w:w="1905" w:type="pct"/>
          </w:tcPr>
          <w:p w14:paraId="4D1AAEFA" w14:textId="0B2B969B" w:rsidR="002179B7" w:rsidRPr="001B1AB0" w:rsidRDefault="002179B7">
            <w:pPr>
              <w:pStyle w:val="TableParagraph"/>
              <w:rPr>
                <w:rFonts w:cstheme="minorHAnsi"/>
                <w:sz w:val="24"/>
                <w:szCs w:val="24"/>
              </w:rPr>
            </w:pPr>
            <w:r w:rsidRPr="001B1AB0">
              <w:rPr>
                <w:rFonts w:cstheme="minorHAnsi"/>
                <w:sz w:val="24"/>
                <w:szCs w:val="24"/>
              </w:rPr>
              <w:t xml:space="preserve">Number of new event duration monitors to be installed at </w:t>
            </w:r>
            <w:r w:rsidR="00E05678" w:rsidRPr="001B1AB0">
              <w:rPr>
                <w:rFonts w:cstheme="minorHAnsi"/>
                <w:sz w:val="24"/>
                <w:szCs w:val="24"/>
              </w:rPr>
              <w:t>wastewater</w:t>
            </w:r>
            <w:r w:rsidRPr="001B1AB0">
              <w:rPr>
                <w:rFonts w:cstheme="minorHAnsi"/>
                <w:sz w:val="24"/>
                <w:szCs w:val="24"/>
              </w:rPr>
              <w:t xml:space="preserve"> pumping station emergency overflows </w:t>
            </w:r>
            <w:r w:rsidR="005A20E0" w:rsidRPr="001B1AB0">
              <w:rPr>
                <w:rFonts w:cstheme="minorHAnsi"/>
                <w:sz w:val="24"/>
                <w:szCs w:val="24"/>
              </w:rPr>
              <w:t xml:space="preserve">and new </w:t>
            </w:r>
            <w:r w:rsidR="00D009C3" w:rsidRPr="001B1AB0">
              <w:rPr>
                <w:rFonts w:cstheme="minorHAnsi"/>
                <w:sz w:val="24"/>
                <w:szCs w:val="24"/>
              </w:rPr>
              <w:t xml:space="preserve">flow monitors (for pass forward flow) to be installed at </w:t>
            </w:r>
            <w:r w:rsidR="00E05678" w:rsidRPr="001B1AB0">
              <w:rPr>
                <w:rFonts w:cstheme="minorHAnsi"/>
                <w:sz w:val="24"/>
                <w:szCs w:val="24"/>
              </w:rPr>
              <w:t>wastewater</w:t>
            </w:r>
            <w:r w:rsidR="00D009C3" w:rsidRPr="001B1AB0">
              <w:rPr>
                <w:rFonts w:cstheme="minorHAnsi"/>
                <w:sz w:val="24"/>
                <w:szCs w:val="24"/>
              </w:rPr>
              <w:t xml:space="preserve"> pumping stations with emergency and storm overflows</w:t>
            </w:r>
            <w:r w:rsidR="008D070C" w:rsidRPr="001B1AB0">
              <w:rPr>
                <w:rFonts w:cstheme="minorHAnsi"/>
                <w:sz w:val="24"/>
                <w:szCs w:val="24"/>
              </w:rPr>
              <w:t>.</w:t>
            </w:r>
          </w:p>
        </w:tc>
        <w:tc>
          <w:tcPr>
            <w:tcW w:w="437" w:type="pct"/>
          </w:tcPr>
          <w:p w14:paraId="0E763FA4" w14:textId="71B07184" w:rsidR="001805E6"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50C70818" w14:textId="1FBC53F5" w:rsidR="00A80222" w:rsidRPr="001B1AB0" w:rsidRDefault="00A80222" w:rsidP="00565A2C">
            <w:pPr>
              <w:pStyle w:val="TableParagraph"/>
              <w:rPr>
                <w:rFonts w:cstheme="minorHAnsi"/>
                <w:sz w:val="24"/>
                <w:szCs w:val="24"/>
              </w:rPr>
            </w:pPr>
            <w:r w:rsidRPr="001B1AB0">
              <w:rPr>
                <w:rFonts w:cstheme="minorHAnsi"/>
                <w:sz w:val="24"/>
                <w:szCs w:val="24"/>
              </w:rPr>
              <w:t xml:space="preserve">Sum </w:t>
            </w:r>
            <w:r w:rsidR="002C6C2D">
              <w:rPr>
                <w:rFonts w:cstheme="minorHAnsi"/>
                <w:sz w:val="24"/>
                <w:szCs w:val="24"/>
              </w:rPr>
              <w:t xml:space="preserve"> of</w:t>
            </w:r>
          </w:p>
          <w:p w14:paraId="322FBFCA" w14:textId="2D2D42B8" w:rsidR="00565A2C" w:rsidRPr="001B1AB0" w:rsidRDefault="00A12012" w:rsidP="00565A2C">
            <w:pPr>
              <w:pStyle w:val="TableParagraph"/>
              <w:rPr>
                <w:rFonts w:cstheme="minorHAnsi"/>
                <w:sz w:val="24"/>
                <w:szCs w:val="24"/>
              </w:rPr>
            </w:pPr>
            <w:r>
              <w:rPr>
                <w:rFonts w:cstheme="minorHAnsi"/>
                <w:sz w:val="24"/>
                <w:szCs w:val="24"/>
              </w:rPr>
              <w:t xml:space="preserve">Ofwat </w:t>
            </w:r>
            <w:r w:rsidR="002C6C2D">
              <w:rPr>
                <w:rFonts w:cstheme="minorHAnsi"/>
                <w:sz w:val="24"/>
                <w:szCs w:val="24"/>
              </w:rPr>
              <w:t xml:space="preserve">lines </w:t>
            </w:r>
            <w:r w:rsidR="00565A2C" w:rsidRPr="001B1AB0">
              <w:rPr>
                <w:rFonts w:cstheme="minorHAnsi"/>
                <w:sz w:val="24"/>
                <w:szCs w:val="24"/>
              </w:rPr>
              <w:t>CWW20.50</w:t>
            </w:r>
            <w:r w:rsidR="00D546F0" w:rsidRPr="001B1AB0">
              <w:rPr>
                <w:rFonts w:cstheme="minorHAnsi"/>
                <w:sz w:val="24"/>
                <w:szCs w:val="24"/>
              </w:rPr>
              <w:t>-</w:t>
            </w:r>
          </w:p>
          <w:p w14:paraId="6EE7D255" w14:textId="4DCBF2F4" w:rsidR="00DE76EA" w:rsidRPr="001B1AB0" w:rsidRDefault="00565A2C">
            <w:pPr>
              <w:pStyle w:val="TableParagraph"/>
              <w:rPr>
                <w:rFonts w:cstheme="minorHAnsi"/>
                <w:sz w:val="24"/>
                <w:szCs w:val="24"/>
              </w:rPr>
            </w:pPr>
            <w:r w:rsidRPr="001B1AB0">
              <w:rPr>
                <w:rFonts w:cstheme="minorHAnsi"/>
                <w:sz w:val="24"/>
                <w:szCs w:val="24"/>
              </w:rPr>
              <w:t>CWW20.51</w:t>
            </w:r>
          </w:p>
        </w:tc>
      </w:tr>
      <w:tr w:rsidR="00926F58" w:rsidRPr="001B1AB0" w14:paraId="61679576" w14:textId="2DBA57F0" w:rsidTr="00DD38BA">
        <w:tc>
          <w:tcPr>
            <w:tcW w:w="584" w:type="pct"/>
          </w:tcPr>
          <w:p w14:paraId="54C3DC4A" w14:textId="5CCFF4B8" w:rsidR="001805E6" w:rsidRPr="001B1AB0" w:rsidRDefault="00BC027E">
            <w:pPr>
              <w:pStyle w:val="TableParagraph"/>
              <w:rPr>
                <w:rFonts w:cstheme="minorHAnsi"/>
                <w:sz w:val="24"/>
                <w:szCs w:val="24"/>
              </w:rPr>
            </w:pPr>
            <w:r w:rsidRPr="001B1AB0">
              <w:rPr>
                <w:rFonts w:cstheme="minorHAnsi"/>
                <w:sz w:val="24"/>
                <w:szCs w:val="24"/>
              </w:rPr>
              <w:lastRenderedPageBreak/>
              <w:t>9.8</w:t>
            </w:r>
          </w:p>
        </w:tc>
        <w:tc>
          <w:tcPr>
            <w:tcW w:w="827" w:type="pct"/>
          </w:tcPr>
          <w:p w14:paraId="78E6F54C" w14:textId="328C9CFC" w:rsidR="001805E6" w:rsidRPr="001B1AB0" w:rsidRDefault="00747857">
            <w:pPr>
              <w:pStyle w:val="TableParagraph"/>
              <w:rPr>
                <w:rFonts w:cstheme="minorHAnsi"/>
                <w:sz w:val="24"/>
                <w:szCs w:val="24"/>
              </w:rPr>
            </w:pPr>
            <w:r w:rsidRPr="001B1AB0">
              <w:rPr>
                <w:rFonts w:cstheme="minorHAnsi"/>
                <w:sz w:val="24"/>
                <w:szCs w:val="24"/>
              </w:rPr>
              <w:t>Chemicals removal</w:t>
            </w:r>
            <w:r w:rsidRPr="001B1AB0">
              <w:rPr>
                <w:rFonts w:cstheme="minorHAnsi"/>
                <w:sz w:val="24"/>
                <w:szCs w:val="24"/>
              </w:rPr>
              <w:tab/>
            </w:r>
            <w:r w:rsidRPr="001B1AB0">
              <w:rPr>
                <w:rFonts w:cstheme="minorHAnsi"/>
                <w:sz w:val="24"/>
                <w:szCs w:val="24"/>
              </w:rPr>
              <w:tab/>
            </w:r>
          </w:p>
        </w:tc>
        <w:tc>
          <w:tcPr>
            <w:tcW w:w="722" w:type="pct"/>
          </w:tcPr>
          <w:p w14:paraId="0049DBE2" w14:textId="04DF054D" w:rsidR="00F21835" w:rsidRDefault="00747857" w:rsidP="00954233">
            <w:pPr>
              <w:pStyle w:val="TableParagraph"/>
              <w:keepNext/>
              <w:keepLines/>
              <w:rPr>
                <w:rFonts w:cstheme="minorHAnsi"/>
                <w:sz w:val="24"/>
                <w:szCs w:val="24"/>
              </w:rPr>
            </w:pPr>
            <w:r w:rsidRPr="001B1AB0">
              <w:rPr>
                <w:rFonts w:cstheme="minorHAnsi"/>
                <w:sz w:val="24"/>
                <w:szCs w:val="24"/>
              </w:rPr>
              <w:t xml:space="preserve">Current population equivalent served by </w:t>
            </w:r>
            <w:r w:rsidR="001D5D9B">
              <w:rPr>
                <w:rFonts w:cstheme="minorHAnsi"/>
                <w:sz w:val="24"/>
                <w:szCs w:val="24"/>
              </w:rPr>
              <w:t>WwTW</w:t>
            </w:r>
            <w:r w:rsidR="001D5D9B" w:rsidRPr="001B1AB0">
              <w:rPr>
                <w:rFonts w:cstheme="minorHAnsi"/>
                <w:sz w:val="24"/>
                <w:szCs w:val="24"/>
              </w:rPr>
              <w:t xml:space="preserve">s </w:t>
            </w:r>
            <w:r w:rsidRPr="001B1AB0">
              <w:rPr>
                <w:rFonts w:cstheme="minorHAnsi"/>
                <w:sz w:val="24"/>
                <w:szCs w:val="24"/>
              </w:rPr>
              <w:t>with tightened/new permits for chemicals/</w:t>
            </w:r>
          </w:p>
          <w:p w14:paraId="4F5D4C76" w14:textId="5CFD6649" w:rsidR="001805E6" w:rsidRPr="001B1AB0" w:rsidRDefault="00747857" w:rsidP="00954233">
            <w:pPr>
              <w:pStyle w:val="TableParagraph"/>
              <w:keepNext/>
              <w:keepLines/>
              <w:rPr>
                <w:rFonts w:cstheme="minorHAnsi"/>
                <w:sz w:val="24"/>
                <w:szCs w:val="24"/>
              </w:rPr>
            </w:pPr>
            <w:r w:rsidRPr="001B1AB0">
              <w:rPr>
                <w:rFonts w:cstheme="minorHAnsi"/>
                <w:sz w:val="24"/>
                <w:szCs w:val="24"/>
              </w:rPr>
              <w:t>hazardous substances</w:t>
            </w:r>
          </w:p>
        </w:tc>
        <w:tc>
          <w:tcPr>
            <w:tcW w:w="1905" w:type="pct"/>
          </w:tcPr>
          <w:p w14:paraId="5861D244" w14:textId="223D62F2" w:rsidR="007D0C83" w:rsidRPr="001B1AB0" w:rsidRDefault="007D0C83">
            <w:pPr>
              <w:pStyle w:val="TableParagraph"/>
              <w:rPr>
                <w:rFonts w:cstheme="minorHAnsi"/>
                <w:sz w:val="24"/>
                <w:szCs w:val="24"/>
              </w:rPr>
            </w:pPr>
            <w:r w:rsidRPr="001B1AB0">
              <w:rPr>
                <w:rFonts w:cstheme="minorHAnsi"/>
                <w:sz w:val="24"/>
                <w:szCs w:val="24"/>
              </w:rPr>
              <w:t xml:space="preserve">Population equivalent served by </w:t>
            </w:r>
            <w:r w:rsidR="001D5D9B">
              <w:rPr>
                <w:rFonts w:cstheme="minorHAnsi"/>
                <w:sz w:val="24"/>
                <w:szCs w:val="24"/>
              </w:rPr>
              <w:t>wastewater</w:t>
            </w:r>
            <w:r w:rsidR="001D5D9B" w:rsidRPr="001B1AB0">
              <w:rPr>
                <w:rFonts w:cstheme="minorHAnsi"/>
                <w:sz w:val="24"/>
                <w:szCs w:val="24"/>
              </w:rPr>
              <w:t xml:space="preserve"> </w:t>
            </w:r>
            <w:r w:rsidRPr="001B1AB0">
              <w:rPr>
                <w:rFonts w:cstheme="minorHAnsi"/>
                <w:sz w:val="24"/>
                <w:szCs w:val="24"/>
              </w:rPr>
              <w:t>treatment works</w:t>
            </w:r>
            <w:r w:rsidR="001D5D9B">
              <w:rPr>
                <w:rFonts w:cstheme="minorHAnsi"/>
                <w:sz w:val="24"/>
                <w:szCs w:val="24"/>
              </w:rPr>
              <w:t xml:space="preserve"> (WwTWs)</w:t>
            </w:r>
            <w:r w:rsidRPr="001B1AB0">
              <w:rPr>
                <w:rFonts w:cstheme="minorHAnsi"/>
                <w:sz w:val="24"/>
                <w:szCs w:val="24"/>
              </w:rPr>
              <w:t xml:space="preserve"> at which new or tightened permit conditions for chemicals or other hazardous substances to achieve good chemical status, or to prevent deterioration in chemical status, or to achieve standstill limits for chemicals.</w:t>
            </w:r>
          </w:p>
        </w:tc>
        <w:tc>
          <w:tcPr>
            <w:tcW w:w="437" w:type="pct"/>
          </w:tcPr>
          <w:p w14:paraId="494B1B6A" w14:textId="3451EAB8" w:rsidR="001805E6" w:rsidRPr="001B1AB0" w:rsidRDefault="009602DE">
            <w:pPr>
              <w:pStyle w:val="TableParagraph"/>
              <w:rPr>
                <w:rFonts w:cstheme="minorHAnsi"/>
                <w:sz w:val="24"/>
                <w:szCs w:val="24"/>
              </w:rPr>
            </w:pPr>
            <w:r w:rsidRPr="001B1AB0">
              <w:rPr>
                <w:rFonts w:cstheme="minorHAnsi"/>
                <w:sz w:val="24"/>
                <w:szCs w:val="24"/>
              </w:rPr>
              <w:t>000</w:t>
            </w:r>
          </w:p>
        </w:tc>
        <w:tc>
          <w:tcPr>
            <w:tcW w:w="525" w:type="pct"/>
          </w:tcPr>
          <w:p w14:paraId="6C7B4DD5" w14:textId="3AB45C88" w:rsidR="00DE76EA" w:rsidRPr="001B1AB0" w:rsidRDefault="00A12012">
            <w:pPr>
              <w:pStyle w:val="TableParagraph"/>
              <w:rPr>
                <w:rFonts w:cstheme="minorHAnsi"/>
                <w:sz w:val="24"/>
                <w:szCs w:val="24"/>
              </w:rPr>
            </w:pPr>
            <w:r>
              <w:rPr>
                <w:rFonts w:cstheme="minorHAnsi"/>
                <w:sz w:val="24"/>
                <w:szCs w:val="24"/>
              </w:rPr>
              <w:t xml:space="preserve">Ofwat </w:t>
            </w:r>
            <w:r w:rsidR="008601AF" w:rsidRPr="001B1AB0">
              <w:rPr>
                <w:rFonts w:cstheme="minorHAnsi"/>
                <w:sz w:val="24"/>
                <w:szCs w:val="24"/>
              </w:rPr>
              <w:t>CWW20.7</w:t>
            </w:r>
          </w:p>
        </w:tc>
      </w:tr>
    </w:tbl>
    <w:p w14:paraId="732576CD" w14:textId="77777777" w:rsidR="00402E85" w:rsidRDefault="00402E85" w:rsidP="007A67EB"/>
    <w:p w14:paraId="4449F9A5" w14:textId="17807DAE" w:rsidR="000A2A0D" w:rsidRDefault="000A2A0D" w:rsidP="000A2A0D">
      <w:r>
        <w:t xml:space="preserve">For the following expenditure, please provide the costs in line with the reference. The data should be presented for each year of the SRC27 period. </w:t>
      </w:r>
    </w:p>
    <w:p w14:paraId="61FFB09D" w14:textId="77777777" w:rsidR="0062133D" w:rsidRDefault="0062133D" w:rsidP="007A67EB"/>
    <w:tbl>
      <w:tblPr>
        <w:tblStyle w:val="Blueline"/>
        <w:tblW w:w="5000" w:type="pct"/>
        <w:tblLook w:val="04A0" w:firstRow="1" w:lastRow="0" w:firstColumn="1" w:lastColumn="0" w:noHBand="0" w:noVBand="1"/>
      </w:tblPr>
      <w:tblGrid>
        <w:gridCol w:w="1275"/>
        <w:gridCol w:w="2126"/>
        <w:gridCol w:w="2835"/>
        <w:gridCol w:w="6096"/>
        <w:gridCol w:w="644"/>
        <w:gridCol w:w="1594"/>
      </w:tblGrid>
      <w:tr w:rsidR="000E54AC" w:rsidRPr="00280680" w14:paraId="678E0BB2"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7C2471E2" w14:textId="1D1427CA" w:rsidR="0062133D" w:rsidRPr="0083139B" w:rsidRDefault="0062133D">
            <w:pPr>
              <w:pStyle w:val="TableParagraph"/>
              <w:rPr>
                <w:rFonts w:ascii="Calibri" w:hAnsi="Calibri" w:cs="Calibri"/>
                <w:sz w:val="24"/>
                <w:szCs w:val="24"/>
              </w:rPr>
            </w:pPr>
            <w:r w:rsidRPr="0083139B">
              <w:rPr>
                <w:rFonts w:ascii="Calibri" w:hAnsi="Calibri" w:cs="Calibri"/>
                <w:sz w:val="24"/>
                <w:szCs w:val="24"/>
              </w:rPr>
              <w:t>Line</w:t>
            </w:r>
            <w:r w:rsidR="00BF3BBC" w:rsidRPr="0083139B">
              <w:rPr>
                <w:rFonts w:ascii="Calibri" w:hAnsi="Calibri" w:cs="Calibri"/>
                <w:sz w:val="24"/>
                <w:szCs w:val="24"/>
              </w:rPr>
              <w:t xml:space="preserve"> Reference</w:t>
            </w:r>
          </w:p>
        </w:tc>
        <w:tc>
          <w:tcPr>
            <w:tcW w:w="0" w:type="pct"/>
          </w:tcPr>
          <w:p w14:paraId="1D31F100" w14:textId="77777777" w:rsidR="0062133D" w:rsidRPr="0083139B" w:rsidRDefault="0062133D">
            <w:pPr>
              <w:pStyle w:val="TableParagraph"/>
              <w:rPr>
                <w:rFonts w:ascii="Calibri" w:hAnsi="Calibri" w:cs="Calibri"/>
                <w:sz w:val="24"/>
                <w:szCs w:val="24"/>
              </w:rPr>
            </w:pPr>
            <w:r w:rsidRPr="0083139B">
              <w:rPr>
                <w:rFonts w:ascii="Calibri" w:hAnsi="Calibri" w:cs="Calibri"/>
                <w:sz w:val="24"/>
                <w:szCs w:val="24"/>
              </w:rPr>
              <w:t>Title</w:t>
            </w:r>
          </w:p>
        </w:tc>
        <w:tc>
          <w:tcPr>
            <w:tcW w:w="0" w:type="pct"/>
          </w:tcPr>
          <w:p w14:paraId="1FF75742" w14:textId="477B5F35" w:rsidR="0062133D" w:rsidRPr="0083139B" w:rsidRDefault="00076AFD">
            <w:pPr>
              <w:pStyle w:val="TableParagraph"/>
              <w:rPr>
                <w:rFonts w:ascii="Calibri" w:hAnsi="Calibri" w:cs="Calibri"/>
                <w:sz w:val="24"/>
                <w:szCs w:val="24"/>
              </w:rPr>
            </w:pPr>
            <w:r w:rsidRPr="0083139B">
              <w:rPr>
                <w:rFonts w:ascii="Calibri" w:hAnsi="Calibri" w:cs="Calibri"/>
                <w:sz w:val="24"/>
                <w:szCs w:val="24"/>
              </w:rPr>
              <w:t>Service</w:t>
            </w:r>
          </w:p>
        </w:tc>
        <w:tc>
          <w:tcPr>
            <w:tcW w:w="0" w:type="pct"/>
          </w:tcPr>
          <w:p w14:paraId="30B08625" w14:textId="1E0392F4" w:rsidR="00076AFD" w:rsidRPr="0083139B" w:rsidRDefault="00076AFD">
            <w:pPr>
              <w:pStyle w:val="TableParagraph"/>
              <w:rPr>
                <w:rFonts w:ascii="Calibri" w:hAnsi="Calibri" w:cs="Calibri"/>
                <w:sz w:val="24"/>
                <w:szCs w:val="24"/>
              </w:rPr>
            </w:pPr>
            <w:r w:rsidRPr="0083139B">
              <w:rPr>
                <w:rFonts w:ascii="Calibri" w:hAnsi="Calibri" w:cs="Calibri"/>
                <w:sz w:val="24"/>
                <w:szCs w:val="24"/>
              </w:rPr>
              <w:t>Definition</w:t>
            </w:r>
          </w:p>
        </w:tc>
        <w:tc>
          <w:tcPr>
            <w:tcW w:w="0" w:type="pct"/>
          </w:tcPr>
          <w:p w14:paraId="6EDB32AD" w14:textId="4FA60F94"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Unit </w:t>
            </w:r>
          </w:p>
        </w:tc>
        <w:tc>
          <w:tcPr>
            <w:tcW w:w="0" w:type="pct"/>
          </w:tcPr>
          <w:p w14:paraId="6A33FD6C" w14:textId="77777777" w:rsidR="0062133D" w:rsidRPr="0083139B" w:rsidRDefault="0062133D">
            <w:pPr>
              <w:pStyle w:val="TableParagraph"/>
              <w:rPr>
                <w:rFonts w:ascii="Calibri" w:hAnsi="Calibri" w:cs="Calibri"/>
                <w:sz w:val="24"/>
                <w:szCs w:val="24"/>
              </w:rPr>
            </w:pPr>
            <w:r w:rsidRPr="0083139B">
              <w:rPr>
                <w:rFonts w:ascii="Calibri" w:hAnsi="Calibri" w:cs="Calibri"/>
                <w:sz w:val="24"/>
                <w:szCs w:val="24"/>
              </w:rPr>
              <w:t>Reference</w:t>
            </w:r>
          </w:p>
        </w:tc>
      </w:tr>
      <w:tr w:rsidR="000E54AC" w:rsidRPr="00280680" w14:paraId="1DE2BA4A" w14:textId="77777777" w:rsidTr="00D64130">
        <w:tc>
          <w:tcPr>
            <w:tcW w:w="438" w:type="pct"/>
          </w:tcPr>
          <w:p w14:paraId="4F63A858" w14:textId="2F0ECEF4"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9.1a</w:t>
            </w:r>
          </w:p>
        </w:tc>
        <w:tc>
          <w:tcPr>
            <w:tcW w:w="730" w:type="pct"/>
          </w:tcPr>
          <w:p w14:paraId="12ADF352" w14:textId="065B74A9"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 xml:space="preserve">Leakage </w:t>
            </w:r>
            <w:r w:rsidR="00D97F6D" w:rsidRPr="0083139B">
              <w:rPr>
                <w:rFonts w:ascii="Calibri" w:hAnsi="Calibri" w:cs="Calibri"/>
                <w:sz w:val="24"/>
                <w:szCs w:val="24"/>
              </w:rPr>
              <w:t>a</w:t>
            </w:r>
            <w:r w:rsidRPr="0083139B">
              <w:rPr>
                <w:rFonts w:ascii="Calibri" w:hAnsi="Calibri" w:cs="Calibri"/>
                <w:sz w:val="24"/>
                <w:szCs w:val="24"/>
              </w:rPr>
              <w:t>ctivity</w:t>
            </w:r>
            <w:r w:rsidRPr="0083139B">
              <w:rPr>
                <w:rFonts w:ascii="Calibri" w:hAnsi="Calibri" w:cs="Calibri"/>
                <w:sz w:val="24"/>
                <w:szCs w:val="24"/>
              </w:rPr>
              <w:tab/>
            </w:r>
          </w:p>
        </w:tc>
        <w:tc>
          <w:tcPr>
            <w:tcW w:w="973" w:type="pct"/>
          </w:tcPr>
          <w:p w14:paraId="715240A4" w14:textId="4E6D1CA4"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Mains replacement</w:t>
            </w:r>
            <w:r w:rsidR="002067BB">
              <w:rPr>
                <w:rFonts w:ascii="Calibri" w:hAnsi="Calibri" w:cs="Calibri"/>
                <w:sz w:val="24"/>
                <w:szCs w:val="24"/>
              </w:rPr>
              <w:t xml:space="preserve"> </w:t>
            </w:r>
          </w:p>
          <w:p w14:paraId="72F6D0EC" w14:textId="040B8C36" w:rsidR="0062133D" w:rsidRPr="0083139B" w:rsidRDefault="0062133D" w:rsidP="0062133D">
            <w:pPr>
              <w:pStyle w:val="TableParagraph"/>
              <w:rPr>
                <w:rFonts w:ascii="Calibri" w:hAnsi="Calibri" w:cs="Calibri"/>
                <w:sz w:val="24"/>
                <w:szCs w:val="24"/>
              </w:rPr>
            </w:pPr>
          </w:p>
        </w:tc>
        <w:tc>
          <w:tcPr>
            <w:tcW w:w="2092" w:type="pct"/>
          </w:tcPr>
          <w:p w14:paraId="076132F1" w14:textId="7728BD15"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mains replacement programmes</w:t>
            </w:r>
            <w:r w:rsidR="00CD3C72" w:rsidRPr="0083139B">
              <w:rPr>
                <w:rFonts w:ascii="Calibri" w:hAnsi="Calibri" w:cs="Calibri"/>
                <w:sz w:val="24"/>
                <w:szCs w:val="24"/>
              </w:rPr>
              <w:t xml:space="preserve"> with the purpose of leakage enhancement</w:t>
            </w:r>
            <w:r w:rsidRPr="0083139B">
              <w:rPr>
                <w:rFonts w:ascii="Calibri" w:hAnsi="Calibri" w:cs="Calibri"/>
                <w:sz w:val="24"/>
                <w:szCs w:val="24"/>
              </w:rPr>
              <w:t>.</w:t>
            </w:r>
          </w:p>
        </w:tc>
        <w:tc>
          <w:tcPr>
            <w:tcW w:w="220" w:type="pct"/>
          </w:tcPr>
          <w:p w14:paraId="01B9E9AB" w14:textId="7711F7ED"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54460961" w14:textId="7D2B95C6" w:rsidR="0062133D" w:rsidRPr="0083139B" w:rsidRDefault="00D852DF" w:rsidP="0062133D">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02B0DF90" w14:textId="77777777" w:rsidTr="00D64130">
        <w:tc>
          <w:tcPr>
            <w:tcW w:w="438" w:type="pct"/>
          </w:tcPr>
          <w:p w14:paraId="0757B886" w14:textId="2CB14EE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9.1b</w:t>
            </w:r>
          </w:p>
        </w:tc>
        <w:tc>
          <w:tcPr>
            <w:tcW w:w="730" w:type="pct"/>
          </w:tcPr>
          <w:p w14:paraId="4B4EA88C" w14:textId="22614C46"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Leakage </w:t>
            </w:r>
            <w:r w:rsidR="00D97F6D" w:rsidRPr="0083139B">
              <w:rPr>
                <w:rFonts w:ascii="Calibri" w:hAnsi="Calibri" w:cs="Calibri"/>
                <w:sz w:val="24"/>
                <w:szCs w:val="24"/>
              </w:rPr>
              <w:t>a</w:t>
            </w:r>
            <w:r w:rsidRPr="0083139B">
              <w:rPr>
                <w:rFonts w:ascii="Calibri" w:hAnsi="Calibri" w:cs="Calibri"/>
                <w:sz w:val="24"/>
                <w:szCs w:val="24"/>
              </w:rPr>
              <w:t>ctivity</w:t>
            </w:r>
          </w:p>
        </w:tc>
        <w:tc>
          <w:tcPr>
            <w:tcW w:w="973" w:type="pct"/>
          </w:tcPr>
          <w:p w14:paraId="508CF3FE" w14:textId="1300D2A3"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Customer </w:t>
            </w:r>
            <w:r w:rsidR="00D97F6D" w:rsidRPr="0083139B">
              <w:rPr>
                <w:rFonts w:ascii="Calibri" w:hAnsi="Calibri" w:cs="Calibri"/>
                <w:sz w:val="24"/>
                <w:szCs w:val="24"/>
              </w:rPr>
              <w:t>s</w:t>
            </w:r>
            <w:r w:rsidRPr="0083139B">
              <w:rPr>
                <w:rFonts w:ascii="Calibri" w:hAnsi="Calibri" w:cs="Calibri"/>
                <w:sz w:val="24"/>
                <w:szCs w:val="24"/>
              </w:rPr>
              <w:t xml:space="preserve">ide </w:t>
            </w:r>
            <w:r w:rsidR="00D97F6D" w:rsidRPr="0083139B">
              <w:rPr>
                <w:rFonts w:ascii="Calibri" w:hAnsi="Calibri" w:cs="Calibri"/>
                <w:sz w:val="24"/>
                <w:szCs w:val="24"/>
              </w:rPr>
              <w:t>l</w:t>
            </w:r>
            <w:r w:rsidRPr="0083139B">
              <w:rPr>
                <w:rFonts w:ascii="Calibri" w:hAnsi="Calibri" w:cs="Calibri"/>
                <w:sz w:val="24"/>
                <w:szCs w:val="24"/>
              </w:rPr>
              <w:t>eakage</w:t>
            </w:r>
          </w:p>
          <w:p w14:paraId="23A4E1B8" w14:textId="77777777" w:rsidR="00B30A41" w:rsidRPr="0083139B" w:rsidRDefault="00B30A41" w:rsidP="00B30A41">
            <w:pPr>
              <w:pStyle w:val="TableParagraph"/>
              <w:rPr>
                <w:rFonts w:ascii="Calibri" w:hAnsi="Calibri" w:cs="Calibri"/>
                <w:sz w:val="24"/>
                <w:szCs w:val="24"/>
              </w:rPr>
            </w:pPr>
          </w:p>
        </w:tc>
        <w:tc>
          <w:tcPr>
            <w:tcW w:w="2092" w:type="pct"/>
          </w:tcPr>
          <w:p w14:paraId="0774280A" w14:textId="48FBE64B" w:rsidR="00B30A41" w:rsidRPr="0083139B" w:rsidRDefault="00CD3C72" w:rsidP="00B30A41">
            <w:pPr>
              <w:pStyle w:val="TableParagraph"/>
              <w:rPr>
                <w:rFonts w:ascii="Calibri" w:hAnsi="Calibri" w:cs="Calibri"/>
                <w:sz w:val="24"/>
                <w:szCs w:val="24"/>
              </w:rPr>
            </w:pPr>
            <w:r w:rsidRPr="0083139B">
              <w:rPr>
                <w:rFonts w:ascii="Calibri" w:hAnsi="Calibri" w:cs="Calibri"/>
                <w:sz w:val="24"/>
                <w:szCs w:val="24"/>
              </w:rPr>
              <w:t xml:space="preserve">Expenditure on </w:t>
            </w:r>
            <w:r w:rsidR="00B30A41" w:rsidRPr="0083139B">
              <w:rPr>
                <w:rFonts w:ascii="Calibri" w:hAnsi="Calibri" w:cs="Calibri"/>
                <w:sz w:val="24"/>
                <w:szCs w:val="24"/>
              </w:rPr>
              <w:t>programmes focusing on customer side leakage.</w:t>
            </w:r>
          </w:p>
        </w:tc>
        <w:tc>
          <w:tcPr>
            <w:tcW w:w="220" w:type="pct"/>
          </w:tcPr>
          <w:p w14:paraId="0E30B318" w14:textId="6FA22857"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D5360AE" w14:textId="5BD4BF0C" w:rsidR="00B30A41" w:rsidRPr="0083139B" w:rsidRDefault="00D852DF" w:rsidP="00B30A41">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70ABEBA2" w14:textId="77777777" w:rsidTr="00D64130">
        <w:tc>
          <w:tcPr>
            <w:tcW w:w="438" w:type="pct"/>
          </w:tcPr>
          <w:p w14:paraId="729AD5A8" w14:textId="32E5D8A0"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9.1c</w:t>
            </w:r>
          </w:p>
        </w:tc>
        <w:tc>
          <w:tcPr>
            <w:tcW w:w="730" w:type="pct"/>
          </w:tcPr>
          <w:p w14:paraId="39038834" w14:textId="1419A036"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Leakage activity</w:t>
            </w:r>
          </w:p>
        </w:tc>
        <w:tc>
          <w:tcPr>
            <w:tcW w:w="973" w:type="pct"/>
          </w:tcPr>
          <w:p w14:paraId="578CFFFE" w14:textId="4A0E98C8"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Other</w:t>
            </w:r>
          </w:p>
        </w:tc>
        <w:tc>
          <w:tcPr>
            <w:tcW w:w="2092" w:type="pct"/>
          </w:tcPr>
          <w:p w14:paraId="57458997" w14:textId="4D0D0E66" w:rsidR="00B30A41" w:rsidRPr="0083139B" w:rsidRDefault="00CD3C72" w:rsidP="00B30A41">
            <w:pPr>
              <w:pStyle w:val="TableParagraph"/>
              <w:rPr>
                <w:rFonts w:ascii="Calibri" w:hAnsi="Calibri" w:cs="Calibri"/>
                <w:sz w:val="24"/>
                <w:szCs w:val="24"/>
              </w:rPr>
            </w:pPr>
            <w:r w:rsidRPr="0083139B">
              <w:rPr>
                <w:rFonts w:ascii="Calibri" w:hAnsi="Calibri" w:cs="Calibri"/>
                <w:sz w:val="24"/>
                <w:szCs w:val="24"/>
              </w:rPr>
              <w:t xml:space="preserve">Expenditure on </w:t>
            </w:r>
            <w:r w:rsidR="00B30A41" w:rsidRPr="0083139B">
              <w:rPr>
                <w:rFonts w:ascii="Calibri" w:hAnsi="Calibri" w:cs="Calibri"/>
                <w:sz w:val="24"/>
                <w:szCs w:val="24"/>
              </w:rPr>
              <w:t>all other work programmes</w:t>
            </w:r>
            <w:r w:rsidRPr="0083139B">
              <w:rPr>
                <w:rFonts w:ascii="Calibri" w:hAnsi="Calibri" w:cs="Calibri"/>
                <w:sz w:val="24"/>
                <w:szCs w:val="24"/>
              </w:rPr>
              <w:t xml:space="preserve"> with the purpose of leakage enhancement</w:t>
            </w:r>
            <w:r w:rsidR="00B30A41" w:rsidRPr="0083139B">
              <w:rPr>
                <w:rFonts w:ascii="Calibri" w:hAnsi="Calibri" w:cs="Calibri"/>
                <w:sz w:val="24"/>
                <w:szCs w:val="24"/>
              </w:rPr>
              <w:t>.</w:t>
            </w:r>
          </w:p>
        </w:tc>
        <w:tc>
          <w:tcPr>
            <w:tcW w:w="220" w:type="pct"/>
          </w:tcPr>
          <w:p w14:paraId="21BC494A" w14:textId="0B96D2C0"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4F5450C8" w14:textId="645F0420" w:rsidR="00B30A41" w:rsidRPr="0083139B" w:rsidRDefault="00D852DF" w:rsidP="00B30A41">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293E5403" w14:textId="77777777" w:rsidTr="00D64130">
        <w:tc>
          <w:tcPr>
            <w:tcW w:w="438" w:type="pct"/>
          </w:tcPr>
          <w:p w14:paraId="1E117084" w14:textId="3071E888"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9.2</w:t>
            </w:r>
          </w:p>
        </w:tc>
        <w:tc>
          <w:tcPr>
            <w:tcW w:w="730" w:type="pct"/>
          </w:tcPr>
          <w:p w14:paraId="1E16444F" w14:textId="24F053AB"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Investigations</w:t>
            </w:r>
          </w:p>
        </w:tc>
        <w:tc>
          <w:tcPr>
            <w:tcW w:w="973" w:type="pct"/>
          </w:tcPr>
          <w:p w14:paraId="574741B2" w14:textId="22EAA636"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Studies</w:t>
            </w:r>
          </w:p>
        </w:tc>
        <w:tc>
          <w:tcPr>
            <w:tcW w:w="2092" w:type="pct"/>
          </w:tcPr>
          <w:p w14:paraId="503EC815" w14:textId="32C73114" w:rsidR="00CD3C72" w:rsidRPr="0083139B" w:rsidRDefault="00CD3C72" w:rsidP="00B30A41">
            <w:pPr>
              <w:pStyle w:val="TableParagraph"/>
              <w:rPr>
                <w:rFonts w:ascii="Calibri" w:hAnsi="Calibri" w:cs="Calibri"/>
                <w:sz w:val="24"/>
                <w:szCs w:val="24"/>
              </w:rPr>
            </w:pPr>
            <w:r w:rsidRPr="0083139B">
              <w:rPr>
                <w:rFonts w:ascii="Calibri" w:hAnsi="Calibri" w:cs="Calibri"/>
                <w:sz w:val="24"/>
                <w:szCs w:val="24"/>
              </w:rPr>
              <w:t>Expenditure on environmental studies.</w:t>
            </w:r>
          </w:p>
        </w:tc>
        <w:tc>
          <w:tcPr>
            <w:tcW w:w="220" w:type="pct"/>
          </w:tcPr>
          <w:p w14:paraId="63B02FF0" w14:textId="795BC26D"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92C0810" w14:textId="33DAF0FD" w:rsidR="0062133D" w:rsidRPr="0083139B" w:rsidRDefault="00D852DF" w:rsidP="0062133D">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1FAF6A75" w14:textId="77777777" w:rsidTr="00D64130">
        <w:tc>
          <w:tcPr>
            <w:tcW w:w="438" w:type="pct"/>
          </w:tcPr>
          <w:p w14:paraId="5729B6DA" w14:textId="1CF2899E"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9.3a</w:t>
            </w:r>
          </w:p>
        </w:tc>
        <w:tc>
          <w:tcPr>
            <w:tcW w:w="730" w:type="pct"/>
          </w:tcPr>
          <w:p w14:paraId="7658B923" w14:textId="631DC979"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Lead</w:t>
            </w:r>
            <w:r w:rsidRPr="0083139B">
              <w:rPr>
                <w:rFonts w:ascii="Calibri" w:hAnsi="Calibri" w:cs="Calibri"/>
                <w:sz w:val="24"/>
                <w:szCs w:val="24"/>
              </w:rPr>
              <w:tab/>
            </w:r>
          </w:p>
          <w:p w14:paraId="44C35BCA" w14:textId="77777777"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ab/>
            </w:r>
          </w:p>
          <w:p w14:paraId="15A539C4" w14:textId="77777777"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ab/>
            </w:r>
          </w:p>
        </w:tc>
        <w:tc>
          <w:tcPr>
            <w:tcW w:w="973" w:type="pct"/>
          </w:tcPr>
          <w:p w14:paraId="7A2C68ED" w14:textId="3EC3D954"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Lead</w:t>
            </w:r>
            <w:r w:rsidR="0062133D" w:rsidRPr="0083139B">
              <w:rPr>
                <w:rFonts w:ascii="Calibri" w:hAnsi="Calibri" w:cs="Calibri"/>
                <w:sz w:val="24"/>
                <w:szCs w:val="24"/>
              </w:rPr>
              <w:t xml:space="preserve"> communication pipes replaced or relined for water quality </w:t>
            </w:r>
          </w:p>
        </w:tc>
        <w:tc>
          <w:tcPr>
            <w:tcW w:w="2092" w:type="pct"/>
          </w:tcPr>
          <w:p w14:paraId="56A0C90E" w14:textId="00535485"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replaced or relined lead communication pipes for water quality reasons. </w:t>
            </w:r>
          </w:p>
        </w:tc>
        <w:tc>
          <w:tcPr>
            <w:tcW w:w="220" w:type="pct"/>
          </w:tcPr>
          <w:p w14:paraId="14C24542" w14:textId="08022DB9"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515A2247" w14:textId="3EF6B3A2" w:rsidR="008249FC" w:rsidRPr="0083139B" w:rsidRDefault="00E77543" w:rsidP="008249FC">
            <w:pPr>
              <w:pStyle w:val="TableParagraph"/>
              <w:rPr>
                <w:rFonts w:ascii="Calibri" w:hAnsi="Calibri" w:cs="Calibri"/>
                <w:sz w:val="24"/>
                <w:szCs w:val="24"/>
              </w:rPr>
            </w:pPr>
            <w:r>
              <w:rPr>
                <w:rFonts w:ascii="Calibri" w:hAnsi="Calibri" w:cs="Calibri"/>
                <w:sz w:val="24"/>
                <w:szCs w:val="24"/>
              </w:rPr>
              <w:t xml:space="preserve">Ofwat </w:t>
            </w:r>
            <w:r w:rsidR="008249FC" w:rsidRPr="0083139B">
              <w:rPr>
                <w:rFonts w:ascii="Calibri" w:hAnsi="Calibri" w:cs="Calibri"/>
                <w:sz w:val="24"/>
                <w:szCs w:val="24"/>
              </w:rPr>
              <w:t>CW3.108</w:t>
            </w:r>
          </w:p>
          <w:p w14:paraId="3C04D014" w14:textId="6D55C283" w:rsidR="0062133D" w:rsidRPr="0083139B" w:rsidRDefault="0062133D" w:rsidP="0062133D">
            <w:pPr>
              <w:pStyle w:val="TableParagraph"/>
              <w:rPr>
                <w:rFonts w:ascii="Calibri" w:hAnsi="Calibri" w:cs="Calibri"/>
                <w:sz w:val="24"/>
                <w:szCs w:val="24"/>
              </w:rPr>
            </w:pPr>
          </w:p>
        </w:tc>
      </w:tr>
      <w:tr w:rsidR="000E54AC" w:rsidRPr="00280680" w14:paraId="52F1A399" w14:textId="77777777" w:rsidTr="00D64130">
        <w:tc>
          <w:tcPr>
            <w:tcW w:w="438" w:type="pct"/>
          </w:tcPr>
          <w:p w14:paraId="1EFC1D0B" w14:textId="1F962E9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lastRenderedPageBreak/>
              <w:t>9.3b</w:t>
            </w:r>
          </w:p>
        </w:tc>
        <w:tc>
          <w:tcPr>
            <w:tcW w:w="730" w:type="pct"/>
          </w:tcPr>
          <w:p w14:paraId="48F2E6D1" w14:textId="39AE19E2"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Lead</w:t>
            </w:r>
          </w:p>
        </w:tc>
        <w:tc>
          <w:tcPr>
            <w:tcW w:w="973" w:type="pct"/>
          </w:tcPr>
          <w:p w14:paraId="298DC621" w14:textId="5363F84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External</w:t>
            </w:r>
            <w:r w:rsidR="00B30A41" w:rsidRPr="0083139B">
              <w:rPr>
                <w:rFonts w:ascii="Calibri" w:hAnsi="Calibri" w:cs="Calibri"/>
                <w:sz w:val="24"/>
                <w:szCs w:val="24"/>
              </w:rPr>
              <w:t xml:space="preserve"> lead supply pipes replaced or relined </w:t>
            </w:r>
          </w:p>
        </w:tc>
        <w:tc>
          <w:tcPr>
            <w:tcW w:w="2092" w:type="pct"/>
          </w:tcPr>
          <w:p w14:paraId="3EF6B089" w14:textId="0D060014"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external lead pipes replaced or relined from the underground boundary box or property boundary to the internal stop tap or above ground boundary box (if fitted).</w:t>
            </w:r>
          </w:p>
        </w:tc>
        <w:tc>
          <w:tcPr>
            <w:tcW w:w="220" w:type="pct"/>
          </w:tcPr>
          <w:p w14:paraId="18DF5BBA" w14:textId="3F2C1A2C"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0011D0A" w14:textId="5F692F8E" w:rsidR="00B30A41" w:rsidRPr="0083139B"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CW3.111</w:t>
            </w:r>
          </w:p>
          <w:p w14:paraId="4BCEADE2" w14:textId="77777777" w:rsidR="00B30A41" w:rsidRPr="0083139B" w:rsidRDefault="00B30A41" w:rsidP="00B30A41">
            <w:pPr>
              <w:pStyle w:val="TableParagraph"/>
              <w:rPr>
                <w:rFonts w:ascii="Calibri" w:hAnsi="Calibri" w:cs="Calibri"/>
                <w:sz w:val="24"/>
                <w:szCs w:val="24"/>
              </w:rPr>
            </w:pPr>
          </w:p>
        </w:tc>
      </w:tr>
      <w:tr w:rsidR="000E54AC" w:rsidRPr="00280680" w14:paraId="17210580" w14:textId="77777777" w:rsidTr="00D64130">
        <w:tc>
          <w:tcPr>
            <w:tcW w:w="438" w:type="pct"/>
          </w:tcPr>
          <w:p w14:paraId="6613F3F1" w14:textId="344C624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9.3c</w:t>
            </w:r>
          </w:p>
        </w:tc>
        <w:tc>
          <w:tcPr>
            <w:tcW w:w="730" w:type="pct"/>
          </w:tcPr>
          <w:p w14:paraId="268247FC" w14:textId="116993E0"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Lead</w:t>
            </w:r>
          </w:p>
        </w:tc>
        <w:tc>
          <w:tcPr>
            <w:tcW w:w="973" w:type="pct"/>
          </w:tcPr>
          <w:p w14:paraId="6F104372" w14:textId="304624A8"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Internal</w:t>
            </w:r>
            <w:r w:rsidR="00B30A41" w:rsidRPr="0083139B">
              <w:rPr>
                <w:rFonts w:ascii="Calibri" w:hAnsi="Calibri" w:cs="Calibri"/>
                <w:sz w:val="24"/>
                <w:szCs w:val="24"/>
              </w:rPr>
              <w:t xml:space="preserve"> lead supply pipes replaced or relined</w:t>
            </w:r>
          </w:p>
        </w:tc>
        <w:tc>
          <w:tcPr>
            <w:tcW w:w="2092" w:type="pct"/>
          </w:tcPr>
          <w:p w14:paraId="5DF84F65" w14:textId="6C1C48DE"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internal lead supply pipes replaced or relined from the internal stop tap or above ground boundary box to the compliance point (kitchen tap).</w:t>
            </w:r>
          </w:p>
        </w:tc>
        <w:tc>
          <w:tcPr>
            <w:tcW w:w="220" w:type="pct"/>
          </w:tcPr>
          <w:p w14:paraId="1A0AAD96" w14:textId="10A1ACBC"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26B20971" w14:textId="66C8D151" w:rsidR="00B30A41" w:rsidRPr="0083139B"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CW3.114</w:t>
            </w:r>
          </w:p>
        </w:tc>
      </w:tr>
      <w:tr w:rsidR="000E54AC" w:rsidRPr="00280680" w14:paraId="52FE4A05" w14:textId="77777777" w:rsidTr="00D64130">
        <w:tc>
          <w:tcPr>
            <w:tcW w:w="438" w:type="pct"/>
          </w:tcPr>
          <w:p w14:paraId="2793C028" w14:textId="16B6A512"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9.4a</w:t>
            </w:r>
          </w:p>
        </w:tc>
        <w:tc>
          <w:tcPr>
            <w:tcW w:w="730" w:type="pct"/>
          </w:tcPr>
          <w:p w14:paraId="1F5604C8" w14:textId="232764A2"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Metering</w:t>
            </w:r>
            <w:r w:rsidRPr="0083139B">
              <w:rPr>
                <w:rFonts w:ascii="Calibri" w:hAnsi="Calibri" w:cs="Calibri"/>
                <w:sz w:val="24"/>
                <w:szCs w:val="24"/>
              </w:rPr>
              <w:tab/>
            </w:r>
          </w:p>
        </w:tc>
        <w:tc>
          <w:tcPr>
            <w:tcW w:w="973" w:type="pct"/>
          </w:tcPr>
          <w:p w14:paraId="667ACB51" w14:textId="10EB7B2B"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Total meters installed Basic/AMI/AMR</w:t>
            </w:r>
          </w:p>
        </w:tc>
        <w:tc>
          <w:tcPr>
            <w:tcW w:w="2092" w:type="pct"/>
          </w:tcPr>
          <w:p w14:paraId="28CAB6EB" w14:textId="64A28A1A"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related to the provision of meters to residential or business customers. This does not include costs related to smart meter infrastructure assets such as telemetry. </w:t>
            </w:r>
          </w:p>
        </w:tc>
        <w:tc>
          <w:tcPr>
            <w:tcW w:w="220" w:type="pct"/>
          </w:tcPr>
          <w:p w14:paraId="0FD6BEAA" w14:textId="5968E94B"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6653863D" w14:textId="77777777" w:rsidR="00B4396C" w:rsidRDefault="00B4396C" w:rsidP="0062133D">
            <w:pPr>
              <w:pStyle w:val="TableParagraph"/>
              <w:rPr>
                <w:rFonts w:ascii="Calibri" w:hAnsi="Calibri" w:cs="Calibri"/>
                <w:sz w:val="24"/>
                <w:szCs w:val="24"/>
              </w:rPr>
            </w:pPr>
            <w:r>
              <w:rPr>
                <w:rFonts w:ascii="Calibri" w:hAnsi="Calibri" w:cs="Calibri"/>
                <w:sz w:val="24"/>
                <w:szCs w:val="24"/>
              </w:rPr>
              <w:t>Sum together</w:t>
            </w:r>
          </w:p>
          <w:p w14:paraId="2A9EB017" w14:textId="53F06C80" w:rsidR="0062133D" w:rsidRDefault="00E77543" w:rsidP="0062133D">
            <w:pPr>
              <w:pStyle w:val="TableParagraph"/>
              <w:rPr>
                <w:rFonts w:ascii="Calibri" w:hAnsi="Calibri" w:cs="Calibri"/>
                <w:sz w:val="24"/>
                <w:szCs w:val="24"/>
              </w:rPr>
            </w:pPr>
            <w:r>
              <w:rPr>
                <w:rFonts w:ascii="Calibri" w:hAnsi="Calibri" w:cs="Calibri"/>
                <w:sz w:val="24"/>
                <w:szCs w:val="24"/>
              </w:rPr>
              <w:t xml:space="preserve">Ofwat </w:t>
            </w:r>
            <w:r w:rsidR="002376C4" w:rsidRPr="0083139B">
              <w:rPr>
                <w:rFonts w:ascii="Calibri" w:hAnsi="Calibri" w:cs="Calibri"/>
                <w:sz w:val="24"/>
                <w:szCs w:val="24"/>
              </w:rPr>
              <w:t>CW3.</w:t>
            </w:r>
            <w:r w:rsidR="00B4396C">
              <w:rPr>
                <w:rFonts w:ascii="Calibri" w:hAnsi="Calibri" w:cs="Calibri"/>
                <w:sz w:val="24"/>
                <w:szCs w:val="24"/>
              </w:rPr>
              <w:t>6</w:t>
            </w:r>
            <w:r w:rsidR="002376C4" w:rsidRPr="0083139B">
              <w:rPr>
                <w:rFonts w:ascii="Calibri" w:hAnsi="Calibri" w:cs="Calibri"/>
                <w:sz w:val="24"/>
                <w:szCs w:val="24"/>
              </w:rPr>
              <w:t>0</w:t>
            </w:r>
            <w:r w:rsidR="00B4396C">
              <w:rPr>
                <w:rFonts w:ascii="Calibri" w:hAnsi="Calibri" w:cs="Calibri"/>
                <w:sz w:val="24"/>
                <w:szCs w:val="24"/>
              </w:rPr>
              <w:t>-</w:t>
            </w:r>
          </w:p>
          <w:p w14:paraId="2E0A0F6B" w14:textId="76711F6B" w:rsidR="0062133D" w:rsidRPr="0083139B" w:rsidRDefault="00B4396C" w:rsidP="0062133D">
            <w:pPr>
              <w:pStyle w:val="TableParagraph"/>
              <w:rPr>
                <w:rFonts w:ascii="Calibri" w:hAnsi="Calibri" w:cs="Calibri"/>
                <w:sz w:val="24"/>
                <w:szCs w:val="24"/>
              </w:rPr>
            </w:pPr>
            <w:r>
              <w:rPr>
                <w:rFonts w:ascii="Calibri" w:hAnsi="Calibri" w:cs="Calibri"/>
                <w:sz w:val="24"/>
                <w:szCs w:val="24"/>
              </w:rPr>
              <w:t>CW</w:t>
            </w:r>
            <w:r w:rsidR="003342CC">
              <w:rPr>
                <w:rFonts w:ascii="Calibri" w:hAnsi="Calibri" w:cs="Calibri"/>
                <w:sz w:val="24"/>
                <w:szCs w:val="24"/>
              </w:rPr>
              <w:t>3.68</w:t>
            </w:r>
          </w:p>
        </w:tc>
      </w:tr>
      <w:tr w:rsidR="000E54AC" w:rsidRPr="00280680" w14:paraId="0B61598B" w14:textId="77777777" w:rsidTr="00D64130">
        <w:tc>
          <w:tcPr>
            <w:tcW w:w="438" w:type="pct"/>
          </w:tcPr>
          <w:p w14:paraId="2B57188E" w14:textId="77E7507E"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9.4b</w:t>
            </w:r>
          </w:p>
        </w:tc>
        <w:tc>
          <w:tcPr>
            <w:tcW w:w="730" w:type="pct"/>
          </w:tcPr>
          <w:p w14:paraId="4755DB73" w14:textId="15CD02F7"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Metering</w:t>
            </w:r>
          </w:p>
        </w:tc>
        <w:tc>
          <w:tcPr>
            <w:tcW w:w="973" w:type="pct"/>
          </w:tcPr>
          <w:p w14:paraId="43D098C7" w14:textId="50E8AF06"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Total meters upgraded Basic/AMI/AMR</w:t>
            </w:r>
          </w:p>
        </w:tc>
        <w:tc>
          <w:tcPr>
            <w:tcW w:w="2092" w:type="pct"/>
          </w:tcPr>
          <w:p w14:paraId="24387DA6" w14:textId="2A95ADB9"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relating to the activity of upgrading or replacing meters for existing residential or business customers with a smarter meter. Upgrades can be:</w:t>
            </w:r>
          </w:p>
          <w:p w14:paraId="0AD6104D" w14:textId="24A339C7" w:rsidR="00B30A41" w:rsidRPr="0083139B" w:rsidRDefault="00B30A41" w:rsidP="000A01AB">
            <w:pPr>
              <w:pStyle w:val="TableParagraph"/>
              <w:numPr>
                <w:ilvl w:val="0"/>
                <w:numId w:val="16"/>
              </w:numPr>
              <w:rPr>
                <w:rFonts w:ascii="Calibri" w:hAnsi="Calibri" w:cs="Calibri"/>
                <w:sz w:val="24"/>
                <w:szCs w:val="24"/>
              </w:rPr>
            </w:pPr>
            <w:r w:rsidRPr="0083139B">
              <w:rPr>
                <w:rFonts w:ascii="Calibri" w:hAnsi="Calibri" w:cs="Calibri"/>
                <w:sz w:val="24"/>
                <w:szCs w:val="24"/>
              </w:rPr>
              <w:t>Basic to AMR/AMI</w:t>
            </w:r>
            <w:r w:rsidR="009F59BC">
              <w:rPr>
                <w:rFonts w:ascii="Calibri" w:hAnsi="Calibri" w:cs="Calibri"/>
                <w:sz w:val="24"/>
                <w:szCs w:val="24"/>
              </w:rPr>
              <w:t>, or</w:t>
            </w:r>
          </w:p>
          <w:p w14:paraId="25D759DE" w14:textId="3B263298" w:rsidR="00B30A41" w:rsidRPr="0083139B" w:rsidRDefault="00B30A41" w:rsidP="000A01AB">
            <w:pPr>
              <w:pStyle w:val="TableParagraph"/>
              <w:numPr>
                <w:ilvl w:val="0"/>
                <w:numId w:val="16"/>
              </w:numPr>
              <w:rPr>
                <w:rFonts w:ascii="Calibri" w:hAnsi="Calibri" w:cs="Calibri"/>
                <w:sz w:val="24"/>
                <w:szCs w:val="24"/>
              </w:rPr>
            </w:pPr>
            <w:r w:rsidRPr="0083139B">
              <w:rPr>
                <w:rFonts w:ascii="Calibri" w:hAnsi="Calibri" w:cs="Calibri"/>
                <w:sz w:val="24"/>
                <w:szCs w:val="24"/>
              </w:rPr>
              <w:t>AMR to AMI.</w:t>
            </w:r>
          </w:p>
          <w:p w14:paraId="3481E781" w14:textId="69C3B46A"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This does not include costs related to smart meter infrastructure assets such as telemetry.</w:t>
            </w:r>
          </w:p>
        </w:tc>
        <w:tc>
          <w:tcPr>
            <w:tcW w:w="220" w:type="pct"/>
          </w:tcPr>
          <w:p w14:paraId="769B1833" w14:textId="66769FFF"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4203DE1C" w14:textId="77777777" w:rsidR="00554650" w:rsidRDefault="00554650" w:rsidP="00B30A41">
            <w:pPr>
              <w:pStyle w:val="TableParagraph"/>
              <w:rPr>
                <w:rFonts w:ascii="Calibri" w:hAnsi="Calibri" w:cs="Calibri"/>
                <w:sz w:val="24"/>
                <w:szCs w:val="24"/>
              </w:rPr>
            </w:pPr>
            <w:r>
              <w:rPr>
                <w:rFonts w:ascii="Calibri" w:hAnsi="Calibri" w:cs="Calibri"/>
                <w:sz w:val="24"/>
                <w:szCs w:val="24"/>
              </w:rPr>
              <w:t>Sum together</w:t>
            </w:r>
          </w:p>
          <w:p w14:paraId="1EACD702" w14:textId="66E047D9" w:rsidR="00B30A41"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w:t>
            </w:r>
            <w:r w:rsidR="00554650">
              <w:rPr>
                <w:rFonts w:ascii="Calibri" w:hAnsi="Calibri" w:cs="Calibri"/>
                <w:sz w:val="24"/>
                <w:szCs w:val="24"/>
              </w:rPr>
              <w:t>69-</w:t>
            </w:r>
          </w:p>
          <w:p w14:paraId="36FC62A6" w14:textId="48811AFD" w:rsidR="00B30A41" w:rsidRPr="0083139B" w:rsidRDefault="00554650" w:rsidP="00B30A41">
            <w:pPr>
              <w:pStyle w:val="TableParagraph"/>
              <w:rPr>
                <w:rFonts w:ascii="Calibri" w:hAnsi="Calibri" w:cs="Calibri"/>
                <w:sz w:val="24"/>
                <w:szCs w:val="24"/>
              </w:rPr>
            </w:pPr>
            <w:r>
              <w:rPr>
                <w:rFonts w:ascii="Calibri" w:hAnsi="Calibri" w:cs="Calibri"/>
                <w:sz w:val="24"/>
                <w:szCs w:val="24"/>
              </w:rPr>
              <w:t>CW3.86</w:t>
            </w:r>
          </w:p>
        </w:tc>
      </w:tr>
      <w:tr w:rsidR="000E54AC" w:rsidRPr="00280680" w14:paraId="7E3C1AAC" w14:textId="77777777" w:rsidTr="00D64130">
        <w:tc>
          <w:tcPr>
            <w:tcW w:w="438" w:type="pct"/>
          </w:tcPr>
          <w:p w14:paraId="006A8CF8" w14:textId="0007F161" w:rsidR="0062133D" w:rsidRPr="0083139B" w:rsidRDefault="00BC027E">
            <w:pPr>
              <w:pStyle w:val="TableParagraph"/>
              <w:rPr>
                <w:rFonts w:ascii="Calibri" w:hAnsi="Calibri" w:cs="Calibri"/>
                <w:sz w:val="24"/>
                <w:szCs w:val="24"/>
              </w:rPr>
            </w:pPr>
            <w:r w:rsidRPr="0083139B">
              <w:rPr>
                <w:rFonts w:ascii="Calibri" w:hAnsi="Calibri" w:cs="Calibri"/>
                <w:sz w:val="24"/>
                <w:szCs w:val="24"/>
              </w:rPr>
              <w:t>9.5</w:t>
            </w:r>
          </w:p>
        </w:tc>
        <w:tc>
          <w:tcPr>
            <w:tcW w:w="730" w:type="pct"/>
          </w:tcPr>
          <w:p w14:paraId="12AEAFD5" w14:textId="26DEE031"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Continuous river water quality monitoring </w:t>
            </w:r>
            <w:r w:rsidRPr="0083139B">
              <w:rPr>
                <w:rFonts w:ascii="Calibri" w:hAnsi="Calibri" w:cs="Calibri"/>
                <w:sz w:val="24"/>
                <w:szCs w:val="24"/>
              </w:rPr>
              <w:tab/>
            </w:r>
          </w:p>
        </w:tc>
        <w:tc>
          <w:tcPr>
            <w:tcW w:w="973" w:type="pct"/>
          </w:tcPr>
          <w:p w14:paraId="529C3886" w14:textId="2DA8432B" w:rsidR="0062133D" w:rsidRPr="0083139B" w:rsidRDefault="001666CC">
            <w:pPr>
              <w:pStyle w:val="TableParagraph"/>
              <w:rPr>
                <w:rFonts w:ascii="Calibri" w:hAnsi="Calibri" w:cs="Calibri"/>
                <w:sz w:val="24"/>
                <w:szCs w:val="24"/>
              </w:rPr>
            </w:pPr>
            <w:r w:rsidRPr="0083139B">
              <w:rPr>
                <w:rFonts w:ascii="Calibri" w:hAnsi="Calibri" w:cs="Calibri"/>
                <w:sz w:val="24"/>
                <w:szCs w:val="24"/>
              </w:rPr>
              <w:t xml:space="preserve">Continuous water quality </w:t>
            </w:r>
            <w:r w:rsidR="00BC027E" w:rsidRPr="0083139B">
              <w:rPr>
                <w:rFonts w:ascii="Calibri" w:hAnsi="Calibri" w:cs="Calibri"/>
                <w:sz w:val="24"/>
                <w:szCs w:val="24"/>
              </w:rPr>
              <w:t>monitor installed</w:t>
            </w:r>
          </w:p>
        </w:tc>
        <w:tc>
          <w:tcPr>
            <w:tcW w:w="2092" w:type="pct"/>
          </w:tcPr>
          <w:p w14:paraId="303E19D2" w14:textId="77777777" w:rsidR="00C61604" w:rsidRDefault="00B30A41" w:rsidP="00C61604">
            <w:pPr>
              <w:pStyle w:val="TableParagraph"/>
              <w:rPr>
                <w:rFonts w:ascii="Calibri" w:hAnsi="Calibri" w:cs="Calibri"/>
                <w:sz w:val="24"/>
                <w:szCs w:val="24"/>
              </w:rPr>
            </w:pPr>
            <w:r w:rsidRPr="0083139B">
              <w:rPr>
                <w:rFonts w:ascii="Calibri" w:hAnsi="Calibri" w:cs="Calibri"/>
                <w:sz w:val="24"/>
                <w:szCs w:val="24"/>
              </w:rPr>
              <w:t>Expenditure on schemes to provide continuous river water quality monitoring.</w:t>
            </w:r>
            <w:r w:rsidR="00C61604">
              <w:rPr>
                <w:rFonts w:ascii="Calibri" w:hAnsi="Calibri" w:cs="Calibri"/>
                <w:sz w:val="24"/>
                <w:szCs w:val="24"/>
              </w:rPr>
              <w:t xml:space="preserve"> Schemes include:</w:t>
            </w:r>
          </w:p>
          <w:p w14:paraId="0212C14D" w14:textId="77777777" w:rsidR="00C61604"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Providing near real-time data,</w:t>
            </w:r>
          </w:p>
          <w:p w14:paraId="22E2AC49" w14:textId="77777777" w:rsidR="004278BE"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Simple monitor installations, or</w:t>
            </w:r>
          </w:p>
          <w:p w14:paraId="53EAAA32" w14:textId="4444EC60" w:rsidR="00B30A41" w:rsidRPr="0083139B"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More complex civils installations/works.</w:t>
            </w:r>
          </w:p>
        </w:tc>
        <w:tc>
          <w:tcPr>
            <w:tcW w:w="220" w:type="pct"/>
          </w:tcPr>
          <w:p w14:paraId="4E315039" w14:textId="2FA47A0A"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071AE642" w14:textId="6413467E" w:rsidR="00B30A41" w:rsidRPr="0083139B" w:rsidRDefault="005833EE" w:rsidP="00B30A41">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t>CWW3.7</w:t>
            </w:r>
            <w:r w:rsidRPr="0083139B">
              <w:rPr>
                <w:rFonts w:ascii="Calibri" w:hAnsi="Calibri" w:cs="Calibri"/>
                <w:sz w:val="24"/>
                <w:szCs w:val="24"/>
              </w:rPr>
              <w:t>-</w:t>
            </w:r>
          </w:p>
          <w:p w14:paraId="5E3A50D6" w14:textId="2E002022" w:rsidR="0062133D" w:rsidRPr="0083139B" w:rsidRDefault="00A1370D">
            <w:pPr>
              <w:pStyle w:val="TableParagraph"/>
              <w:rPr>
                <w:rFonts w:ascii="Calibri" w:hAnsi="Calibri" w:cs="Calibri"/>
                <w:sz w:val="24"/>
                <w:szCs w:val="24"/>
              </w:rPr>
            </w:pPr>
            <w:r w:rsidRPr="0083139B">
              <w:rPr>
                <w:rFonts w:ascii="Calibri" w:hAnsi="Calibri" w:cs="Calibri"/>
                <w:sz w:val="24"/>
                <w:szCs w:val="24"/>
              </w:rPr>
              <w:t>CWW3.</w:t>
            </w:r>
            <w:r w:rsidR="00B30A41" w:rsidRPr="0083139B">
              <w:rPr>
                <w:rFonts w:ascii="Calibri" w:hAnsi="Calibri" w:cs="Calibri"/>
                <w:sz w:val="24"/>
                <w:szCs w:val="24"/>
              </w:rPr>
              <w:t>9</w:t>
            </w:r>
          </w:p>
        </w:tc>
      </w:tr>
      <w:tr w:rsidR="000E54AC" w:rsidRPr="00280680" w14:paraId="39C50144" w14:textId="77777777" w:rsidTr="00D64130">
        <w:tc>
          <w:tcPr>
            <w:tcW w:w="438" w:type="pct"/>
          </w:tcPr>
          <w:p w14:paraId="62D83F21" w14:textId="4BC3D69A" w:rsidR="0062133D" w:rsidRPr="0083139B" w:rsidRDefault="00BC027E">
            <w:pPr>
              <w:pStyle w:val="TableParagraph"/>
              <w:rPr>
                <w:rFonts w:ascii="Calibri" w:hAnsi="Calibri" w:cs="Calibri"/>
                <w:sz w:val="24"/>
                <w:szCs w:val="24"/>
              </w:rPr>
            </w:pPr>
            <w:r w:rsidRPr="0083139B">
              <w:rPr>
                <w:rFonts w:ascii="Calibri" w:hAnsi="Calibri" w:cs="Calibri"/>
                <w:sz w:val="24"/>
                <w:szCs w:val="24"/>
              </w:rPr>
              <w:t>9.6</w:t>
            </w:r>
          </w:p>
        </w:tc>
        <w:tc>
          <w:tcPr>
            <w:tcW w:w="730" w:type="pct"/>
          </w:tcPr>
          <w:p w14:paraId="1CFABE91" w14:textId="5314AAB2"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Flow monitoring at </w:t>
            </w:r>
            <w:r w:rsidR="00BC027E" w:rsidRPr="0083139B">
              <w:rPr>
                <w:rFonts w:ascii="Calibri" w:hAnsi="Calibri" w:cs="Calibri"/>
                <w:sz w:val="24"/>
                <w:szCs w:val="24"/>
              </w:rPr>
              <w:t>wastewater</w:t>
            </w:r>
            <w:r w:rsidRPr="0083139B">
              <w:rPr>
                <w:rFonts w:ascii="Calibri" w:hAnsi="Calibri" w:cs="Calibri"/>
                <w:sz w:val="24"/>
                <w:szCs w:val="24"/>
              </w:rPr>
              <w:t xml:space="preserve"> </w:t>
            </w:r>
            <w:r w:rsidRPr="0083139B">
              <w:rPr>
                <w:rFonts w:ascii="Calibri" w:hAnsi="Calibri" w:cs="Calibri"/>
                <w:sz w:val="24"/>
                <w:szCs w:val="24"/>
              </w:rPr>
              <w:lastRenderedPageBreak/>
              <w:t>treatment works</w:t>
            </w:r>
            <w:r w:rsidRPr="0083139B">
              <w:rPr>
                <w:rFonts w:ascii="Calibri" w:hAnsi="Calibri" w:cs="Calibri"/>
                <w:sz w:val="24"/>
                <w:szCs w:val="24"/>
              </w:rPr>
              <w:tab/>
            </w:r>
          </w:p>
        </w:tc>
        <w:tc>
          <w:tcPr>
            <w:tcW w:w="973" w:type="pct"/>
          </w:tcPr>
          <w:p w14:paraId="5A6D7187" w14:textId="288CA75A" w:rsidR="0062133D" w:rsidRPr="0083139B" w:rsidRDefault="00BC027E">
            <w:pPr>
              <w:pStyle w:val="TableParagraph"/>
              <w:rPr>
                <w:rFonts w:ascii="Calibri" w:hAnsi="Calibri" w:cs="Calibri"/>
                <w:sz w:val="24"/>
                <w:szCs w:val="24"/>
              </w:rPr>
            </w:pPr>
            <w:r w:rsidRPr="0083139B">
              <w:rPr>
                <w:rFonts w:ascii="Calibri" w:hAnsi="Calibri" w:cs="Calibri"/>
                <w:sz w:val="24"/>
                <w:szCs w:val="24"/>
              </w:rPr>
              <w:lastRenderedPageBreak/>
              <w:t xml:space="preserve">Flow monitoring schemes </w:t>
            </w:r>
            <w:r w:rsidR="001A6CEE">
              <w:rPr>
                <w:rFonts w:ascii="Calibri" w:hAnsi="Calibri" w:cs="Calibri"/>
                <w:sz w:val="24"/>
                <w:szCs w:val="24"/>
              </w:rPr>
              <w:t>applied or installed</w:t>
            </w:r>
          </w:p>
        </w:tc>
        <w:tc>
          <w:tcPr>
            <w:tcW w:w="2092" w:type="pct"/>
          </w:tcPr>
          <w:p w14:paraId="5E84CA27" w14:textId="31AB99FA" w:rsidR="00FF041A"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schemes to provide flow monitoring at </w:t>
            </w:r>
            <w:r w:rsidR="00BC027E" w:rsidRPr="0083139B">
              <w:rPr>
                <w:rFonts w:ascii="Calibri" w:hAnsi="Calibri" w:cs="Calibri"/>
                <w:sz w:val="24"/>
                <w:szCs w:val="24"/>
              </w:rPr>
              <w:t>wastewater</w:t>
            </w:r>
            <w:r w:rsidRPr="0083139B">
              <w:rPr>
                <w:rFonts w:ascii="Calibri" w:hAnsi="Calibri" w:cs="Calibri"/>
                <w:sz w:val="24"/>
                <w:szCs w:val="24"/>
              </w:rPr>
              <w:t xml:space="preserve"> treatment works or last in line </w:t>
            </w:r>
            <w:r w:rsidR="00ED3F69">
              <w:rPr>
                <w:rFonts w:ascii="Calibri" w:hAnsi="Calibri" w:cs="Calibri"/>
                <w:sz w:val="24"/>
                <w:szCs w:val="24"/>
              </w:rPr>
              <w:t>wastewater</w:t>
            </w:r>
            <w:r w:rsidRPr="0083139B">
              <w:rPr>
                <w:rFonts w:ascii="Calibri" w:hAnsi="Calibri" w:cs="Calibri"/>
                <w:sz w:val="24"/>
                <w:szCs w:val="24"/>
              </w:rPr>
              <w:t xml:space="preserve"> </w:t>
            </w:r>
            <w:r w:rsidRPr="0083139B">
              <w:rPr>
                <w:rFonts w:ascii="Calibri" w:hAnsi="Calibri" w:cs="Calibri"/>
                <w:sz w:val="24"/>
                <w:szCs w:val="24"/>
              </w:rPr>
              <w:lastRenderedPageBreak/>
              <w:t>pumping stations.</w:t>
            </w:r>
            <w:r w:rsidR="00C61604">
              <w:rPr>
                <w:rFonts w:ascii="Calibri" w:hAnsi="Calibri" w:cs="Calibri"/>
                <w:sz w:val="24"/>
                <w:szCs w:val="24"/>
              </w:rPr>
              <w:t xml:space="preserve"> </w:t>
            </w:r>
            <w:r w:rsidR="00FF041A">
              <w:rPr>
                <w:rFonts w:ascii="Calibri" w:hAnsi="Calibri" w:cs="Calibri"/>
                <w:sz w:val="24"/>
                <w:szCs w:val="24"/>
              </w:rPr>
              <w:t>Schemes include:</w:t>
            </w:r>
          </w:p>
          <w:p w14:paraId="412A3A15" w14:textId="77777777" w:rsidR="00FF041A"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Permit changes only,</w:t>
            </w:r>
          </w:p>
          <w:p w14:paraId="7AEFBDEE" w14:textId="77777777" w:rsidR="005F7A11"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Simple meter installations, or</w:t>
            </w:r>
          </w:p>
          <w:p w14:paraId="20D9AE4A" w14:textId="075528FD" w:rsidR="00B30A41" w:rsidRPr="0083139B"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More complex civils installations</w:t>
            </w:r>
            <w:r w:rsidR="00A87DBF">
              <w:rPr>
                <w:rFonts w:ascii="Calibri" w:hAnsi="Calibri" w:cs="Calibri"/>
                <w:sz w:val="24"/>
                <w:szCs w:val="24"/>
              </w:rPr>
              <w:t>/works.</w:t>
            </w:r>
          </w:p>
        </w:tc>
        <w:tc>
          <w:tcPr>
            <w:tcW w:w="220" w:type="pct"/>
          </w:tcPr>
          <w:p w14:paraId="33A9325E" w14:textId="1862C985" w:rsidR="0062133D" w:rsidRPr="0083139B" w:rsidRDefault="008249FC">
            <w:pPr>
              <w:pStyle w:val="TableParagraph"/>
              <w:rPr>
                <w:rFonts w:ascii="Calibri" w:hAnsi="Calibri" w:cs="Calibri"/>
                <w:sz w:val="24"/>
                <w:szCs w:val="24"/>
              </w:rPr>
            </w:pPr>
            <w:r w:rsidRPr="0083139B">
              <w:rPr>
                <w:rFonts w:ascii="Calibri" w:hAnsi="Calibri" w:cs="Calibri"/>
                <w:sz w:val="24"/>
                <w:szCs w:val="24"/>
              </w:rPr>
              <w:lastRenderedPageBreak/>
              <w:t>£m</w:t>
            </w:r>
          </w:p>
        </w:tc>
        <w:tc>
          <w:tcPr>
            <w:tcW w:w="548" w:type="pct"/>
          </w:tcPr>
          <w:p w14:paraId="5C0A4FE7" w14:textId="240A797E" w:rsidR="00B30A41" w:rsidRPr="0083139B" w:rsidRDefault="005833EE" w:rsidP="00B30A41">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lastRenderedPageBreak/>
              <w:t>CWW3.4</w:t>
            </w:r>
            <w:r w:rsidRPr="0083139B">
              <w:rPr>
                <w:rFonts w:ascii="Calibri" w:hAnsi="Calibri" w:cs="Calibri"/>
                <w:sz w:val="24"/>
                <w:szCs w:val="24"/>
              </w:rPr>
              <w:t>-</w:t>
            </w:r>
          </w:p>
          <w:p w14:paraId="7CFE1051" w14:textId="5A9F4D93" w:rsidR="0062133D" w:rsidRPr="0083139B" w:rsidRDefault="00877526">
            <w:pPr>
              <w:pStyle w:val="TableParagraph"/>
              <w:rPr>
                <w:rFonts w:ascii="Calibri" w:hAnsi="Calibri" w:cs="Calibri"/>
                <w:sz w:val="24"/>
                <w:szCs w:val="24"/>
              </w:rPr>
            </w:pPr>
            <w:r w:rsidRPr="0083139B">
              <w:rPr>
                <w:rFonts w:ascii="Calibri" w:hAnsi="Calibri" w:cs="Calibri"/>
                <w:sz w:val="24"/>
                <w:szCs w:val="24"/>
              </w:rPr>
              <w:t>CWW3.</w:t>
            </w:r>
            <w:r w:rsidR="00B30A41" w:rsidRPr="0083139B">
              <w:rPr>
                <w:rFonts w:ascii="Calibri" w:hAnsi="Calibri" w:cs="Calibri"/>
                <w:sz w:val="24"/>
                <w:szCs w:val="24"/>
              </w:rPr>
              <w:t>6</w:t>
            </w:r>
          </w:p>
        </w:tc>
      </w:tr>
      <w:tr w:rsidR="000E54AC" w:rsidRPr="00280680" w14:paraId="5E0D8900" w14:textId="77777777" w:rsidTr="00D64130">
        <w:tc>
          <w:tcPr>
            <w:tcW w:w="438" w:type="pct"/>
          </w:tcPr>
          <w:p w14:paraId="55CE61B2" w14:textId="330CACE9" w:rsidR="0062133D" w:rsidRPr="0083139B" w:rsidRDefault="00BC027E">
            <w:pPr>
              <w:pStyle w:val="TableParagraph"/>
              <w:rPr>
                <w:rFonts w:ascii="Calibri" w:hAnsi="Calibri" w:cs="Calibri"/>
                <w:sz w:val="24"/>
                <w:szCs w:val="24"/>
              </w:rPr>
            </w:pPr>
            <w:r w:rsidRPr="0083139B">
              <w:rPr>
                <w:rFonts w:ascii="Calibri" w:hAnsi="Calibri" w:cs="Calibri"/>
                <w:sz w:val="24"/>
                <w:szCs w:val="24"/>
              </w:rPr>
              <w:lastRenderedPageBreak/>
              <w:t>9.7</w:t>
            </w:r>
          </w:p>
        </w:tc>
        <w:tc>
          <w:tcPr>
            <w:tcW w:w="730" w:type="pct"/>
          </w:tcPr>
          <w:p w14:paraId="6986DB41" w14:textId="3B13669A" w:rsidR="0062133D" w:rsidRPr="0083139B" w:rsidRDefault="00F67C25">
            <w:pPr>
              <w:pStyle w:val="TableParagraph"/>
              <w:rPr>
                <w:rFonts w:ascii="Calibri" w:hAnsi="Calibri" w:cs="Calibri"/>
                <w:sz w:val="24"/>
                <w:szCs w:val="24"/>
              </w:rPr>
            </w:pPr>
            <w:r>
              <w:rPr>
                <w:rFonts w:ascii="Calibri" w:hAnsi="Calibri" w:cs="Calibri"/>
                <w:sz w:val="24"/>
                <w:szCs w:val="24"/>
              </w:rPr>
              <w:t>Event duration and flow monitor</w:t>
            </w:r>
            <w:r w:rsidR="008E3051">
              <w:rPr>
                <w:rFonts w:ascii="Calibri" w:hAnsi="Calibri" w:cs="Calibri"/>
                <w:sz w:val="24"/>
                <w:szCs w:val="24"/>
              </w:rPr>
              <w:t>ing</w:t>
            </w:r>
            <w:r w:rsidR="0062133D" w:rsidRPr="0083139B">
              <w:rPr>
                <w:rFonts w:ascii="Calibri" w:hAnsi="Calibri" w:cs="Calibri"/>
                <w:sz w:val="24"/>
                <w:szCs w:val="24"/>
              </w:rPr>
              <w:t xml:space="preserve"> for </w:t>
            </w:r>
            <w:r w:rsidR="00BC027E" w:rsidRPr="0083139B">
              <w:rPr>
                <w:rFonts w:ascii="Calibri" w:hAnsi="Calibri" w:cs="Calibri"/>
                <w:sz w:val="24"/>
                <w:szCs w:val="24"/>
              </w:rPr>
              <w:t>wastewater</w:t>
            </w:r>
            <w:r w:rsidR="0062133D" w:rsidRPr="0083139B">
              <w:rPr>
                <w:rFonts w:ascii="Calibri" w:hAnsi="Calibri" w:cs="Calibri"/>
                <w:sz w:val="24"/>
                <w:szCs w:val="24"/>
              </w:rPr>
              <w:t xml:space="preserve"> pumping station emergency overflows</w:t>
            </w:r>
            <w:r w:rsidR="0062133D" w:rsidRPr="0083139B">
              <w:rPr>
                <w:rFonts w:ascii="Calibri" w:hAnsi="Calibri" w:cs="Calibri"/>
                <w:sz w:val="24"/>
                <w:szCs w:val="24"/>
              </w:rPr>
              <w:tab/>
            </w:r>
          </w:p>
        </w:tc>
        <w:tc>
          <w:tcPr>
            <w:tcW w:w="973" w:type="pct"/>
          </w:tcPr>
          <w:p w14:paraId="75963489" w14:textId="0D87B509" w:rsidR="0062133D" w:rsidRPr="0083139B" w:rsidRDefault="00BC027E">
            <w:pPr>
              <w:pStyle w:val="TableParagraph"/>
              <w:rPr>
                <w:rFonts w:ascii="Calibri" w:hAnsi="Calibri" w:cs="Calibri"/>
                <w:sz w:val="24"/>
                <w:szCs w:val="24"/>
              </w:rPr>
            </w:pPr>
            <w:r w:rsidRPr="0083139B">
              <w:rPr>
                <w:rFonts w:ascii="Calibri" w:hAnsi="Calibri" w:cs="Calibri"/>
                <w:sz w:val="24"/>
                <w:szCs w:val="24"/>
              </w:rPr>
              <w:t xml:space="preserve">New </w:t>
            </w:r>
            <w:r w:rsidR="00E77543">
              <w:rPr>
                <w:rFonts w:ascii="Calibri" w:hAnsi="Calibri" w:cs="Calibri"/>
                <w:sz w:val="24"/>
                <w:szCs w:val="24"/>
              </w:rPr>
              <w:t>event duration and flow</w:t>
            </w:r>
            <w:r w:rsidRPr="0083139B">
              <w:rPr>
                <w:rFonts w:ascii="Calibri" w:hAnsi="Calibri" w:cs="Calibri"/>
                <w:sz w:val="24"/>
                <w:szCs w:val="24"/>
              </w:rPr>
              <w:t xml:space="preserve"> monitors installed</w:t>
            </w:r>
          </w:p>
        </w:tc>
        <w:tc>
          <w:tcPr>
            <w:tcW w:w="2092" w:type="pct"/>
          </w:tcPr>
          <w:p w14:paraId="2D8B26EF" w14:textId="5EAC39B0" w:rsidR="00732E73"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schemes to provide monitoring at emergency </w:t>
            </w:r>
            <w:r w:rsidR="00BC027E" w:rsidRPr="0083139B">
              <w:rPr>
                <w:rFonts w:ascii="Calibri" w:hAnsi="Calibri" w:cs="Calibri"/>
                <w:sz w:val="24"/>
                <w:szCs w:val="24"/>
              </w:rPr>
              <w:t>wastewater</w:t>
            </w:r>
            <w:r w:rsidRPr="0083139B">
              <w:rPr>
                <w:rFonts w:ascii="Calibri" w:hAnsi="Calibri" w:cs="Calibri"/>
                <w:sz w:val="24"/>
                <w:szCs w:val="24"/>
              </w:rPr>
              <w:t xml:space="preserve"> pumping station overflows.</w:t>
            </w:r>
            <w:r w:rsidR="00C61604">
              <w:rPr>
                <w:rFonts w:ascii="Calibri" w:hAnsi="Calibri" w:cs="Calibri"/>
                <w:sz w:val="24"/>
                <w:szCs w:val="24"/>
              </w:rPr>
              <w:t xml:space="preserve"> </w:t>
            </w:r>
            <w:r w:rsidR="00620518">
              <w:rPr>
                <w:rFonts w:ascii="Calibri" w:hAnsi="Calibri" w:cs="Calibri"/>
                <w:sz w:val="24"/>
                <w:szCs w:val="24"/>
              </w:rPr>
              <w:t>Schemes include:</w:t>
            </w:r>
          </w:p>
          <w:p w14:paraId="4D1BC471" w14:textId="102E0DBA" w:rsidR="00620518" w:rsidRDefault="00950097" w:rsidP="000A01AB">
            <w:pPr>
              <w:pStyle w:val="TableParagraph"/>
              <w:numPr>
                <w:ilvl w:val="0"/>
                <w:numId w:val="18"/>
              </w:numPr>
              <w:rPr>
                <w:rFonts w:ascii="Calibri" w:hAnsi="Calibri" w:cs="Calibri"/>
                <w:sz w:val="24"/>
                <w:szCs w:val="24"/>
              </w:rPr>
            </w:pPr>
            <w:r>
              <w:rPr>
                <w:rFonts w:ascii="Calibri" w:hAnsi="Calibri" w:cs="Calibri"/>
                <w:sz w:val="24"/>
                <w:szCs w:val="24"/>
              </w:rPr>
              <w:t xml:space="preserve">Event duration monitors </w:t>
            </w:r>
            <w:r w:rsidR="00620518">
              <w:rPr>
                <w:rFonts w:ascii="Calibri" w:hAnsi="Calibri" w:cs="Calibri"/>
                <w:sz w:val="24"/>
                <w:szCs w:val="24"/>
              </w:rPr>
              <w:t>only,</w:t>
            </w:r>
          </w:p>
          <w:p w14:paraId="53F7DA16" w14:textId="643FC6F6" w:rsidR="00620518" w:rsidRDefault="00950097" w:rsidP="000A01AB">
            <w:pPr>
              <w:pStyle w:val="TableParagraph"/>
              <w:numPr>
                <w:ilvl w:val="0"/>
                <w:numId w:val="18"/>
              </w:numPr>
              <w:rPr>
                <w:rFonts w:ascii="Calibri" w:hAnsi="Calibri" w:cs="Calibri"/>
                <w:sz w:val="24"/>
                <w:szCs w:val="24"/>
              </w:rPr>
            </w:pPr>
            <w:r>
              <w:rPr>
                <w:rFonts w:ascii="Calibri" w:hAnsi="Calibri" w:cs="Calibri"/>
                <w:sz w:val="24"/>
                <w:szCs w:val="24"/>
              </w:rPr>
              <w:t>E</w:t>
            </w:r>
            <w:r w:rsidR="00767D50">
              <w:rPr>
                <w:rFonts w:ascii="Calibri" w:hAnsi="Calibri" w:cs="Calibri"/>
                <w:sz w:val="24"/>
                <w:szCs w:val="24"/>
              </w:rPr>
              <w:t>vent duration monitors</w:t>
            </w:r>
            <w:r w:rsidR="00620518">
              <w:rPr>
                <w:rFonts w:ascii="Calibri" w:hAnsi="Calibri" w:cs="Calibri"/>
                <w:sz w:val="24"/>
                <w:szCs w:val="24"/>
              </w:rPr>
              <w:t xml:space="preserve"> and civils,</w:t>
            </w:r>
          </w:p>
          <w:p w14:paraId="23414B8F" w14:textId="7DC0C13A" w:rsidR="00620518" w:rsidRDefault="00767D50" w:rsidP="000A01AB">
            <w:pPr>
              <w:pStyle w:val="TableParagraph"/>
              <w:numPr>
                <w:ilvl w:val="0"/>
                <w:numId w:val="18"/>
              </w:numPr>
              <w:rPr>
                <w:rFonts w:ascii="Calibri" w:hAnsi="Calibri" w:cs="Calibri"/>
                <w:sz w:val="24"/>
                <w:szCs w:val="24"/>
              </w:rPr>
            </w:pPr>
            <w:r>
              <w:rPr>
                <w:rFonts w:ascii="Calibri" w:hAnsi="Calibri" w:cs="Calibri"/>
                <w:sz w:val="24"/>
                <w:szCs w:val="24"/>
              </w:rPr>
              <w:t>Event duration monitors</w:t>
            </w:r>
            <w:r w:rsidR="00620518">
              <w:rPr>
                <w:rFonts w:ascii="Calibri" w:hAnsi="Calibri" w:cs="Calibri"/>
                <w:sz w:val="24"/>
                <w:szCs w:val="24"/>
              </w:rPr>
              <w:t xml:space="preserve"> and pass forward flow monitor,</w:t>
            </w:r>
          </w:p>
          <w:p w14:paraId="32C447BD" w14:textId="442E0978" w:rsidR="00D1674E" w:rsidRDefault="00767D50" w:rsidP="000A01AB">
            <w:pPr>
              <w:pStyle w:val="TableParagraph"/>
              <w:numPr>
                <w:ilvl w:val="0"/>
                <w:numId w:val="18"/>
              </w:numPr>
              <w:rPr>
                <w:rFonts w:ascii="Calibri" w:hAnsi="Calibri" w:cs="Calibri"/>
                <w:sz w:val="24"/>
                <w:szCs w:val="24"/>
              </w:rPr>
            </w:pPr>
            <w:r>
              <w:rPr>
                <w:rFonts w:ascii="Calibri" w:hAnsi="Calibri" w:cs="Calibri"/>
                <w:sz w:val="24"/>
                <w:szCs w:val="24"/>
              </w:rPr>
              <w:t>Event duration monitors</w:t>
            </w:r>
            <w:r w:rsidR="00620518">
              <w:rPr>
                <w:rFonts w:ascii="Calibri" w:hAnsi="Calibri" w:cs="Calibri"/>
                <w:sz w:val="24"/>
                <w:szCs w:val="24"/>
              </w:rPr>
              <w:t xml:space="preserve"> and</w:t>
            </w:r>
            <w:r w:rsidR="00D1674E">
              <w:rPr>
                <w:rFonts w:ascii="Calibri" w:hAnsi="Calibri" w:cs="Calibri"/>
                <w:sz w:val="24"/>
                <w:szCs w:val="24"/>
              </w:rPr>
              <w:t xml:space="preserve"> pass forward flow monitor and civils, or</w:t>
            </w:r>
          </w:p>
          <w:p w14:paraId="61D54853" w14:textId="7A44DFE8" w:rsidR="00B30A41" w:rsidRPr="0083139B" w:rsidRDefault="00D1674E" w:rsidP="000A01AB">
            <w:pPr>
              <w:pStyle w:val="TableParagraph"/>
              <w:numPr>
                <w:ilvl w:val="0"/>
                <w:numId w:val="18"/>
              </w:numPr>
              <w:rPr>
                <w:rFonts w:ascii="Calibri" w:hAnsi="Calibri" w:cs="Calibri"/>
                <w:sz w:val="24"/>
                <w:szCs w:val="24"/>
              </w:rPr>
            </w:pPr>
            <w:r>
              <w:rPr>
                <w:rFonts w:ascii="Calibri" w:hAnsi="Calibri" w:cs="Calibri"/>
                <w:sz w:val="24"/>
                <w:szCs w:val="24"/>
              </w:rPr>
              <w:t>Permit change only.</w:t>
            </w:r>
            <w:r w:rsidR="00620518">
              <w:rPr>
                <w:rFonts w:ascii="Calibri" w:hAnsi="Calibri" w:cs="Calibri"/>
                <w:sz w:val="24"/>
                <w:szCs w:val="24"/>
              </w:rPr>
              <w:t xml:space="preserve"> </w:t>
            </w:r>
          </w:p>
        </w:tc>
        <w:tc>
          <w:tcPr>
            <w:tcW w:w="220" w:type="pct"/>
          </w:tcPr>
          <w:p w14:paraId="1E6A6980" w14:textId="4BDC69D7"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23399383" w14:textId="7511C935" w:rsidR="00300A89" w:rsidRPr="0083139B" w:rsidRDefault="000B47A0" w:rsidP="00300A89">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t>CWW3.10</w:t>
            </w:r>
            <w:r w:rsidRPr="0083139B">
              <w:rPr>
                <w:rFonts w:ascii="Calibri" w:hAnsi="Calibri" w:cs="Calibri"/>
                <w:sz w:val="24"/>
                <w:szCs w:val="24"/>
              </w:rPr>
              <w:t>-</w:t>
            </w:r>
          </w:p>
          <w:p w14:paraId="462A4107" w14:textId="1A2A5E36" w:rsidR="0062133D" w:rsidRPr="0083139B" w:rsidRDefault="00300A89">
            <w:pPr>
              <w:pStyle w:val="TableParagraph"/>
              <w:rPr>
                <w:rFonts w:ascii="Calibri" w:hAnsi="Calibri" w:cs="Calibri"/>
                <w:sz w:val="24"/>
                <w:szCs w:val="24"/>
              </w:rPr>
            </w:pPr>
            <w:r w:rsidRPr="0083139B">
              <w:rPr>
                <w:rFonts w:ascii="Calibri" w:hAnsi="Calibri" w:cs="Calibri"/>
                <w:sz w:val="24"/>
                <w:szCs w:val="24"/>
              </w:rPr>
              <w:t>CWW3.12</w:t>
            </w:r>
          </w:p>
        </w:tc>
      </w:tr>
      <w:tr w:rsidR="000E54AC" w:rsidRPr="00280680" w14:paraId="3EE2C867" w14:textId="77777777" w:rsidTr="00D64130">
        <w:tc>
          <w:tcPr>
            <w:tcW w:w="438" w:type="pct"/>
          </w:tcPr>
          <w:p w14:paraId="484DAE93" w14:textId="08523B64" w:rsidR="0062133D" w:rsidRPr="0083139B" w:rsidRDefault="00BC027E">
            <w:pPr>
              <w:pStyle w:val="TableParagraph"/>
              <w:rPr>
                <w:rFonts w:ascii="Calibri" w:hAnsi="Calibri" w:cs="Calibri"/>
                <w:sz w:val="24"/>
                <w:szCs w:val="24"/>
              </w:rPr>
            </w:pPr>
            <w:r w:rsidRPr="0083139B">
              <w:rPr>
                <w:rFonts w:ascii="Calibri" w:hAnsi="Calibri" w:cs="Calibri"/>
                <w:sz w:val="24"/>
                <w:szCs w:val="24"/>
              </w:rPr>
              <w:t>9.8</w:t>
            </w:r>
          </w:p>
        </w:tc>
        <w:tc>
          <w:tcPr>
            <w:tcW w:w="730" w:type="pct"/>
          </w:tcPr>
          <w:p w14:paraId="672F149E" w14:textId="448BFE7C" w:rsidR="0062133D" w:rsidRPr="0083139B" w:rsidRDefault="0062133D">
            <w:pPr>
              <w:pStyle w:val="TableParagraph"/>
              <w:rPr>
                <w:rFonts w:ascii="Calibri" w:hAnsi="Calibri" w:cs="Calibri"/>
                <w:sz w:val="24"/>
                <w:szCs w:val="24"/>
              </w:rPr>
            </w:pPr>
            <w:r w:rsidRPr="0083139B">
              <w:rPr>
                <w:rFonts w:ascii="Calibri" w:hAnsi="Calibri" w:cs="Calibri"/>
                <w:sz w:val="24"/>
                <w:szCs w:val="24"/>
              </w:rPr>
              <w:t>Chemicals removal</w:t>
            </w:r>
            <w:r w:rsidRPr="0083139B">
              <w:rPr>
                <w:rFonts w:ascii="Calibri" w:hAnsi="Calibri" w:cs="Calibri"/>
                <w:sz w:val="24"/>
                <w:szCs w:val="24"/>
              </w:rPr>
              <w:tab/>
            </w:r>
            <w:r w:rsidRPr="0083139B">
              <w:rPr>
                <w:rFonts w:ascii="Calibri" w:hAnsi="Calibri" w:cs="Calibri"/>
                <w:sz w:val="24"/>
                <w:szCs w:val="24"/>
              </w:rPr>
              <w:tab/>
            </w:r>
          </w:p>
        </w:tc>
        <w:tc>
          <w:tcPr>
            <w:tcW w:w="973" w:type="pct"/>
          </w:tcPr>
          <w:p w14:paraId="1436DBBA" w14:textId="3FA3A029" w:rsidR="0062133D" w:rsidRPr="0083139B" w:rsidRDefault="00FD7FAF">
            <w:pPr>
              <w:pStyle w:val="TableParagraph"/>
              <w:rPr>
                <w:rFonts w:ascii="Calibri" w:hAnsi="Calibri" w:cs="Calibri"/>
                <w:sz w:val="24"/>
                <w:szCs w:val="24"/>
              </w:rPr>
            </w:pPr>
            <w:r w:rsidRPr="0083139B">
              <w:rPr>
                <w:rFonts w:ascii="Calibri" w:hAnsi="Calibri" w:cs="Calibri"/>
                <w:sz w:val="24"/>
                <w:szCs w:val="24"/>
              </w:rPr>
              <w:t>Treatment for chemical removal</w:t>
            </w:r>
          </w:p>
        </w:tc>
        <w:tc>
          <w:tcPr>
            <w:tcW w:w="2092" w:type="pct"/>
          </w:tcPr>
          <w:p w14:paraId="2335E0C7" w14:textId="77777777" w:rsidR="00B30A41" w:rsidRDefault="00B30A41" w:rsidP="00B30A41">
            <w:pPr>
              <w:pStyle w:val="TableParagraph"/>
              <w:rPr>
                <w:rFonts w:ascii="Calibri" w:hAnsi="Calibri" w:cs="Calibri"/>
                <w:sz w:val="24"/>
                <w:szCs w:val="24"/>
              </w:rPr>
            </w:pPr>
            <w:r w:rsidRPr="0083139B">
              <w:rPr>
                <w:rFonts w:ascii="Calibri" w:hAnsi="Calibri" w:cs="Calibri"/>
                <w:sz w:val="24"/>
                <w:szCs w:val="24"/>
              </w:rPr>
              <w:t>Expenditure on improvements to achieve good chemical status or to prevent deterioration in chemical status or to achieve standstill limits for chemicals</w:t>
            </w:r>
            <w:r w:rsidR="00077A6D">
              <w:rPr>
                <w:rFonts w:ascii="Calibri" w:hAnsi="Calibri" w:cs="Calibri"/>
                <w:sz w:val="24"/>
                <w:szCs w:val="24"/>
              </w:rPr>
              <w:t>, which include</w:t>
            </w:r>
            <w:r w:rsidR="004C4721">
              <w:rPr>
                <w:rFonts w:ascii="Calibri" w:hAnsi="Calibri" w:cs="Calibri"/>
                <w:sz w:val="24"/>
                <w:szCs w:val="24"/>
              </w:rPr>
              <w:t>:</w:t>
            </w:r>
          </w:p>
          <w:p w14:paraId="104F0EA7" w14:textId="77777777" w:rsidR="004C4721" w:rsidRDefault="004C4721" w:rsidP="000A01AB">
            <w:pPr>
              <w:pStyle w:val="TableParagraph"/>
              <w:numPr>
                <w:ilvl w:val="0"/>
                <w:numId w:val="22"/>
              </w:numPr>
              <w:rPr>
                <w:rFonts w:ascii="Calibri" w:hAnsi="Calibri" w:cs="Calibri"/>
                <w:sz w:val="24"/>
                <w:szCs w:val="24"/>
              </w:rPr>
            </w:pPr>
            <w:r>
              <w:rPr>
                <w:rFonts w:ascii="Calibri" w:hAnsi="Calibri" w:cs="Calibri"/>
                <w:sz w:val="24"/>
                <w:szCs w:val="24"/>
              </w:rPr>
              <w:t>Treatment solutions,</w:t>
            </w:r>
          </w:p>
          <w:p w14:paraId="7A11A46C" w14:textId="44D29E67" w:rsidR="00B30A41" w:rsidRPr="0083139B" w:rsidRDefault="004C4721" w:rsidP="000A01AB">
            <w:pPr>
              <w:pStyle w:val="TableParagraph"/>
              <w:numPr>
                <w:ilvl w:val="0"/>
                <w:numId w:val="22"/>
              </w:numPr>
              <w:rPr>
                <w:rFonts w:ascii="Calibri" w:hAnsi="Calibri" w:cs="Calibri"/>
                <w:sz w:val="24"/>
                <w:szCs w:val="24"/>
              </w:rPr>
            </w:pPr>
            <w:r>
              <w:rPr>
                <w:rFonts w:ascii="Calibri" w:hAnsi="Calibri" w:cs="Calibri"/>
                <w:sz w:val="24"/>
                <w:szCs w:val="24"/>
              </w:rPr>
              <w:t>Permitting changes</w:t>
            </w:r>
            <w:r w:rsidR="005F039F">
              <w:rPr>
                <w:rFonts w:ascii="Calibri" w:hAnsi="Calibri" w:cs="Calibri"/>
                <w:sz w:val="24"/>
                <w:szCs w:val="24"/>
              </w:rPr>
              <w:t>.</w:t>
            </w:r>
          </w:p>
        </w:tc>
        <w:tc>
          <w:tcPr>
            <w:tcW w:w="220" w:type="pct"/>
          </w:tcPr>
          <w:p w14:paraId="17981862" w14:textId="5195C775"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1C22E9D3" w14:textId="50B562D1" w:rsidR="00B519FB" w:rsidRPr="0083139B" w:rsidRDefault="000B47A0" w:rsidP="00B519FB">
            <w:pPr>
              <w:pStyle w:val="TableParagraph"/>
              <w:rPr>
                <w:rFonts w:ascii="Calibri" w:hAnsi="Calibri" w:cs="Calibri"/>
                <w:sz w:val="24"/>
                <w:szCs w:val="24"/>
              </w:rPr>
            </w:pPr>
            <w:r w:rsidRPr="0083139B">
              <w:rPr>
                <w:rFonts w:ascii="Calibri" w:hAnsi="Calibri" w:cs="Calibri"/>
                <w:sz w:val="24"/>
                <w:szCs w:val="24"/>
              </w:rPr>
              <w:t xml:space="preserve">Sum together </w:t>
            </w:r>
            <w:r w:rsidR="00486611">
              <w:rPr>
                <w:rFonts w:ascii="Calibri" w:hAnsi="Calibri" w:cs="Calibri"/>
                <w:sz w:val="24"/>
                <w:szCs w:val="24"/>
              </w:rPr>
              <w:t xml:space="preserve">Ofwat </w:t>
            </w:r>
            <w:r w:rsidR="00BC027E" w:rsidRPr="0083139B">
              <w:rPr>
                <w:rFonts w:ascii="Calibri" w:hAnsi="Calibri" w:cs="Calibri"/>
                <w:sz w:val="24"/>
                <w:szCs w:val="24"/>
              </w:rPr>
              <w:t>CWW3.49</w:t>
            </w:r>
            <w:r w:rsidRPr="0083139B">
              <w:rPr>
                <w:rFonts w:ascii="Calibri" w:hAnsi="Calibri" w:cs="Calibri"/>
                <w:sz w:val="24"/>
                <w:szCs w:val="24"/>
              </w:rPr>
              <w:t>-</w:t>
            </w:r>
          </w:p>
          <w:p w14:paraId="40EC28B7" w14:textId="45CD9BBE" w:rsidR="0062133D" w:rsidRPr="0083139B" w:rsidRDefault="00B519FB">
            <w:pPr>
              <w:pStyle w:val="TableParagraph"/>
              <w:rPr>
                <w:rFonts w:ascii="Calibri" w:hAnsi="Calibri" w:cs="Calibri"/>
                <w:sz w:val="24"/>
                <w:szCs w:val="24"/>
              </w:rPr>
            </w:pPr>
            <w:r w:rsidRPr="0083139B">
              <w:rPr>
                <w:rFonts w:ascii="Calibri" w:hAnsi="Calibri" w:cs="Calibri"/>
                <w:sz w:val="24"/>
                <w:szCs w:val="24"/>
              </w:rPr>
              <w:t>CWW3.51</w:t>
            </w:r>
          </w:p>
        </w:tc>
      </w:tr>
    </w:tbl>
    <w:p w14:paraId="5807D658" w14:textId="77777777" w:rsidR="0062133D" w:rsidRDefault="0062133D" w:rsidP="007A67EB"/>
    <w:p w14:paraId="067AF35B" w14:textId="5902B5DD" w:rsidR="00A908C1" w:rsidRDefault="00A908C1" w:rsidP="007A67EB">
      <w:r>
        <w:t>For the following</w:t>
      </w:r>
      <w:r w:rsidR="00B81B86">
        <w:t xml:space="preserve"> activities, please provide </w:t>
      </w:r>
      <w:r w:rsidR="00D0292D">
        <w:t xml:space="preserve">the associated benefit in the form of </w:t>
      </w:r>
      <w:r w:rsidR="00100270">
        <w:t xml:space="preserve">reduced leakage over the </w:t>
      </w:r>
      <w:r w:rsidR="003B666C">
        <w:t>SRC27 period</w:t>
      </w:r>
      <w:r w:rsidR="00D27901">
        <w:t>.</w:t>
      </w:r>
    </w:p>
    <w:p w14:paraId="0319D0B0" w14:textId="77777777" w:rsidR="00D27901" w:rsidRDefault="00D27901" w:rsidP="007A67EB"/>
    <w:tbl>
      <w:tblPr>
        <w:tblStyle w:val="Blueline"/>
        <w:tblW w:w="5000" w:type="pct"/>
        <w:tblLook w:val="04A0" w:firstRow="1" w:lastRow="0" w:firstColumn="1" w:lastColumn="0" w:noHBand="0" w:noVBand="1"/>
      </w:tblPr>
      <w:tblGrid>
        <w:gridCol w:w="1277"/>
        <w:gridCol w:w="1985"/>
        <w:gridCol w:w="2551"/>
        <w:gridCol w:w="6379"/>
        <w:gridCol w:w="1134"/>
        <w:gridCol w:w="1244"/>
      </w:tblGrid>
      <w:tr w:rsidR="00076AFD" w:rsidRPr="008601AF" w14:paraId="48944D2B" w14:textId="77777777" w:rsidTr="00954233">
        <w:trPr>
          <w:cnfStyle w:val="100000000000" w:firstRow="1" w:lastRow="0" w:firstColumn="0" w:lastColumn="0" w:oddVBand="0" w:evenVBand="0" w:oddHBand="0" w:evenHBand="0" w:firstRowFirstColumn="0" w:firstRowLastColumn="0" w:lastRowFirstColumn="0" w:lastRowLastColumn="0"/>
          <w:tblHeader/>
        </w:trPr>
        <w:tc>
          <w:tcPr>
            <w:tcW w:w="0" w:type="pct"/>
          </w:tcPr>
          <w:p w14:paraId="3307898E" w14:textId="4407076D" w:rsidR="00076AFD" w:rsidRPr="0083139B" w:rsidRDefault="00076AFD">
            <w:pPr>
              <w:pStyle w:val="TableParagraph"/>
              <w:rPr>
                <w:rFonts w:ascii="Calibri" w:hAnsi="Calibri" w:cs="Calibri"/>
                <w:sz w:val="24"/>
                <w:szCs w:val="24"/>
              </w:rPr>
            </w:pPr>
            <w:r w:rsidRPr="0083139B">
              <w:rPr>
                <w:rFonts w:ascii="Calibri" w:hAnsi="Calibri" w:cs="Calibri"/>
                <w:sz w:val="24"/>
                <w:szCs w:val="24"/>
              </w:rPr>
              <w:lastRenderedPageBreak/>
              <w:t>Line</w:t>
            </w:r>
            <w:r w:rsidR="00BF3BBC" w:rsidRPr="0083139B">
              <w:rPr>
                <w:rFonts w:ascii="Calibri" w:hAnsi="Calibri" w:cs="Calibri"/>
                <w:sz w:val="24"/>
                <w:szCs w:val="24"/>
              </w:rPr>
              <w:t xml:space="preserve"> Reference</w:t>
            </w:r>
          </w:p>
        </w:tc>
        <w:tc>
          <w:tcPr>
            <w:tcW w:w="0" w:type="pct"/>
          </w:tcPr>
          <w:p w14:paraId="4334EE71"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Title</w:t>
            </w:r>
          </w:p>
        </w:tc>
        <w:tc>
          <w:tcPr>
            <w:tcW w:w="0" w:type="pct"/>
          </w:tcPr>
          <w:p w14:paraId="60AC476E" w14:textId="0196C49A" w:rsidR="00076AFD" w:rsidRPr="0083139B" w:rsidRDefault="00076AFD">
            <w:pPr>
              <w:pStyle w:val="TableParagraph"/>
              <w:rPr>
                <w:rFonts w:ascii="Calibri" w:hAnsi="Calibri" w:cs="Calibri"/>
                <w:sz w:val="24"/>
                <w:szCs w:val="24"/>
              </w:rPr>
            </w:pPr>
            <w:r w:rsidRPr="0083139B">
              <w:rPr>
                <w:rFonts w:ascii="Calibri" w:hAnsi="Calibri" w:cs="Calibri"/>
                <w:sz w:val="24"/>
                <w:szCs w:val="24"/>
              </w:rPr>
              <w:t>Service</w:t>
            </w:r>
          </w:p>
        </w:tc>
        <w:tc>
          <w:tcPr>
            <w:tcW w:w="0" w:type="pct"/>
          </w:tcPr>
          <w:p w14:paraId="695DEC24" w14:textId="528AEA9D" w:rsidR="00076AFD" w:rsidRPr="0083139B" w:rsidRDefault="00076AFD">
            <w:pPr>
              <w:pStyle w:val="TableParagraph"/>
              <w:rPr>
                <w:rFonts w:ascii="Calibri" w:hAnsi="Calibri" w:cs="Calibri"/>
                <w:sz w:val="24"/>
                <w:szCs w:val="24"/>
              </w:rPr>
            </w:pPr>
            <w:r w:rsidRPr="0083139B">
              <w:rPr>
                <w:rFonts w:ascii="Calibri" w:hAnsi="Calibri" w:cs="Calibri"/>
                <w:sz w:val="24"/>
                <w:szCs w:val="24"/>
              </w:rPr>
              <w:t>Definition</w:t>
            </w:r>
          </w:p>
        </w:tc>
        <w:tc>
          <w:tcPr>
            <w:tcW w:w="0" w:type="pct"/>
          </w:tcPr>
          <w:p w14:paraId="4C3D33C2" w14:textId="487270CB" w:rsidR="00076AFD" w:rsidRPr="0083139B" w:rsidRDefault="00076AFD">
            <w:pPr>
              <w:pStyle w:val="TableParagraph"/>
              <w:rPr>
                <w:rFonts w:ascii="Calibri" w:hAnsi="Calibri" w:cs="Calibri"/>
                <w:sz w:val="24"/>
                <w:szCs w:val="24"/>
              </w:rPr>
            </w:pPr>
            <w:r w:rsidRPr="0083139B">
              <w:rPr>
                <w:rFonts w:ascii="Calibri" w:hAnsi="Calibri" w:cs="Calibri"/>
                <w:sz w:val="24"/>
                <w:szCs w:val="24"/>
              </w:rPr>
              <w:t xml:space="preserve">Unit </w:t>
            </w:r>
          </w:p>
        </w:tc>
        <w:tc>
          <w:tcPr>
            <w:tcW w:w="0" w:type="pct"/>
          </w:tcPr>
          <w:p w14:paraId="62F7696C"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Reference</w:t>
            </w:r>
          </w:p>
        </w:tc>
      </w:tr>
      <w:tr w:rsidR="00076AFD" w:rsidRPr="008601AF" w14:paraId="4B39250D" w14:textId="77777777" w:rsidTr="00F56EF2">
        <w:tc>
          <w:tcPr>
            <w:tcW w:w="438" w:type="pct"/>
          </w:tcPr>
          <w:p w14:paraId="7C614AE7" w14:textId="3C1ED31F" w:rsidR="00076AFD" w:rsidRPr="0083139B" w:rsidRDefault="00BC027E">
            <w:pPr>
              <w:pStyle w:val="TableParagraph"/>
              <w:rPr>
                <w:rFonts w:ascii="Calibri" w:hAnsi="Calibri" w:cs="Calibri"/>
                <w:sz w:val="24"/>
                <w:szCs w:val="24"/>
              </w:rPr>
            </w:pPr>
            <w:r w:rsidRPr="0083139B">
              <w:rPr>
                <w:rFonts w:ascii="Calibri" w:hAnsi="Calibri" w:cs="Calibri"/>
                <w:sz w:val="24"/>
                <w:szCs w:val="24"/>
              </w:rPr>
              <w:t>9.1a</w:t>
            </w:r>
          </w:p>
        </w:tc>
        <w:tc>
          <w:tcPr>
            <w:tcW w:w="681" w:type="pct"/>
          </w:tcPr>
          <w:p w14:paraId="3B6FFE1F" w14:textId="2232D52B" w:rsidR="00076AFD"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r w:rsidRPr="0083139B">
              <w:rPr>
                <w:rFonts w:ascii="Calibri" w:hAnsi="Calibri" w:cs="Calibri"/>
                <w:sz w:val="24"/>
                <w:szCs w:val="24"/>
              </w:rPr>
              <w:tab/>
            </w:r>
          </w:p>
        </w:tc>
        <w:tc>
          <w:tcPr>
            <w:tcW w:w="875" w:type="pct"/>
          </w:tcPr>
          <w:p w14:paraId="0E022769"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Mains replacement </w:t>
            </w:r>
          </w:p>
          <w:p w14:paraId="5274B358" w14:textId="2584870E" w:rsidR="00076AFD" w:rsidRPr="0083139B" w:rsidRDefault="00076AFD">
            <w:pPr>
              <w:pStyle w:val="TableParagraph"/>
              <w:rPr>
                <w:rFonts w:ascii="Calibri" w:hAnsi="Calibri" w:cs="Calibri"/>
                <w:sz w:val="24"/>
                <w:szCs w:val="24"/>
              </w:rPr>
            </w:pPr>
          </w:p>
        </w:tc>
        <w:tc>
          <w:tcPr>
            <w:tcW w:w="2189" w:type="pct"/>
          </w:tcPr>
          <w:p w14:paraId="3E6F27AA" w14:textId="311A15E9" w:rsidR="00076AFD" w:rsidRPr="0083139B" w:rsidRDefault="00140A46">
            <w:pPr>
              <w:pStyle w:val="TableParagraph"/>
              <w:rPr>
                <w:rFonts w:ascii="Calibri" w:hAnsi="Calibri" w:cs="Calibri"/>
                <w:sz w:val="24"/>
                <w:szCs w:val="24"/>
              </w:rPr>
            </w:pPr>
            <w:r w:rsidRPr="0083139B">
              <w:rPr>
                <w:rFonts w:ascii="Calibri" w:hAnsi="Calibri" w:cs="Calibri"/>
                <w:sz w:val="24"/>
                <w:szCs w:val="24"/>
              </w:rPr>
              <w:t xml:space="preserve">The </w:t>
            </w:r>
            <w:r w:rsidR="00DC2D3A" w:rsidRPr="0083139B">
              <w:rPr>
                <w:rFonts w:ascii="Calibri" w:hAnsi="Calibri" w:cs="Calibri"/>
                <w:sz w:val="24"/>
                <w:szCs w:val="24"/>
              </w:rPr>
              <w:t xml:space="preserve">reduced leakage due to </w:t>
            </w:r>
            <w:r w:rsidR="00DB776B" w:rsidRPr="0083139B">
              <w:rPr>
                <w:rFonts w:ascii="Calibri" w:hAnsi="Calibri" w:cs="Calibri"/>
                <w:sz w:val="24"/>
                <w:szCs w:val="24"/>
              </w:rPr>
              <w:t xml:space="preserve">mains replacement </w:t>
            </w:r>
            <w:r w:rsidR="000726B3" w:rsidRPr="0083139B">
              <w:rPr>
                <w:rFonts w:ascii="Calibri" w:hAnsi="Calibri" w:cs="Calibri"/>
                <w:sz w:val="24"/>
                <w:szCs w:val="24"/>
              </w:rPr>
              <w:t>programmes</w:t>
            </w:r>
            <w:r w:rsidR="00633A6C" w:rsidRPr="0083139B">
              <w:rPr>
                <w:rFonts w:ascii="Calibri" w:hAnsi="Calibri" w:cs="Calibri"/>
                <w:sz w:val="24"/>
                <w:szCs w:val="24"/>
              </w:rPr>
              <w:t xml:space="preserve"> </w:t>
            </w:r>
            <w:r w:rsidR="008F5C75" w:rsidRPr="0083139B">
              <w:rPr>
                <w:rFonts w:ascii="Calibri" w:hAnsi="Calibri" w:cs="Calibri"/>
                <w:sz w:val="24"/>
                <w:szCs w:val="24"/>
              </w:rPr>
              <w:t>with</w:t>
            </w:r>
            <w:r w:rsidR="00633A6C" w:rsidRPr="0083139B">
              <w:rPr>
                <w:rFonts w:ascii="Calibri" w:hAnsi="Calibri" w:cs="Calibri"/>
                <w:sz w:val="24"/>
                <w:szCs w:val="24"/>
              </w:rPr>
              <w:t xml:space="preserve"> the purpose of leakage enhancement</w:t>
            </w:r>
            <w:r w:rsidR="00DB776B" w:rsidRPr="0083139B">
              <w:rPr>
                <w:rFonts w:ascii="Calibri" w:hAnsi="Calibri" w:cs="Calibri"/>
                <w:sz w:val="24"/>
                <w:szCs w:val="24"/>
              </w:rPr>
              <w:t>.</w:t>
            </w:r>
          </w:p>
        </w:tc>
        <w:tc>
          <w:tcPr>
            <w:tcW w:w="389" w:type="pct"/>
          </w:tcPr>
          <w:p w14:paraId="621106C4" w14:textId="1FF2BDFC" w:rsidR="00076AFD" w:rsidRPr="0083139B" w:rsidRDefault="00076AFD">
            <w:pPr>
              <w:pStyle w:val="TableParagraph"/>
              <w:rPr>
                <w:rFonts w:ascii="Calibri" w:hAnsi="Calibri" w:cs="Calibri"/>
                <w:sz w:val="24"/>
                <w:szCs w:val="24"/>
              </w:rPr>
            </w:pPr>
            <w:r w:rsidRPr="0083139B">
              <w:rPr>
                <w:rFonts w:ascii="Calibri" w:hAnsi="Calibri" w:cs="Calibri"/>
                <w:sz w:val="24"/>
                <w:szCs w:val="24"/>
              </w:rPr>
              <w:t>Ml/d</w:t>
            </w:r>
          </w:p>
        </w:tc>
        <w:tc>
          <w:tcPr>
            <w:tcW w:w="427" w:type="pct"/>
          </w:tcPr>
          <w:p w14:paraId="423D7833" w14:textId="380A0E09" w:rsidR="00076AFD"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r w:rsidR="00CA0A91" w:rsidRPr="008601AF" w14:paraId="425F15F9" w14:textId="77777777" w:rsidTr="00F56EF2">
        <w:tc>
          <w:tcPr>
            <w:tcW w:w="438" w:type="pct"/>
          </w:tcPr>
          <w:p w14:paraId="49D187E4" w14:textId="05960EF4" w:rsidR="00CA0A91" w:rsidRPr="0083139B" w:rsidRDefault="00BC027E">
            <w:pPr>
              <w:pStyle w:val="TableParagraph"/>
              <w:rPr>
                <w:rFonts w:ascii="Calibri" w:hAnsi="Calibri" w:cs="Calibri"/>
                <w:sz w:val="24"/>
                <w:szCs w:val="24"/>
              </w:rPr>
            </w:pPr>
            <w:r w:rsidRPr="0083139B">
              <w:rPr>
                <w:rFonts w:ascii="Calibri" w:hAnsi="Calibri" w:cs="Calibri"/>
                <w:sz w:val="24"/>
                <w:szCs w:val="24"/>
              </w:rPr>
              <w:t>9.1b</w:t>
            </w:r>
          </w:p>
        </w:tc>
        <w:tc>
          <w:tcPr>
            <w:tcW w:w="681" w:type="pct"/>
          </w:tcPr>
          <w:p w14:paraId="065707BB" w14:textId="12549DE5" w:rsidR="00CA0A91"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p>
        </w:tc>
        <w:tc>
          <w:tcPr>
            <w:tcW w:w="875" w:type="pct"/>
          </w:tcPr>
          <w:p w14:paraId="466860FE" w14:textId="77777777" w:rsidR="00CA0A91" w:rsidRPr="0083139B" w:rsidRDefault="00CA0A91" w:rsidP="00CA0A91">
            <w:pPr>
              <w:pStyle w:val="TableParagraph"/>
              <w:rPr>
                <w:rFonts w:ascii="Calibri" w:hAnsi="Calibri" w:cs="Calibri"/>
                <w:sz w:val="24"/>
                <w:szCs w:val="24"/>
              </w:rPr>
            </w:pPr>
            <w:r w:rsidRPr="0083139B">
              <w:rPr>
                <w:rFonts w:ascii="Calibri" w:hAnsi="Calibri" w:cs="Calibri"/>
                <w:sz w:val="24"/>
                <w:szCs w:val="24"/>
              </w:rPr>
              <w:t>Customer side leakage</w:t>
            </w:r>
          </w:p>
          <w:p w14:paraId="53D03280" w14:textId="77777777" w:rsidR="00CA0A91" w:rsidRPr="0083139B" w:rsidRDefault="00CA0A91">
            <w:pPr>
              <w:pStyle w:val="TableParagraph"/>
              <w:rPr>
                <w:rFonts w:ascii="Calibri" w:hAnsi="Calibri" w:cs="Calibri"/>
                <w:sz w:val="24"/>
                <w:szCs w:val="24"/>
              </w:rPr>
            </w:pPr>
          </w:p>
        </w:tc>
        <w:tc>
          <w:tcPr>
            <w:tcW w:w="2189" w:type="pct"/>
          </w:tcPr>
          <w:p w14:paraId="752E40B9" w14:textId="625C9B68" w:rsidR="00CA0A91" w:rsidRPr="0083139B" w:rsidRDefault="00DB776B">
            <w:pPr>
              <w:pStyle w:val="TableParagraph"/>
              <w:rPr>
                <w:rFonts w:ascii="Calibri" w:hAnsi="Calibri" w:cs="Calibri"/>
                <w:sz w:val="24"/>
                <w:szCs w:val="24"/>
              </w:rPr>
            </w:pPr>
            <w:r w:rsidRPr="0083139B">
              <w:rPr>
                <w:rFonts w:ascii="Calibri" w:hAnsi="Calibri" w:cs="Calibri"/>
                <w:sz w:val="24"/>
                <w:szCs w:val="24"/>
              </w:rPr>
              <w:t xml:space="preserve">The reduced leakage due to </w:t>
            </w:r>
            <w:r w:rsidR="000726B3" w:rsidRPr="0083139B">
              <w:rPr>
                <w:rFonts w:ascii="Calibri" w:hAnsi="Calibri" w:cs="Calibri"/>
                <w:sz w:val="24"/>
                <w:szCs w:val="24"/>
              </w:rPr>
              <w:t xml:space="preserve">programmes </w:t>
            </w:r>
            <w:r w:rsidR="003C0D5A" w:rsidRPr="0083139B">
              <w:rPr>
                <w:rFonts w:ascii="Calibri" w:hAnsi="Calibri" w:cs="Calibri"/>
                <w:sz w:val="24"/>
                <w:szCs w:val="24"/>
              </w:rPr>
              <w:t>focusing on customer side leakage</w:t>
            </w:r>
            <w:r w:rsidRPr="0083139B">
              <w:rPr>
                <w:rFonts w:ascii="Calibri" w:hAnsi="Calibri" w:cs="Calibri"/>
                <w:sz w:val="24"/>
                <w:szCs w:val="24"/>
              </w:rPr>
              <w:t>.</w:t>
            </w:r>
          </w:p>
        </w:tc>
        <w:tc>
          <w:tcPr>
            <w:tcW w:w="389" w:type="pct"/>
          </w:tcPr>
          <w:p w14:paraId="0A75EC73" w14:textId="58573334" w:rsidR="00CA0A91" w:rsidRPr="0083139B" w:rsidRDefault="00CA0A91">
            <w:pPr>
              <w:pStyle w:val="TableParagraph"/>
              <w:rPr>
                <w:rFonts w:ascii="Calibri" w:hAnsi="Calibri" w:cs="Calibri"/>
                <w:sz w:val="24"/>
                <w:szCs w:val="24"/>
              </w:rPr>
            </w:pPr>
            <w:r w:rsidRPr="0083139B">
              <w:rPr>
                <w:rFonts w:ascii="Calibri" w:hAnsi="Calibri" w:cs="Calibri"/>
                <w:sz w:val="24"/>
                <w:szCs w:val="24"/>
              </w:rPr>
              <w:t>Ml/d</w:t>
            </w:r>
          </w:p>
        </w:tc>
        <w:tc>
          <w:tcPr>
            <w:tcW w:w="427" w:type="pct"/>
          </w:tcPr>
          <w:p w14:paraId="68FCB956" w14:textId="7915E617" w:rsidR="00CA0A91"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r w:rsidR="00CA0A91" w:rsidRPr="008601AF" w14:paraId="50B45C04" w14:textId="77777777" w:rsidTr="00F56EF2">
        <w:tc>
          <w:tcPr>
            <w:tcW w:w="438" w:type="pct"/>
          </w:tcPr>
          <w:p w14:paraId="205176FF" w14:textId="68C84D14" w:rsidR="00CA0A91" w:rsidRPr="0083139B" w:rsidRDefault="00BC027E">
            <w:pPr>
              <w:pStyle w:val="TableParagraph"/>
              <w:rPr>
                <w:rFonts w:ascii="Calibri" w:hAnsi="Calibri" w:cs="Calibri"/>
                <w:sz w:val="24"/>
                <w:szCs w:val="24"/>
              </w:rPr>
            </w:pPr>
            <w:r w:rsidRPr="0083139B">
              <w:rPr>
                <w:rFonts w:ascii="Calibri" w:hAnsi="Calibri" w:cs="Calibri"/>
                <w:sz w:val="24"/>
                <w:szCs w:val="24"/>
              </w:rPr>
              <w:t>9.1c</w:t>
            </w:r>
          </w:p>
        </w:tc>
        <w:tc>
          <w:tcPr>
            <w:tcW w:w="681" w:type="pct"/>
          </w:tcPr>
          <w:p w14:paraId="704EDDC4" w14:textId="75C1C10C" w:rsidR="00CA0A91"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p>
        </w:tc>
        <w:tc>
          <w:tcPr>
            <w:tcW w:w="875" w:type="pct"/>
          </w:tcPr>
          <w:p w14:paraId="1C9E8CD6" w14:textId="683DF18F" w:rsidR="00CA0A91" w:rsidRPr="0083139B" w:rsidRDefault="00CA0A91">
            <w:pPr>
              <w:pStyle w:val="TableParagraph"/>
              <w:rPr>
                <w:rFonts w:ascii="Calibri" w:hAnsi="Calibri" w:cs="Calibri"/>
                <w:sz w:val="24"/>
                <w:szCs w:val="24"/>
              </w:rPr>
            </w:pPr>
            <w:r w:rsidRPr="0083139B">
              <w:rPr>
                <w:rFonts w:ascii="Calibri" w:hAnsi="Calibri" w:cs="Calibri"/>
                <w:sz w:val="24"/>
                <w:szCs w:val="24"/>
              </w:rPr>
              <w:t>Other </w:t>
            </w:r>
          </w:p>
        </w:tc>
        <w:tc>
          <w:tcPr>
            <w:tcW w:w="2189" w:type="pct"/>
          </w:tcPr>
          <w:p w14:paraId="098D9F20" w14:textId="367A6FAA" w:rsidR="00CA0A91" w:rsidRPr="0083139B" w:rsidRDefault="003C0D5A">
            <w:pPr>
              <w:pStyle w:val="TableParagraph"/>
              <w:rPr>
                <w:rFonts w:ascii="Calibri" w:hAnsi="Calibri" w:cs="Calibri"/>
                <w:sz w:val="24"/>
                <w:szCs w:val="24"/>
              </w:rPr>
            </w:pPr>
            <w:r w:rsidRPr="0083139B">
              <w:rPr>
                <w:rFonts w:ascii="Calibri" w:hAnsi="Calibri" w:cs="Calibri"/>
                <w:sz w:val="24"/>
                <w:szCs w:val="24"/>
              </w:rPr>
              <w:t>The reduced leakage due to a</w:t>
            </w:r>
            <w:r w:rsidR="000726B3" w:rsidRPr="0083139B">
              <w:rPr>
                <w:rFonts w:ascii="Calibri" w:hAnsi="Calibri" w:cs="Calibri"/>
                <w:sz w:val="24"/>
                <w:szCs w:val="24"/>
              </w:rPr>
              <w:t>l</w:t>
            </w:r>
            <w:r w:rsidRPr="0083139B">
              <w:rPr>
                <w:rFonts w:ascii="Calibri" w:hAnsi="Calibri" w:cs="Calibri"/>
                <w:sz w:val="24"/>
                <w:szCs w:val="24"/>
              </w:rPr>
              <w:t xml:space="preserve">l other </w:t>
            </w:r>
            <w:r w:rsidR="000726B3" w:rsidRPr="0083139B">
              <w:rPr>
                <w:rFonts w:ascii="Calibri" w:hAnsi="Calibri" w:cs="Calibri"/>
                <w:sz w:val="24"/>
                <w:szCs w:val="24"/>
              </w:rPr>
              <w:t>work programmes</w:t>
            </w:r>
            <w:r w:rsidR="008F5C75" w:rsidRPr="0083139B">
              <w:rPr>
                <w:rFonts w:ascii="Calibri" w:hAnsi="Calibri" w:cs="Calibri"/>
                <w:sz w:val="24"/>
                <w:szCs w:val="24"/>
              </w:rPr>
              <w:t xml:space="preserve"> with the purpose of leakage enhancement</w:t>
            </w:r>
            <w:r w:rsidR="00723DA8" w:rsidRPr="0083139B">
              <w:rPr>
                <w:rFonts w:ascii="Calibri" w:hAnsi="Calibri" w:cs="Calibri"/>
                <w:sz w:val="24"/>
                <w:szCs w:val="24"/>
              </w:rPr>
              <w:t>.</w:t>
            </w:r>
          </w:p>
        </w:tc>
        <w:tc>
          <w:tcPr>
            <w:tcW w:w="389" w:type="pct"/>
          </w:tcPr>
          <w:p w14:paraId="191E36A4" w14:textId="5549EFF3" w:rsidR="00CA0A91" w:rsidRPr="0083139B" w:rsidRDefault="00CA0A91">
            <w:pPr>
              <w:pStyle w:val="TableParagraph"/>
              <w:rPr>
                <w:rFonts w:ascii="Calibri" w:hAnsi="Calibri" w:cs="Calibri"/>
                <w:sz w:val="24"/>
                <w:szCs w:val="24"/>
              </w:rPr>
            </w:pPr>
            <w:r w:rsidRPr="0083139B">
              <w:rPr>
                <w:rFonts w:ascii="Calibri" w:hAnsi="Calibri" w:cs="Calibri"/>
                <w:sz w:val="24"/>
                <w:szCs w:val="24"/>
              </w:rPr>
              <w:t>Ml/d</w:t>
            </w:r>
          </w:p>
        </w:tc>
        <w:tc>
          <w:tcPr>
            <w:tcW w:w="427" w:type="pct"/>
          </w:tcPr>
          <w:p w14:paraId="3722E4E8" w14:textId="0BE5C806" w:rsidR="00CA0A91"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bl>
    <w:p w14:paraId="75AB450E" w14:textId="77777777" w:rsidR="00246954" w:rsidRDefault="00246954"/>
    <w:p w14:paraId="7748D2CA" w14:textId="19681690" w:rsidR="00246954" w:rsidRDefault="00246954"/>
    <w:p w14:paraId="4C258572" w14:textId="77777777" w:rsidR="00246954" w:rsidRDefault="00246954" w:rsidP="00402E85"/>
    <w:p w14:paraId="7AA5A150" w14:textId="77777777" w:rsidR="00246954" w:rsidRDefault="00246954" w:rsidP="00402E85"/>
    <w:p w14:paraId="2F1E8079" w14:textId="77777777" w:rsidR="00246954" w:rsidRDefault="00246954" w:rsidP="00402E85"/>
    <w:p w14:paraId="4BA207E1" w14:textId="77777777" w:rsidR="00246954" w:rsidRDefault="00246954" w:rsidP="00402E85"/>
    <w:p w14:paraId="315CA374" w14:textId="77777777" w:rsidR="00246954" w:rsidRDefault="00246954" w:rsidP="00402E85"/>
    <w:p w14:paraId="63F2A2F8" w14:textId="77777777" w:rsidR="00402E85" w:rsidRDefault="00402E85" w:rsidP="00402E85"/>
    <w:p w14:paraId="5B1EEA5A" w14:textId="77777777" w:rsidR="00A216F7" w:rsidRDefault="00A216F7" w:rsidP="00A216F7">
      <w:pPr>
        <w:sectPr w:rsidR="00A216F7" w:rsidSect="00A216F7">
          <w:pgSz w:w="16838" w:h="11906" w:orient="landscape" w:code="9"/>
          <w:pgMar w:top="1134" w:right="1134" w:bottom="1134" w:left="1134" w:header="567" w:footer="567" w:gutter="0"/>
          <w:cols w:space="708"/>
          <w:docGrid w:linePitch="360"/>
        </w:sectPr>
      </w:pPr>
    </w:p>
    <w:p w14:paraId="210D79F1" w14:textId="660E1E5A" w:rsidR="00935881" w:rsidRDefault="00935881" w:rsidP="00954233"/>
    <w:p w14:paraId="63BCEAB7" w14:textId="4F18CCFB" w:rsidR="0008752E" w:rsidRPr="00187D8D" w:rsidRDefault="0008752E" w:rsidP="00954233">
      <w:pPr>
        <w:rPr>
          <w:lang w:val="it-IT"/>
        </w:rPr>
      </w:pPr>
    </w:p>
    <w:sectPr w:rsidR="0008752E" w:rsidRPr="00187D8D" w:rsidSect="00954233">
      <w:headerReference w:type="even" r:id="rId23"/>
      <w:headerReference w:type="default" r:id="rId24"/>
      <w:footerReference w:type="default" r:id="rId25"/>
      <w:headerReference w:type="first" r:id="rId2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48252" w14:textId="77777777" w:rsidR="00EC216B" w:rsidRPr="0030124D" w:rsidRDefault="00EC216B" w:rsidP="0008752E">
      <w:pPr>
        <w:spacing w:line="240" w:lineRule="auto"/>
      </w:pPr>
      <w:r w:rsidRPr="0030124D">
        <w:separator/>
      </w:r>
    </w:p>
  </w:endnote>
  <w:endnote w:type="continuationSeparator" w:id="0">
    <w:p w14:paraId="7F1AFF8E" w14:textId="77777777" w:rsidR="00EC216B" w:rsidRPr="0030124D" w:rsidRDefault="00EC216B" w:rsidP="0008752E">
      <w:pPr>
        <w:spacing w:line="240" w:lineRule="auto"/>
      </w:pPr>
      <w:r w:rsidRPr="0030124D">
        <w:continuationSeparator/>
      </w:r>
    </w:p>
  </w:endnote>
  <w:endnote w:type="continuationNotice" w:id="1">
    <w:p w14:paraId="068D30EE" w14:textId="77777777" w:rsidR="00EC216B" w:rsidRPr="0030124D" w:rsidRDefault="00EC21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387EF" w14:textId="32A50EDC" w:rsidR="0008752E" w:rsidRPr="0030124D" w:rsidRDefault="0008752E" w:rsidP="00694710">
    <w:pPr>
      <w:pStyle w:val="Footer"/>
    </w:pPr>
  </w:p>
  <w:p w14:paraId="0137ECB6" w14:textId="77777777" w:rsidR="00694710" w:rsidRPr="0030124D" w:rsidRDefault="00694710" w:rsidP="00694710">
    <w:pPr>
      <w:pStyle w:val="Footer"/>
    </w:pPr>
  </w:p>
  <w:p w14:paraId="4D00E668" w14:textId="36940B2F" w:rsidR="00694710" w:rsidRPr="0030124D" w:rsidRDefault="00694710" w:rsidP="00694710">
    <w:pPr>
      <w:pStyle w:val="Footer"/>
      <w:pBdr>
        <w:top w:val="single" w:sz="4" w:space="1" w:color="5F7577" w:themeColor="accent2"/>
      </w:pBdr>
    </w:pPr>
  </w:p>
  <w:p w14:paraId="687DD706" w14:textId="4F68F0D6" w:rsidR="00694710" w:rsidRPr="0030124D" w:rsidRDefault="00694710" w:rsidP="00694710">
    <w:pPr>
      <w:pStyle w:val="Footer"/>
      <w:rPr>
        <w:color w:val="5F7577" w:themeColor="accent2"/>
        <w:szCs w:val="18"/>
      </w:rPr>
    </w:pPr>
    <w:r w:rsidRPr="004A0DDA">
      <w:rPr>
        <w:color w:val="5F7577" w:themeColor="accent2"/>
        <w:szCs w:val="18"/>
      </w:rPr>
      <w:fldChar w:fldCharType="begin"/>
    </w:r>
    <w:r w:rsidRPr="0030124D">
      <w:rPr>
        <w:color w:val="5F7577" w:themeColor="accent2"/>
        <w:szCs w:val="18"/>
      </w:rPr>
      <w:instrText xml:space="preserve"> STYLEREF  "Document title"  \* MERGEFORMAT </w:instrText>
    </w:r>
    <w:r w:rsidRPr="004A0DDA">
      <w:rPr>
        <w:color w:val="5F7577" w:themeColor="accent2"/>
        <w:szCs w:val="18"/>
      </w:rPr>
      <w:fldChar w:fldCharType="separate"/>
    </w:r>
    <w:r w:rsidR="001D478D">
      <w:rPr>
        <w:noProof/>
        <w:color w:val="5F7577" w:themeColor="accent2"/>
        <w:szCs w:val="18"/>
      </w:rPr>
      <w:t>Strategic Review of Charges 2027-2033: Guidance and Definitions to the Business Plan Tables</w:t>
    </w:r>
    <w:r w:rsidRPr="004A0DDA">
      <w:rPr>
        <w:color w:val="5F7577" w:themeColor="accent2"/>
        <w:szCs w:val="18"/>
      </w:rPr>
      <w:fldChar w:fldCharType="end"/>
    </w:r>
    <w:r w:rsidRPr="0030124D">
      <w:rPr>
        <w:color w:val="5F7577" w:themeColor="accent2"/>
        <w:szCs w:val="18"/>
      </w:rPr>
      <w:ptab w:relativeTo="margin" w:alignment="right" w:leader="none"/>
    </w:r>
    <w:r w:rsidRPr="00E20A4F">
      <w:rPr>
        <w:color w:val="5F7577" w:themeColor="accent2"/>
        <w:szCs w:val="18"/>
      </w:rPr>
      <w:fldChar w:fldCharType="begin"/>
    </w:r>
    <w:r w:rsidRPr="0030124D">
      <w:rPr>
        <w:color w:val="5F7577" w:themeColor="accent2"/>
        <w:szCs w:val="18"/>
      </w:rPr>
      <w:instrText xml:space="preserve"> PAGE   \* MERGEFORMAT </w:instrText>
    </w:r>
    <w:r w:rsidRPr="00E20A4F">
      <w:rPr>
        <w:color w:val="5F7577" w:themeColor="accent2"/>
        <w:szCs w:val="18"/>
      </w:rPr>
      <w:fldChar w:fldCharType="separate"/>
    </w:r>
    <w:r w:rsidRPr="00E20A4F">
      <w:rPr>
        <w:color w:val="5F7577" w:themeColor="accent2"/>
        <w:szCs w:val="18"/>
      </w:rPr>
      <w:t>1</w:t>
    </w:r>
    <w:r w:rsidRPr="00E20A4F">
      <w:rPr>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D3716" w14:textId="759F4A13" w:rsidR="0008752E" w:rsidRPr="0030124D" w:rsidRDefault="00D723CD">
    <w:pPr>
      <w:pStyle w:val="Footer"/>
    </w:pPr>
    <w:r w:rsidRPr="004A0DDA">
      <w:rPr>
        <w:noProof/>
      </w:rPr>
      <mc:AlternateContent>
        <mc:Choice Requires="wps">
          <w:drawing>
            <wp:anchor distT="0" distB="0" distL="114300" distR="114300" simplePos="0" relativeHeight="251658241"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Rectangle 2">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WICS</w:t>
                          </w:r>
                        </w:p>
                        <w:p w14:paraId="6465F591" w14:textId="155D24E1"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Moray House</w:t>
                          </w:r>
                        </w:p>
                        <w:p w14:paraId="368AB296"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Forthside Way</w:t>
                          </w:r>
                        </w:p>
                        <w:p w14:paraId="01F20873"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Stirling</w:t>
                          </w:r>
                        </w:p>
                        <w:p w14:paraId="3D3AE318" w14:textId="77777777"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FK8 1QZ</w:t>
                          </w:r>
                        </w:p>
                        <w:p w14:paraId="1726D5DB" w14:textId="77777777" w:rsidR="00DE0535" w:rsidRPr="00BC4F39" w:rsidRDefault="00DE0535" w:rsidP="00DE0535">
                          <w:pPr>
                            <w:spacing w:line="240" w:lineRule="auto"/>
                            <w:rPr>
                              <w:rFonts w:hAnsi="Calibri"/>
                              <w:color w:val="FFFFFF" w:themeColor="background1"/>
                              <w:kern w:val="24"/>
                              <w:szCs w:val="24"/>
                              <w:lang w:val="it-IT"/>
                            </w:rPr>
                          </w:pPr>
                        </w:p>
                        <w:p w14:paraId="47E6FDA3" w14:textId="1D3B8F1F"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T: 01786 430 200</w:t>
                          </w:r>
                        </w:p>
                        <w:p w14:paraId="039D3035" w14:textId="24435C26"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E: enquiries@wics.scot</w:t>
                          </w:r>
                        </w:p>
                        <w:p w14:paraId="404F1A80" w14:textId="061A4BBC"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Rectangle 2" o:spid="_x0000_s1030" style="position:absolute;left:0;text-align:left;margin-left:19pt;margin-top:-142.3pt;width:146.25pt;height:11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" filled="f" stroked="f">
              <o:lock v:ext="edit" grouping="t"/>
              <v:textbox inset="0,0,0,0">
                <w:txbxContent>
                  <w:p w14:paraId="315C79F8" w14:textId="4B2A5F7F"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WICS</w:t>
                    </w:r>
                  </w:p>
                  <w:p w14:paraId="6465F591" w14:textId="155D24E1"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Moray House</w:t>
                    </w:r>
                  </w:p>
                  <w:p w14:paraId="368AB296"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Forthside Way</w:t>
                    </w:r>
                  </w:p>
                  <w:p w14:paraId="01F20873"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Stirling</w:t>
                    </w:r>
                  </w:p>
                  <w:p w14:paraId="3D3AE318" w14:textId="77777777"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FK8 1QZ</w:t>
                    </w:r>
                  </w:p>
                  <w:p w14:paraId="1726D5DB" w14:textId="77777777" w:rsidR="00DE0535" w:rsidRPr="00BC4F39" w:rsidRDefault="00DE0535" w:rsidP="00DE0535">
                    <w:pPr>
                      <w:spacing w:line="240" w:lineRule="auto"/>
                      <w:rPr>
                        <w:rFonts w:hAnsi="Calibri"/>
                        <w:color w:val="FFFFFF" w:themeColor="background1"/>
                        <w:kern w:val="24"/>
                        <w:szCs w:val="24"/>
                        <w:lang w:val="it-IT"/>
                      </w:rPr>
                    </w:pPr>
                  </w:p>
                  <w:p w14:paraId="47E6FDA3" w14:textId="1D3B8F1F"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T: 01786 430 200</w:t>
                    </w:r>
                  </w:p>
                  <w:p w14:paraId="039D3035" w14:textId="24435C26"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E: enquiries@wics.scot</w:t>
                    </w:r>
                  </w:p>
                  <w:p w14:paraId="404F1A80" w14:textId="061A4BBC"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002E6" w14:textId="77777777" w:rsidR="00EC216B" w:rsidRPr="0030124D" w:rsidRDefault="00EC216B" w:rsidP="0008752E">
      <w:pPr>
        <w:spacing w:line="240" w:lineRule="auto"/>
      </w:pPr>
      <w:r w:rsidRPr="0030124D">
        <w:separator/>
      </w:r>
    </w:p>
  </w:footnote>
  <w:footnote w:type="continuationSeparator" w:id="0">
    <w:p w14:paraId="25B82939" w14:textId="77777777" w:rsidR="00EC216B" w:rsidRPr="0030124D" w:rsidRDefault="00EC216B" w:rsidP="0008752E">
      <w:pPr>
        <w:spacing w:line="240" w:lineRule="auto"/>
      </w:pPr>
      <w:r w:rsidRPr="0030124D">
        <w:continuationSeparator/>
      </w:r>
    </w:p>
  </w:footnote>
  <w:footnote w:type="continuationNotice" w:id="1">
    <w:p w14:paraId="44AE6A4E" w14:textId="77777777" w:rsidR="00EC216B" w:rsidRPr="0030124D" w:rsidRDefault="00EC216B">
      <w:pPr>
        <w:spacing w:line="240" w:lineRule="auto"/>
      </w:pPr>
    </w:p>
  </w:footnote>
  <w:footnote w:id="2">
    <w:p w14:paraId="1AF565A8" w14:textId="169CD366" w:rsidR="00C61DB5" w:rsidRDefault="00C61DB5" w:rsidP="00050C05">
      <w:pPr>
        <w:pStyle w:val="FootnoteText"/>
      </w:pPr>
      <w:r>
        <w:rPr>
          <w:rStyle w:val="FootnoteReference"/>
        </w:rPr>
        <w:footnoteRef/>
      </w:r>
      <w:r>
        <w:t xml:space="preserve"> </w:t>
      </w:r>
      <w:r w:rsidR="005F323F" w:rsidRPr="0030124D">
        <w:t>Scottish Government (202</w:t>
      </w:r>
      <w:r w:rsidR="00050C05">
        <w:t>3</w:t>
      </w:r>
      <w:r w:rsidR="005F323F" w:rsidRPr="0030124D">
        <w:t xml:space="preserve">), </w:t>
      </w:r>
      <w:r w:rsidR="005F323F" w:rsidRPr="0030124D">
        <w:rPr>
          <w:i/>
        </w:rPr>
        <w:t>‘</w:t>
      </w:r>
      <w:r w:rsidR="00050C05" w:rsidRPr="00050C05">
        <w:rPr>
          <w:i/>
        </w:rPr>
        <w:t>Water, Wastewater and Drainage Policy Consultation</w:t>
      </w:r>
      <w:r w:rsidR="005F323F" w:rsidRPr="0030124D">
        <w:t xml:space="preserve">, </w:t>
      </w:r>
      <w:r w:rsidR="00050C05">
        <w:t>November</w:t>
      </w:r>
      <w:r w:rsidR="005F323F" w:rsidRPr="0030124D">
        <w:t xml:space="preserve"> 202</w:t>
      </w:r>
      <w:r w:rsidR="00050C05">
        <w:t>3</w:t>
      </w:r>
      <w:r w:rsidR="005F323F" w:rsidRPr="0030124D">
        <w:t>.</w:t>
      </w:r>
    </w:p>
  </w:footnote>
  <w:footnote w:id="3">
    <w:p w14:paraId="44192CC2" w14:textId="1B53BEF7" w:rsidR="000B7017" w:rsidRDefault="000B7017">
      <w:pPr>
        <w:pStyle w:val="FootnoteText"/>
      </w:pPr>
      <w:r>
        <w:rPr>
          <w:rStyle w:val="FootnoteReference"/>
        </w:rPr>
        <w:footnoteRef/>
      </w:r>
      <w:r>
        <w:t xml:space="preserve"> </w:t>
      </w:r>
      <w:r w:rsidR="00F66AAA" w:rsidRPr="0030124D">
        <w:t xml:space="preserve">Additional information on the </w:t>
      </w:r>
      <w:r w:rsidR="00F66AAA">
        <w:t>National Performance Framework</w:t>
      </w:r>
      <w:r w:rsidR="00F66AAA" w:rsidRPr="0030124D">
        <w:t xml:space="preserve"> is available online at: Scottish Government, ‘</w:t>
      </w:r>
      <w:r w:rsidR="00F66AAA">
        <w:rPr>
          <w:i/>
          <w:iCs/>
        </w:rPr>
        <w:t>National Performance Framework</w:t>
      </w:r>
      <w:r w:rsidR="00F66AAA" w:rsidRPr="0030124D">
        <w:t>’, webpage.</w:t>
      </w:r>
    </w:p>
  </w:footnote>
  <w:footnote w:id="4">
    <w:p w14:paraId="3E4A8C5B" w14:textId="77777777" w:rsidR="00834557" w:rsidRPr="0030124D" w:rsidRDefault="00834557" w:rsidP="00834557">
      <w:pPr>
        <w:pStyle w:val="FootnoteText"/>
        <w:jc w:val="left"/>
      </w:pPr>
      <w:r w:rsidRPr="0030124D">
        <w:rPr>
          <w:rStyle w:val="FootnoteReference"/>
        </w:rPr>
        <w:footnoteRef/>
      </w:r>
      <w:r w:rsidRPr="0030124D">
        <w:t xml:space="preserve"> Scottish Water (2020), </w:t>
      </w:r>
      <w:r w:rsidRPr="0030124D">
        <w:rPr>
          <w:i/>
        </w:rPr>
        <w:t>‘Net Zero Emissions Routemap’</w:t>
      </w:r>
      <w:r w:rsidRPr="0030124D">
        <w:rPr>
          <w:iCs/>
        </w:rPr>
        <w:t>, 13 September 2020</w:t>
      </w:r>
      <w:r w:rsidRPr="0030124D">
        <w:t>.</w:t>
      </w:r>
    </w:p>
  </w:footnote>
  <w:footnote w:id="5">
    <w:p w14:paraId="3873A265" w14:textId="3E618A28" w:rsidR="0091477A" w:rsidRDefault="0091477A">
      <w:pPr>
        <w:pStyle w:val="FootnoteText"/>
      </w:pPr>
      <w:r>
        <w:rPr>
          <w:rStyle w:val="FootnoteReference"/>
        </w:rPr>
        <w:footnoteRef/>
      </w:r>
      <w:r>
        <w:t xml:space="preserve"> </w:t>
      </w:r>
      <w:r w:rsidR="00A2242E">
        <w:t xml:space="preserve">A novel or contentious project is defined as per Scottish Water’s Project Investment </w:t>
      </w:r>
      <w:r w:rsidR="009039C2">
        <w:t>A</w:t>
      </w:r>
      <w:r w:rsidR="00A2242E">
        <w:t>ppraisal guidelines.</w:t>
      </w:r>
    </w:p>
  </w:footnote>
  <w:footnote w:id="6">
    <w:p w14:paraId="5A491D33" w14:textId="77777777" w:rsidR="00592C4D" w:rsidRPr="0030124D" w:rsidRDefault="00592C4D" w:rsidP="00592C4D">
      <w:pPr>
        <w:pStyle w:val="FootnoteText"/>
        <w:jc w:val="left"/>
      </w:pPr>
      <w:r w:rsidRPr="0030124D">
        <w:rPr>
          <w:rStyle w:val="FootnoteReference"/>
        </w:rPr>
        <w:footnoteRef/>
      </w:r>
      <w:r w:rsidRPr="0030124D">
        <w:t xml:space="preserve"> Natural and social capital are two capitals that form the six capitals approach. The six capitals approach covers financial, manufactured, intellectual, human, social and relationships and natural capital. See A</w:t>
      </w:r>
      <w:r>
        <w:t xml:space="preserve">ssociation of </w:t>
      </w:r>
      <w:r w:rsidRPr="0030124D">
        <w:t>C</w:t>
      </w:r>
      <w:r>
        <w:t xml:space="preserve">hartered </w:t>
      </w:r>
      <w:r w:rsidRPr="0030124D">
        <w:t>C</w:t>
      </w:r>
      <w:r>
        <w:t xml:space="preserve">ertified </w:t>
      </w:r>
      <w:r w:rsidRPr="0030124D">
        <w:t>A</w:t>
      </w:r>
      <w:r>
        <w:t>ccountants</w:t>
      </w:r>
      <w:r w:rsidRPr="0030124D">
        <w:t>, ‘</w:t>
      </w:r>
      <w:r w:rsidRPr="0030124D">
        <w:rPr>
          <w:i/>
          <w:iCs/>
        </w:rPr>
        <w:t>Integrated reporting and performance management</w:t>
      </w:r>
      <w:r w:rsidRPr="0030124D">
        <w:t>’, webpage.</w:t>
      </w:r>
    </w:p>
  </w:footnote>
  <w:footnote w:id="7">
    <w:p w14:paraId="41F21FB8" w14:textId="77777777" w:rsidR="00592C4D" w:rsidRDefault="00592C4D" w:rsidP="00592C4D">
      <w:pPr>
        <w:pStyle w:val="FootnoteText"/>
      </w:pPr>
      <w:r>
        <w:rPr>
          <w:rStyle w:val="FootnoteReference"/>
        </w:rPr>
        <w:footnoteRef/>
      </w:r>
      <w:r>
        <w:t xml:space="preserve"> Section 29e of the Water Industry (Scotland) Act 2002.</w:t>
      </w:r>
    </w:p>
  </w:footnote>
  <w:footnote w:id="8">
    <w:p w14:paraId="554A2A4B" w14:textId="77777777" w:rsidR="00EB6F5F" w:rsidRPr="0030124D" w:rsidRDefault="00EB6F5F" w:rsidP="00EB6F5F">
      <w:pPr>
        <w:pStyle w:val="FootnoteText"/>
        <w:jc w:val="left"/>
      </w:pPr>
      <w:r w:rsidRPr="0030124D">
        <w:rPr>
          <w:rStyle w:val="FootnoteReference"/>
        </w:rPr>
        <w:footnoteRef/>
      </w:r>
      <w:r w:rsidRPr="0030124D">
        <w:t xml:space="preserve"> Ofwat has developed an alternative approach for investment for large schemes with a value greater than £100 million and where there are concerns around scope, cost and complexity. The approach involves enhanced engagement and the use of investment gates. Our threshold is consistent with that used by Ofwat. Ofwat (2024), </w:t>
      </w:r>
      <w:r w:rsidRPr="00752135">
        <w:rPr>
          <w:i/>
        </w:rPr>
        <w:t>‘PR24 draft determinations: Expenditure allowances’</w:t>
      </w:r>
      <w:r w:rsidRPr="0030124D">
        <w:t xml:space="preserve">, </w:t>
      </w:r>
      <w:r>
        <w:t xml:space="preserve">11 </w:t>
      </w:r>
      <w:r w:rsidRPr="0030124D">
        <w:t>July</w:t>
      </w:r>
      <w:r>
        <w:t xml:space="preserve"> 2024</w:t>
      </w:r>
      <w:r w:rsidRPr="0030124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C377" w14:textId="16F2BB99" w:rsidR="006072C1" w:rsidRDefault="006072C1">
    <w:pPr>
      <w:pStyle w:val="Header"/>
    </w:pPr>
    <w:r>
      <w:rPr>
        <w:noProof/>
      </w:rPr>
      <mc:AlternateContent>
        <mc:Choice Requires="wps">
          <w:drawing>
            <wp:anchor distT="0" distB="0" distL="0" distR="0" simplePos="0" relativeHeight="251658243" behindDoc="0" locked="0" layoutInCell="1" allowOverlap="1" wp14:anchorId="791387AA" wp14:editId="3F6EABA2">
              <wp:simplePos x="635" y="635"/>
              <wp:positionH relativeFrom="page">
                <wp:align>center</wp:align>
              </wp:positionH>
              <wp:positionV relativeFrom="page">
                <wp:align>top</wp:align>
              </wp:positionV>
              <wp:extent cx="443865" cy="443865"/>
              <wp:effectExtent l="0" t="0" r="17145" b="8255"/>
              <wp:wrapNone/>
              <wp:docPr id="1145297712" name="Text Box 2"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A6CFF" w14:textId="3FD46E45"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w:pict>
            <v:shapetype w14:anchorId="791387AA" id="_x0000_t202" coordsize="21600,21600" o:spt="202" path="m,l,21600r21600,l21600,xe">
              <v:stroke joinstyle="miter"/>
              <v:path gradientshapeok="t" o:connecttype="rect"/>
            </v:shapetype>
            <v:shape id="Text Box 2" o:spid="_x0000_s1026" type="#_x0000_t202" alt="Client Confident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0EggnCgIAABoEAAAOAAAA&#10;AAAAAAAAAAAAAC4CAABkcnMvZTJvRG9jLnhtbFBLAQItABQABgAIAAAAIQDUHg1H2AAAAAMBAAAP&#10;AAAAAAAAAAAAAAAAAGQEAABkcnMvZG93bnJldi54bWxQSwUGAAAAAAQABADzAAAAaQUAAAAA&#10;" filled="f" stroked="f">
              <v:textbox style="mso-fit-shape-to-text:t" inset="0,15pt,0,0">
                <w:txbxContent>
                  <w:p w14:paraId="7B1A6CFF" w14:textId="3FD46E45"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40BB" w14:textId="58F2AE51" w:rsidR="00805421" w:rsidRPr="0030124D" w:rsidRDefault="00805421">
    <w:pPr>
      <w:pStyle w:val="Header"/>
    </w:pPr>
    <w:r w:rsidRPr="004A0DDA">
      <w:rPr>
        <w:noProof/>
      </w:rPr>
      <w:drawing>
        <wp:anchor distT="0" distB="0" distL="114300" distR="114300" simplePos="0" relativeHeight="251658242" behindDoc="1" locked="0" layoutInCell="1" allowOverlap="1" wp14:anchorId="3C469B6B" wp14:editId="100F95FA">
          <wp:simplePos x="0" y="0"/>
          <wp:positionH relativeFrom="margin">
            <wp:posOffset>-773430</wp:posOffset>
          </wp:positionH>
          <wp:positionV relativeFrom="margin">
            <wp:posOffset>-4456430</wp:posOffset>
          </wp:positionV>
          <wp:extent cx="7625640" cy="10786592"/>
          <wp:effectExtent l="0" t="0" r="0" b="0"/>
          <wp:wrapNone/>
          <wp:docPr id="1325282327" name="Picture 132528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Pr="0030124D" w:rsidRDefault="00805421">
    <w:pPr>
      <w:pStyle w:val="Header"/>
    </w:pPr>
  </w:p>
  <w:p w14:paraId="40E8C02E" w14:textId="77777777" w:rsidR="00805421" w:rsidRPr="0030124D" w:rsidRDefault="00805421">
    <w:pPr>
      <w:pStyle w:val="Header"/>
    </w:pPr>
  </w:p>
  <w:p w14:paraId="6B1AC33D" w14:textId="4E89AAA8" w:rsidR="00805421" w:rsidRPr="0030124D" w:rsidRDefault="00805421">
    <w:pPr>
      <w:pStyle w:val="Header"/>
    </w:pPr>
  </w:p>
  <w:p w14:paraId="1010CC36" w14:textId="0C43E134" w:rsidR="00805421" w:rsidRPr="0030124D" w:rsidRDefault="00805421">
    <w:pPr>
      <w:pStyle w:val="Header"/>
    </w:pPr>
  </w:p>
  <w:p w14:paraId="40780AC9" w14:textId="0A6AA586" w:rsidR="00805421" w:rsidRPr="0030124D" w:rsidRDefault="00805421">
    <w:pPr>
      <w:pStyle w:val="Header"/>
    </w:pPr>
  </w:p>
  <w:p w14:paraId="6DD656A3" w14:textId="77777777" w:rsidR="00805421" w:rsidRPr="0030124D" w:rsidRDefault="00805421">
    <w:pPr>
      <w:pStyle w:val="Header"/>
    </w:pPr>
  </w:p>
  <w:p w14:paraId="2971A7CA" w14:textId="77777777" w:rsidR="00805421" w:rsidRPr="0030124D" w:rsidRDefault="00805421">
    <w:pPr>
      <w:pStyle w:val="Header"/>
    </w:pPr>
  </w:p>
  <w:p w14:paraId="6C39DA5E" w14:textId="77777777" w:rsidR="00805421" w:rsidRPr="0030124D" w:rsidRDefault="00805421">
    <w:pPr>
      <w:pStyle w:val="Header"/>
    </w:pPr>
  </w:p>
  <w:p w14:paraId="4C9C6D00" w14:textId="2D9FBB67" w:rsidR="00805421" w:rsidRPr="0030124D" w:rsidRDefault="00805421">
    <w:pPr>
      <w:pStyle w:val="Header"/>
    </w:pPr>
  </w:p>
  <w:p w14:paraId="4C1F38E0" w14:textId="77777777" w:rsidR="00805421" w:rsidRPr="0030124D" w:rsidRDefault="00805421">
    <w:pPr>
      <w:pStyle w:val="Header"/>
    </w:pPr>
  </w:p>
  <w:p w14:paraId="7A554821" w14:textId="77777777" w:rsidR="00805421" w:rsidRPr="0030124D" w:rsidRDefault="00805421">
    <w:pPr>
      <w:pStyle w:val="Header"/>
    </w:pPr>
  </w:p>
  <w:p w14:paraId="538BF39A" w14:textId="77777777" w:rsidR="00805421" w:rsidRPr="0030124D" w:rsidRDefault="00805421">
    <w:pPr>
      <w:pStyle w:val="Header"/>
    </w:pPr>
  </w:p>
  <w:p w14:paraId="058C2ABD" w14:textId="42BEDE2F" w:rsidR="00805421" w:rsidRPr="0030124D" w:rsidRDefault="00805421">
    <w:pPr>
      <w:pStyle w:val="Header"/>
    </w:pPr>
  </w:p>
  <w:p w14:paraId="3A4B6B24" w14:textId="77777777" w:rsidR="00805421" w:rsidRPr="0030124D" w:rsidRDefault="00805421">
    <w:pPr>
      <w:pStyle w:val="Header"/>
    </w:pPr>
  </w:p>
  <w:p w14:paraId="6BBC6EC0" w14:textId="77777777" w:rsidR="00805421" w:rsidRPr="0030124D" w:rsidRDefault="00805421">
    <w:pPr>
      <w:pStyle w:val="Header"/>
    </w:pPr>
  </w:p>
  <w:p w14:paraId="71D2DC40" w14:textId="77777777" w:rsidR="00805421" w:rsidRPr="0030124D" w:rsidRDefault="00805421">
    <w:pPr>
      <w:pStyle w:val="Header"/>
    </w:pPr>
  </w:p>
  <w:p w14:paraId="7714A05F" w14:textId="77777777" w:rsidR="00805421" w:rsidRPr="0030124D" w:rsidRDefault="00805421">
    <w:pPr>
      <w:pStyle w:val="Header"/>
    </w:pPr>
  </w:p>
  <w:p w14:paraId="16A5DD0F" w14:textId="77777777" w:rsidR="00805421" w:rsidRPr="0030124D" w:rsidRDefault="00805421">
    <w:pPr>
      <w:pStyle w:val="Header"/>
    </w:pPr>
  </w:p>
  <w:p w14:paraId="4686496D" w14:textId="77777777" w:rsidR="00805421" w:rsidRPr="0030124D" w:rsidRDefault="00805421">
    <w:pPr>
      <w:pStyle w:val="Header"/>
    </w:pPr>
  </w:p>
  <w:p w14:paraId="433707AC" w14:textId="77777777" w:rsidR="00805421" w:rsidRPr="0030124D" w:rsidRDefault="00805421">
    <w:pPr>
      <w:pStyle w:val="Header"/>
    </w:pPr>
  </w:p>
  <w:p w14:paraId="67B0FA8F" w14:textId="44A83074" w:rsidR="0008752E" w:rsidRPr="0030124D"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172F" w14:textId="66236645" w:rsidR="006072C1" w:rsidRDefault="006072C1">
    <w:pPr>
      <w:pStyle w:val="Header"/>
    </w:pPr>
    <w:r>
      <w:rPr>
        <w:noProof/>
      </w:rPr>
      <mc:AlternateContent>
        <mc:Choice Requires="wps">
          <w:drawing>
            <wp:anchor distT="0" distB="0" distL="0" distR="0" simplePos="0" relativeHeight="251658244" behindDoc="0" locked="0" layoutInCell="1" allowOverlap="1" wp14:anchorId="77174127" wp14:editId="2899D9ED">
              <wp:simplePos x="635" y="635"/>
              <wp:positionH relativeFrom="page">
                <wp:align>center</wp:align>
              </wp:positionH>
              <wp:positionV relativeFrom="page">
                <wp:align>top</wp:align>
              </wp:positionV>
              <wp:extent cx="443865" cy="443865"/>
              <wp:effectExtent l="0" t="0" r="17145" b="8255"/>
              <wp:wrapNone/>
              <wp:docPr id="55290102" name="Text Box 5"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3F885" w14:textId="6F41D750"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w:pict>
            <v:shapetype w14:anchorId="77174127" id="_x0000_t202" coordsize="21600,21600" o:spt="202" path="m,l,21600r21600,l21600,xe">
              <v:stroke joinstyle="miter"/>
              <v:path gradientshapeok="t" o:connecttype="rect"/>
            </v:shapetype>
            <v:shape id="Text Box 5" o:spid="_x0000_s1027" type="#_x0000_t202" alt="Client Confident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" filled="f" stroked="f">
              <v:textbox style="mso-fit-shape-to-text:t" inset="0,15pt,0,0">
                <w:txbxContent>
                  <w:p w14:paraId="2D63F885" w14:textId="6F41D750"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096C9" w14:textId="67343CDF" w:rsidR="00290F54" w:rsidRDefault="00290F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52C16" w14:textId="4C099926" w:rsidR="006072C1" w:rsidRDefault="006072C1">
    <w:pPr>
      <w:pStyle w:val="Header"/>
    </w:pPr>
    <w:r>
      <w:rPr>
        <w:noProof/>
      </w:rPr>
      <mc:AlternateContent>
        <mc:Choice Requires="wps">
          <w:drawing>
            <wp:anchor distT="0" distB="0" distL="0" distR="0" simplePos="0" relativeHeight="251658245" behindDoc="0" locked="0" layoutInCell="1" allowOverlap="1" wp14:anchorId="27452CDC" wp14:editId="5BBB998A">
              <wp:simplePos x="635" y="635"/>
              <wp:positionH relativeFrom="page">
                <wp:align>center</wp:align>
              </wp:positionH>
              <wp:positionV relativeFrom="page">
                <wp:align>top</wp:align>
              </wp:positionV>
              <wp:extent cx="443865" cy="443865"/>
              <wp:effectExtent l="0" t="0" r="17145" b="8255"/>
              <wp:wrapNone/>
              <wp:docPr id="27529206" name="Text Box 4"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DD7DF" w14:textId="176F79A1"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w:pict>
            <v:shapetype w14:anchorId="27452CDC" id="_x0000_t202" coordsize="21600,21600" o:spt="202" path="m,l,21600r21600,l21600,xe">
              <v:stroke joinstyle="miter"/>
              <v:path gradientshapeok="t" o:connecttype="rect"/>
            </v:shapetype>
            <v:shape id="Text Box 4" o:spid="_x0000_s1028" type="#_x0000_t202" alt="Client Confident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BnyRUTEAIAACEE&#10;AAAOAAAAAAAAAAAAAAAAAC4CAABkcnMvZTJvRG9jLnhtbFBLAQItABQABgAIAAAAIQDUHg1H2AAA&#10;AAMBAAAPAAAAAAAAAAAAAAAAAGoEAABkcnMvZG93bnJldi54bWxQSwUGAAAAAAQABADzAAAAbwUA&#10;AAAA&#10;" filled="f" stroked="f">
              <v:textbox style="mso-fit-shape-to-text:t" inset="0,15pt,0,0">
                <w:txbxContent>
                  <w:p w14:paraId="599DD7DF" w14:textId="176F79A1"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923A" w14:textId="53A8BD6A" w:rsidR="006072C1" w:rsidRDefault="006072C1">
    <w:pPr>
      <w:pStyle w:val="Header"/>
    </w:pPr>
    <w:r>
      <w:rPr>
        <w:noProof/>
      </w:rPr>
      <mc:AlternateContent>
        <mc:Choice Requires="wps">
          <w:drawing>
            <wp:anchor distT="0" distB="0" distL="0" distR="0" simplePos="0" relativeHeight="251658246" behindDoc="0" locked="0" layoutInCell="1" allowOverlap="1" wp14:anchorId="0B776B6B" wp14:editId="2F05DAAF">
              <wp:simplePos x="635" y="635"/>
              <wp:positionH relativeFrom="page">
                <wp:align>center</wp:align>
              </wp:positionH>
              <wp:positionV relativeFrom="page">
                <wp:align>top</wp:align>
              </wp:positionV>
              <wp:extent cx="443865" cy="443865"/>
              <wp:effectExtent l="0" t="0" r="17145" b="8255"/>
              <wp:wrapNone/>
              <wp:docPr id="1238221706" name="Text Box 8"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01EEA" w14:textId="4F1EBFFD"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w:pict>
            <v:shapetype w14:anchorId="0B776B6B" id="_x0000_t202" coordsize="21600,21600" o:spt="202" path="m,l,21600r21600,l21600,xe">
              <v:stroke joinstyle="miter"/>
              <v:path gradientshapeok="t" o:connecttype="rect"/>
            </v:shapetype>
            <v:shape id="Text Box 8" o:spid="_x0000_s1029" type="#_x0000_t202" alt="Client Confident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XRpSbEAIAACEE&#10;AAAOAAAAAAAAAAAAAAAAAC4CAABkcnMvZTJvRG9jLnhtbFBLAQItABQABgAIAAAAIQDUHg1H2AAA&#10;AAMBAAAPAAAAAAAAAAAAAAAAAGoEAABkcnMvZG93bnJldi54bWxQSwUGAAAAAAQABADzAAAAbwUA&#10;AAAA&#10;" filled="f" stroked="f">
              <v:textbox style="mso-fit-shape-to-text:t" inset="0,15pt,0,0">
                <w:txbxContent>
                  <w:p w14:paraId="16301EEA" w14:textId="4F1EBFFD"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6ED96" w14:textId="57A3D652" w:rsidR="0008752E" w:rsidRPr="0030124D" w:rsidRDefault="00DE0535">
    <w:pPr>
      <w:pStyle w:val="Header"/>
    </w:pPr>
    <w:r w:rsidRPr="004A0DDA">
      <w:rPr>
        <w:noProof/>
      </w:rPr>
      <w:drawing>
        <wp:anchor distT="0" distB="0" distL="114300" distR="114300" simplePos="0" relativeHeight="251658240" behindDoc="1" locked="0" layoutInCell="1" allowOverlap="1" wp14:anchorId="12781255" wp14:editId="4361FB8E">
          <wp:simplePos x="0" y="0"/>
          <wp:positionH relativeFrom="column">
            <wp:posOffset>-739775</wp:posOffset>
          </wp:positionH>
          <wp:positionV relativeFrom="paragraph">
            <wp:posOffset>-460375</wp:posOffset>
          </wp:positionV>
          <wp:extent cx="7635180" cy="10800000"/>
          <wp:effectExtent l="0" t="0" r="4445" b="1905"/>
          <wp:wrapNone/>
          <wp:docPr id="1008625483" name="Picture 10086254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0A09" w14:textId="531AD710" w:rsidR="006072C1" w:rsidRDefault="006072C1">
    <w:pPr>
      <w:pStyle w:val="Header"/>
    </w:pPr>
    <w:r>
      <w:rPr>
        <w:noProof/>
      </w:rPr>
      <mc:AlternateContent>
        <mc:Choice Requires="wps">
          <w:drawing>
            <wp:anchor distT="0" distB="0" distL="0" distR="0" simplePos="0" relativeHeight="251658247" behindDoc="0" locked="0" layoutInCell="1" allowOverlap="1" wp14:anchorId="47B96DE8" wp14:editId="4ADCD135">
              <wp:simplePos x="635" y="635"/>
              <wp:positionH relativeFrom="page">
                <wp:align>center</wp:align>
              </wp:positionH>
              <wp:positionV relativeFrom="page">
                <wp:align>top</wp:align>
              </wp:positionV>
              <wp:extent cx="443865" cy="443865"/>
              <wp:effectExtent l="0" t="0" r="17145" b="8255"/>
              <wp:wrapNone/>
              <wp:docPr id="1453224659" name="Text Box 7"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DFFCF9" w14:textId="39F8B7DF"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w:pict>
            <v:shapetype w14:anchorId="47B96DE8" id="_x0000_t202" coordsize="21600,21600" o:spt="202" path="m,l,21600r21600,l21600,xe">
              <v:stroke joinstyle="miter"/>
              <v:path gradientshapeok="t" o:connecttype="rect"/>
            </v:shapetype>
            <v:shape id="Text Box 7" o:spid="_x0000_s1031" type="#_x0000_t202" alt="Client Confident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A1anMeEAIAACEE&#10;AAAOAAAAAAAAAAAAAAAAAC4CAABkcnMvZTJvRG9jLnhtbFBLAQItABQABgAIAAAAIQDUHg1H2AAA&#10;AAMBAAAPAAAAAAAAAAAAAAAAAGoEAABkcnMvZG93bnJldi54bWxQSwUGAAAAAAQABADzAAAAbwUA&#10;AAAA&#10;" filled="f" stroked="f">
              <v:textbox style="mso-fit-shape-to-text:t" inset="0,15pt,0,0">
                <w:txbxContent>
                  <w:p w14:paraId="66DFFCF9" w14:textId="39F8B7DF"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1315"/>
    <w:multiLevelType w:val="hybridMultilevel"/>
    <w:tmpl w:val="75E8A19C"/>
    <w:lvl w:ilvl="0" w:tplc="5C0A4D3C">
      <w:start w:val="1"/>
      <w:numFmt w:val="decimal"/>
      <w:lvlText w:val="%1)"/>
      <w:lvlJc w:val="left"/>
      <w:pPr>
        <w:ind w:left="1020" w:hanging="360"/>
      </w:pPr>
    </w:lvl>
    <w:lvl w:ilvl="1" w:tplc="873C8128">
      <w:start w:val="1"/>
      <w:numFmt w:val="decimal"/>
      <w:lvlText w:val="%2)"/>
      <w:lvlJc w:val="left"/>
      <w:pPr>
        <w:ind w:left="1020" w:hanging="360"/>
      </w:pPr>
    </w:lvl>
    <w:lvl w:ilvl="2" w:tplc="6CCE8C0C">
      <w:start w:val="1"/>
      <w:numFmt w:val="decimal"/>
      <w:lvlText w:val="%3)"/>
      <w:lvlJc w:val="left"/>
      <w:pPr>
        <w:ind w:left="1020" w:hanging="360"/>
      </w:pPr>
    </w:lvl>
    <w:lvl w:ilvl="3" w:tplc="4B3A45AA">
      <w:start w:val="1"/>
      <w:numFmt w:val="decimal"/>
      <w:lvlText w:val="%4)"/>
      <w:lvlJc w:val="left"/>
      <w:pPr>
        <w:ind w:left="1020" w:hanging="360"/>
      </w:pPr>
    </w:lvl>
    <w:lvl w:ilvl="4" w:tplc="01E29A78">
      <w:start w:val="1"/>
      <w:numFmt w:val="decimal"/>
      <w:lvlText w:val="%5)"/>
      <w:lvlJc w:val="left"/>
      <w:pPr>
        <w:ind w:left="1020" w:hanging="360"/>
      </w:pPr>
    </w:lvl>
    <w:lvl w:ilvl="5" w:tplc="81B4791A">
      <w:start w:val="1"/>
      <w:numFmt w:val="decimal"/>
      <w:lvlText w:val="%6)"/>
      <w:lvlJc w:val="left"/>
      <w:pPr>
        <w:ind w:left="1020" w:hanging="360"/>
      </w:pPr>
    </w:lvl>
    <w:lvl w:ilvl="6" w:tplc="6212E1EA">
      <w:start w:val="1"/>
      <w:numFmt w:val="decimal"/>
      <w:lvlText w:val="%7)"/>
      <w:lvlJc w:val="left"/>
      <w:pPr>
        <w:ind w:left="1020" w:hanging="360"/>
      </w:pPr>
    </w:lvl>
    <w:lvl w:ilvl="7" w:tplc="7D9435C4">
      <w:start w:val="1"/>
      <w:numFmt w:val="decimal"/>
      <w:lvlText w:val="%8)"/>
      <w:lvlJc w:val="left"/>
      <w:pPr>
        <w:ind w:left="1020" w:hanging="360"/>
      </w:pPr>
    </w:lvl>
    <w:lvl w:ilvl="8" w:tplc="2AF66A20">
      <w:start w:val="1"/>
      <w:numFmt w:val="decimal"/>
      <w:lvlText w:val="%9)"/>
      <w:lvlJc w:val="left"/>
      <w:pPr>
        <w:ind w:left="1020" w:hanging="360"/>
      </w:pPr>
    </w:lvl>
  </w:abstractNum>
  <w:abstractNum w:abstractNumId="1" w15:restartNumberingAfterBreak="0">
    <w:nsid w:val="073242B0"/>
    <w:multiLevelType w:val="multilevel"/>
    <w:tmpl w:val="9692DB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076C58"/>
    <w:multiLevelType w:val="hybridMultilevel"/>
    <w:tmpl w:val="F34EA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475C8"/>
    <w:multiLevelType w:val="multilevel"/>
    <w:tmpl w:val="7988D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BFA2C0E"/>
    <w:multiLevelType w:val="hybridMultilevel"/>
    <w:tmpl w:val="F6DABF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81BC3"/>
    <w:multiLevelType w:val="hybridMultilevel"/>
    <w:tmpl w:val="86CCC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E0C34"/>
    <w:multiLevelType w:val="multilevel"/>
    <w:tmpl w:val="F612AA7E"/>
    <w:lvl w:ilvl="0">
      <w:start w:val="1"/>
      <w:numFmt w:val="decimal"/>
      <w:pStyle w:val="heading10"/>
      <w:lvlText w:val="%1."/>
      <w:lvlJc w:val="left"/>
      <w:pPr>
        <w:ind w:left="360" w:hanging="360"/>
      </w:pPr>
      <w:rPr>
        <w:rFonts w:hint="default"/>
        <w:b w:val="0"/>
        <w:bCs/>
      </w:rPr>
    </w:lvl>
    <w:lvl w:ilvl="1">
      <w:start w:val="1"/>
      <w:numFmt w:val="decimal"/>
      <w:pStyle w:val="heading20"/>
      <w:lvlText w:val="%1.%2."/>
      <w:lvlJc w:val="left"/>
      <w:pPr>
        <w:ind w:left="10071"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C9E69BC"/>
    <w:multiLevelType w:val="hybridMultilevel"/>
    <w:tmpl w:val="00EE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83372B"/>
    <w:multiLevelType w:val="hybridMultilevel"/>
    <w:tmpl w:val="28722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0626D3"/>
    <w:multiLevelType w:val="hybridMultilevel"/>
    <w:tmpl w:val="76D8A060"/>
    <w:lvl w:ilvl="0" w:tplc="1BA009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492BED"/>
    <w:multiLevelType w:val="hybridMultilevel"/>
    <w:tmpl w:val="B5FA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E2A7A"/>
    <w:multiLevelType w:val="hybridMultilevel"/>
    <w:tmpl w:val="7B1C6200"/>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4" w15:restartNumberingAfterBreak="0">
    <w:nsid w:val="47171261"/>
    <w:multiLevelType w:val="hybridMultilevel"/>
    <w:tmpl w:val="24DC6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C461F6"/>
    <w:multiLevelType w:val="hybridMultilevel"/>
    <w:tmpl w:val="CCAED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1C12E4"/>
    <w:multiLevelType w:val="hybridMultilevel"/>
    <w:tmpl w:val="D5B41856"/>
    <w:lvl w:ilvl="0" w:tplc="FFFFFFFF">
      <w:start w:val="1"/>
      <w:numFmt w:val="bullet"/>
      <w:pStyle w:val="Bullet1"/>
      <w:lvlText w:val=""/>
      <w:lvlJc w:val="left"/>
      <w:pPr>
        <w:ind w:left="1495"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A22B6"/>
    <w:multiLevelType w:val="hybridMultilevel"/>
    <w:tmpl w:val="AC2ECB1A"/>
    <w:lvl w:ilvl="0" w:tplc="E27C713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BC084E6">
      <w:numFmt w:val="bullet"/>
      <w:lvlText w:val="-"/>
      <w:lvlJc w:val="left"/>
      <w:pPr>
        <w:ind w:left="2880" w:hanging="360"/>
      </w:pPr>
      <w:rPr>
        <w:rFonts w:ascii="Calibri" w:eastAsiaTheme="minorHAns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2613F2"/>
    <w:multiLevelType w:val="multilevel"/>
    <w:tmpl w:val="9692DB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5E6325"/>
    <w:multiLevelType w:val="hybridMultilevel"/>
    <w:tmpl w:val="B90A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113C10"/>
    <w:multiLevelType w:val="hybridMultilevel"/>
    <w:tmpl w:val="BE043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9D0A85"/>
    <w:multiLevelType w:val="hybridMultilevel"/>
    <w:tmpl w:val="886C11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A412DA"/>
    <w:multiLevelType w:val="hybridMultilevel"/>
    <w:tmpl w:val="C658C938"/>
    <w:lvl w:ilvl="0" w:tplc="F81005F8">
      <w:start w:val="1"/>
      <w:numFmt w:val="decimal"/>
      <w:lvlText w:val="%1)"/>
      <w:lvlJc w:val="left"/>
      <w:pPr>
        <w:ind w:left="1020" w:hanging="360"/>
      </w:pPr>
    </w:lvl>
    <w:lvl w:ilvl="1" w:tplc="3EC8E8D2">
      <w:start w:val="1"/>
      <w:numFmt w:val="decimal"/>
      <w:lvlText w:val="%2)"/>
      <w:lvlJc w:val="left"/>
      <w:pPr>
        <w:ind w:left="1020" w:hanging="360"/>
      </w:pPr>
    </w:lvl>
    <w:lvl w:ilvl="2" w:tplc="3E2ED4F8">
      <w:start w:val="1"/>
      <w:numFmt w:val="decimal"/>
      <w:lvlText w:val="%3)"/>
      <w:lvlJc w:val="left"/>
      <w:pPr>
        <w:ind w:left="1020" w:hanging="360"/>
      </w:pPr>
    </w:lvl>
    <w:lvl w:ilvl="3" w:tplc="E246430C">
      <w:start w:val="1"/>
      <w:numFmt w:val="decimal"/>
      <w:lvlText w:val="%4)"/>
      <w:lvlJc w:val="left"/>
      <w:pPr>
        <w:ind w:left="1020" w:hanging="360"/>
      </w:pPr>
    </w:lvl>
    <w:lvl w:ilvl="4" w:tplc="A4C8FC12">
      <w:start w:val="1"/>
      <w:numFmt w:val="decimal"/>
      <w:lvlText w:val="%5)"/>
      <w:lvlJc w:val="left"/>
      <w:pPr>
        <w:ind w:left="1020" w:hanging="360"/>
      </w:pPr>
    </w:lvl>
    <w:lvl w:ilvl="5" w:tplc="FB184F42">
      <w:start w:val="1"/>
      <w:numFmt w:val="decimal"/>
      <w:lvlText w:val="%6)"/>
      <w:lvlJc w:val="left"/>
      <w:pPr>
        <w:ind w:left="1020" w:hanging="360"/>
      </w:pPr>
    </w:lvl>
    <w:lvl w:ilvl="6" w:tplc="1242B9B0">
      <w:start w:val="1"/>
      <w:numFmt w:val="decimal"/>
      <w:lvlText w:val="%7)"/>
      <w:lvlJc w:val="left"/>
      <w:pPr>
        <w:ind w:left="1020" w:hanging="360"/>
      </w:pPr>
    </w:lvl>
    <w:lvl w:ilvl="7" w:tplc="1302B7C0">
      <w:start w:val="1"/>
      <w:numFmt w:val="decimal"/>
      <w:lvlText w:val="%8)"/>
      <w:lvlJc w:val="left"/>
      <w:pPr>
        <w:ind w:left="1020" w:hanging="360"/>
      </w:pPr>
    </w:lvl>
    <w:lvl w:ilvl="8" w:tplc="D60E6E88">
      <w:start w:val="1"/>
      <w:numFmt w:val="decimal"/>
      <w:lvlText w:val="%9)"/>
      <w:lvlJc w:val="left"/>
      <w:pPr>
        <w:ind w:left="1020" w:hanging="360"/>
      </w:pPr>
    </w:lvl>
  </w:abstractNum>
  <w:num w:numId="1" w16cid:durableId="868879784">
    <w:abstractNumId w:val="12"/>
  </w:num>
  <w:num w:numId="2" w16cid:durableId="2056730835">
    <w:abstractNumId w:val="11"/>
  </w:num>
  <w:num w:numId="3" w16cid:durableId="1212840905">
    <w:abstractNumId w:val="16"/>
  </w:num>
  <w:num w:numId="4" w16cid:durableId="1677924881">
    <w:abstractNumId w:val="21"/>
  </w:num>
  <w:num w:numId="5" w16cid:durableId="287469942">
    <w:abstractNumId w:val="4"/>
  </w:num>
  <w:num w:numId="6" w16cid:durableId="850530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203007">
    <w:abstractNumId w:val="6"/>
  </w:num>
  <w:num w:numId="8" w16cid:durableId="1214123871">
    <w:abstractNumId w:val="17"/>
  </w:num>
  <w:num w:numId="9" w16cid:durableId="1985701042">
    <w:abstractNumId w:val="19"/>
  </w:num>
  <w:num w:numId="10" w16cid:durableId="109132846">
    <w:abstractNumId w:val="22"/>
  </w:num>
  <w:num w:numId="11" w16cid:durableId="2143575337">
    <w:abstractNumId w:val="10"/>
  </w:num>
  <w:num w:numId="12" w16cid:durableId="1339311580">
    <w:abstractNumId w:val="9"/>
  </w:num>
  <w:num w:numId="13" w16cid:durableId="1077633438">
    <w:abstractNumId w:val="13"/>
  </w:num>
  <w:num w:numId="14" w16cid:durableId="329723048">
    <w:abstractNumId w:val="15"/>
  </w:num>
  <w:num w:numId="15" w16cid:durableId="1431198112">
    <w:abstractNumId w:val="8"/>
  </w:num>
  <w:num w:numId="16" w16cid:durableId="1688673962">
    <w:abstractNumId w:val="14"/>
  </w:num>
  <w:num w:numId="17" w16cid:durableId="1812404176">
    <w:abstractNumId w:val="5"/>
  </w:num>
  <w:num w:numId="18" w16cid:durableId="379014919">
    <w:abstractNumId w:val="2"/>
  </w:num>
  <w:num w:numId="19" w16cid:durableId="1359509178">
    <w:abstractNumId w:val="7"/>
  </w:num>
  <w:num w:numId="20" w16cid:durableId="431126631">
    <w:abstractNumId w:val="1"/>
  </w:num>
  <w:num w:numId="21" w16cid:durableId="2127580877">
    <w:abstractNumId w:val="18"/>
  </w:num>
  <w:num w:numId="22" w16cid:durableId="1250385651">
    <w:abstractNumId w:val="20"/>
  </w:num>
  <w:num w:numId="23" w16cid:durableId="15714260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17245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5876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6177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00138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9678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831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1679260">
    <w:abstractNumId w:val="6"/>
  </w:num>
  <w:num w:numId="31" w16cid:durableId="717171726">
    <w:abstractNumId w:val="6"/>
  </w:num>
  <w:num w:numId="32" w16cid:durableId="861208606">
    <w:abstractNumId w:val="3"/>
  </w:num>
  <w:num w:numId="33" w16cid:durableId="9888220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0267906">
    <w:abstractNumId w:val="6"/>
    <w:lvlOverride w:ilvl="0">
      <w:lvl w:ilvl="0">
        <w:start w:val="1"/>
        <w:numFmt w:val="decimal"/>
        <w:pStyle w:val="heading10"/>
        <w:lvlText w:val="%1."/>
        <w:lvlJc w:val="left"/>
        <w:pPr>
          <w:ind w:left="360" w:hanging="360"/>
        </w:pPr>
        <w:rPr>
          <w:rFonts w:hint="default"/>
          <w:b w:val="0"/>
          <w:bCs/>
        </w:rPr>
      </w:lvl>
    </w:lvlOverride>
    <w:lvlOverride w:ilvl="1">
      <w:lvl w:ilvl="1">
        <w:start w:val="1"/>
        <w:numFmt w:val="decimal"/>
        <w:pStyle w:val="heading20"/>
        <w:lvlText w:val="%1.%2."/>
        <w:lvlJc w:val="left"/>
        <w:pPr>
          <w:ind w:left="432" w:hanging="432"/>
        </w:pPr>
        <w:rPr>
          <w:rFonts w:hint="default"/>
        </w:rPr>
      </w:lvl>
    </w:lvlOverride>
    <w:lvlOverride w:ilvl="2">
      <w:lvl w:ilvl="2">
        <w:start w:val="1"/>
        <w:numFmt w:val="decimal"/>
        <w:pStyle w:val="heading30"/>
        <w:lvlText w:val="%1.%2.%3."/>
        <w:lvlJc w:val="left"/>
        <w:pPr>
          <w:ind w:left="1224" w:hanging="504"/>
        </w:pPr>
        <w:rPr>
          <w:rFonts w:hint="default"/>
        </w:rPr>
      </w:lvl>
    </w:lvlOverride>
    <w:lvlOverride w:ilvl="3">
      <w:lvl w:ilvl="3">
        <w:start w:val="1"/>
        <w:numFmt w:val="decimal"/>
        <w:pStyle w:val="heading40"/>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21374078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7780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881759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2794959">
    <w:abstractNumId w:val="23"/>
  </w:num>
  <w:num w:numId="39" w16cid:durableId="20353033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814170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005A"/>
    <w:rsid w:val="00000105"/>
    <w:rsid w:val="00000138"/>
    <w:rsid w:val="00000208"/>
    <w:rsid w:val="000002B9"/>
    <w:rsid w:val="0000031C"/>
    <w:rsid w:val="00000362"/>
    <w:rsid w:val="00000394"/>
    <w:rsid w:val="000003C5"/>
    <w:rsid w:val="00000428"/>
    <w:rsid w:val="0000043C"/>
    <w:rsid w:val="0000054C"/>
    <w:rsid w:val="00000747"/>
    <w:rsid w:val="00000844"/>
    <w:rsid w:val="0000087A"/>
    <w:rsid w:val="00000888"/>
    <w:rsid w:val="000008D4"/>
    <w:rsid w:val="000008DA"/>
    <w:rsid w:val="000009B6"/>
    <w:rsid w:val="00000A29"/>
    <w:rsid w:val="00000A53"/>
    <w:rsid w:val="00000A62"/>
    <w:rsid w:val="00000AFC"/>
    <w:rsid w:val="00000B81"/>
    <w:rsid w:val="00000C01"/>
    <w:rsid w:val="00000CBD"/>
    <w:rsid w:val="00000CFD"/>
    <w:rsid w:val="00000D0E"/>
    <w:rsid w:val="00000DCC"/>
    <w:rsid w:val="00000EBC"/>
    <w:rsid w:val="00000ED5"/>
    <w:rsid w:val="00000EDF"/>
    <w:rsid w:val="00001026"/>
    <w:rsid w:val="000010AD"/>
    <w:rsid w:val="000010B6"/>
    <w:rsid w:val="00001123"/>
    <w:rsid w:val="00001190"/>
    <w:rsid w:val="0000119D"/>
    <w:rsid w:val="0000119E"/>
    <w:rsid w:val="000011B7"/>
    <w:rsid w:val="000011C9"/>
    <w:rsid w:val="0000123D"/>
    <w:rsid w:val="0000124D"/>
    <w:rsid w:val="0000128A"/>
    <w:rsid w:val="000012B0"/>
    <w:rsid w:val="0000130C"/>
    <w:rsid w:val="000013A9"/>
    <w:rsid w:val="000014B8"/>
    <w:rsid w:val="000014E8"/>
    <w:rsid w:val="000015E9"/>
    <w:rsid w:val="0000163A"/>
    <w:rsid w:val="0000165A"/>
    <w:rsid w:val="000016F8"/>
    <w:rsid w:val="0000171B"/>
    <w:rsid w:val="0000171C"/>
    <w:rsid w:val="0000171D"/>
    <w:rsid w:val="000017AC"/>
    <w:rsid w:val="000017EB"/>
    <w:rsid w:val="00001829"/>
    <w:rsid w:val="00001841"/>
    <w:rsid w:val="000018FD"/>
    <w:rsid w:val="0000194C"/>
    <w:rsid w:val="00001A99"/>
    <w:rsid w:val="00001B3F"/>
    <w:rsid w:val="00001CDC"/>
    <w:rsid w:val="00001D6B"/>
    <w:rsid w:val="00001DAF"/>
    <w:rsid w:val="00001E1E"/>
    <w:rsid w:val="00001E4D"/>
    <w:rsid w:val="00001EAA"/>
    <w:rsid w:val="00001EDF"/>
    <w:rsid w:val="00001F03"/>
    <w:rsid w:val="00001F2D"/>
    <w:rsid w:val="00001F73"/>
    <w:rsid w:val="00001F95"/>
    <w:rsid w:val="00001FAC"/>
    <w:rsid w:val="0000208B"/>
    <w:rsid w:val="000020A6"/>
    <w:rsid w:val="00002156"/>
    <w:rsid w:val="0000217E"/>
    <w:rsid w:val="00002243"/>
    <w:rsid w:val="00002251"/>
    <w:rsid w:val="00002287"/>
    <w:rsid w:val="00002309"/>
    <w:rsid w:val="000023B8"/>
    <w:rsid w:val="000023C8"/>
    <w:rsid w:val="00002423"/>
    <w:rsid w:val="0000242B"/>
    <w:rsid w:val="00002480"/>
    <w:rsid w:val="000025BC"/>
    <w:rsid w:val="0000267E"/>
    <w:rsid w:val="000027CF"/>
    <w:rsid w:val="000027D4"/>
    <w:rsid w:val="0000286C"/>
    <w:rsid w:val="00002928"/>
    <w:rsid w:val="0000296A"/>
    <w:rsid w:val="0000296E"/>
    <w:rsid w:val="00002A82"/>
    <w:rsid w:val="00002B11"/>
    <w:rsid w:val="00002B4C"/>
    <w:rsid w:val="00002B55"/>
    <w:rsid w:val="00002C36"/>
    <w:rsid w:val="00002C37"/>
    <w:rsid w:val="00002C7F"/>
    <w:rsid w:val="00002CFE"/>
    <w:rsid w:val="00002D19"/>
    <w:rsid w:val="00002D2B"/>
    <w:rsid w:val="00002D4A"/>
    <w:rsid w:val="00002E24"/>
    <w:rsid w:val="00002EE1"/>
    <w:rsid w:val="00002F12"/>
    <w:rsid w:val="00002F1F"/>
    <w:rsid w:val="00002F32"/>
    <w:rsid w:val="0000301C"/>
    <w:rsid w:val="000030C8"/>
    <w:rsid w:val="000030EC"/>
    <w:rsid w:val="00003136"/>
    <w:rsid w:val="000031AF"/>
    <w:rsid w:val="000031CD"/>
    <w:rsid w:val="000031E0"/>
    <w:rsid w:val="0000325C"/>
    <w:rsid w:val="00003313"/>
    <w:rsid w:val="0000332C"/>
    <w:rsid w:val="00003358"/>
    <w:rsid w:val="000033DC"/>
    <w:rsid w:val="00003411"/>
    <w:rsid w:val="0000344A"/>
    <w:rsid w:val="000034C8"/>
    <w:rsid w:val="0000350B"/>
    <w:rsid w:val="0000351E"/>
    <w:rsid w:val="00003626"/>
    <w:rsid w:val="0000367D"/>
    <w:rsid w:val="000036C8"/>
    <w:rsid w:val="000036D4"/>
    <w:rsid w:val="00003751"/>
    <w:rsid w:val="00003781"/>
    <w:rsid w:val="000037A3"/>
    <w:rsid w:val="00003916"/>
    <w:rsid w:val="00003A24"/>
    <w:rsid w:val="00003A44"/>
    <w:rsid w:val="00003A8D"/>
    <w:rsid w:val="00003AD2"/>
    <w:rsid w:val="00003AE8"/>
    <w:rsid w:val="00003B42"/>
    <w:rsid w:val="00003B48"/>
    <w:rsid w:val="00003B8D"/>
    <w:rsid w:val="00003C0A"/>
    <w:rsid w:val="00003C27"/>
    <w:rsid w:val="00003C58"/>
    <w:rsid w:val="00003C80"/>
    <w:rsid w:val="00003C8B"/>
    <w:rsid w:val="00003DD6"/>
    <w:rsid w:val="00003E2C"/>
    <w:rsid w:val="00003E49"/>
    <w:rsid w:val="00003F5A"/>
    <w:rsid w:val="00004007"/>
    <w:rsid w:val="000040A0"/>
    <w:rsid w:val="000041CE"/>
    <w:rsid w:val="0000420F"/>
    <w:rsid w:val="00004314"/>
    <w:rsid w:val="0000442A"/>
    <w:rsid w:val="00004431"/>
    <w:rsid w:val="0000449C"/>
    <w:rsid w:val="000044DB"/>
    <w:rsid w:val="000044FB"/>
    <w:rsid w:val="0000460B"/>
    <w:rsid w:val="00004684"/>
    <w:rsid w:val="000046BF"/>
    <w:rsid w:val="0000470E"/>
    <w:rsid w:val="00004724"/>
    <w:rsid w:val="00004860"/>
    <w:rsid w:val="000048E9"/>
    <w:rsid w:val="00004904"/>
    <w:rsid w:val="00004A3F"/>
    <w:rsid w:val="00004A4C"/>
    <w:rsid w:val="00004B06"/>
    <w:rsid w:val="00004B0A"/>
    <w:rsid w:val="00004B18"/>
    <w:rsid w:val="00004B56"/>
    <w:rsid w:val="00004BB4"/>
    <w:rsid w:val="00004BC0"/>
    <w:rsid w:val="00004D49"/>
    <w:rsid w:val="00004EE5"/>
    <w:rsid w:val="00004F70"/>
    <w:rsid w:val="00004F8F"/>
    <w:rsid w:val="00004FA8"/>
    <w:rsid w:val="00004FB0"/>
    <w:rsid w:val="00004FED"/>
    <w:rsid w:val="00005071"/>
    <w:rsid w:val="000050C9"/>
    <w:rsid w:val="000050EB"/>
    <w:rsid w:val="00005167"/>
    <w:rsid w:val="000051ED"/>
    <w:rsid w:val="000051FD"/>
    <w:rsid w:val="00005215"/>
    <w:rsid w:val="000052D8"/>
    <w:rsid w:val="0000534A"/>
    <w:rsid w:val="000053F6"/>
    <w:rsid w:val="00005481"/>
    <w:rsid w:val="00005487"/>
    <w:rsid w:val="000054E0"/>
    <w:rsid w:val="000055FE"/>
    <w:rsid w:val="0000569D"/>
    <w:rsid w:val="000056EF"/>
    <w:rsid w:val="000056FA"/>
    <w:rsid w:val="00005767"/>
    <w:rsid w:val="000057BE"/>
    <w:rsid w:val="000057E6"/>
    <w:rsid w:val="0000582B"/>
    <w:rsid w:val="000058F3"/>
    <w:rsid w:val="000058F6"/>
    <w:rsid w:val="00005987"/>
    <w:rsid w:val="000059A7"/>
    <w:rsid w:val="000059E0"/>
    <w:rsid w:val="00005A0F"/>
    <w:rsid w:val="00005A73"/>
    <w:rsid w:val="00005A78"/>
    <w:rsid w:val="00005B0D"/>
    <w:rsid w:val="00005BCC"/>
    <w:rsid w:val="00005BDB"/>
    <w:rsid w:val="00005C68"/>
    <w:rsid w:val="00005CD1"/>
    <w:rsid w:val="00005CEC"/>
    <w:rsid w:val="00005D0F"/>
    <w:rsid w:val="00005E50"/>
    <w:rsid w:val="00005E5E"/>
    <w:rsid w:val="00005EDA"/>
    <w:rsid w:val="00005F5C"/>
    <w:rsid w:val="00006024"/>
    <w:rsid w:val="0000603A"/>
    <w:rsid w:val="000060B2"/>
    <w:rsid w:val="000060D3"/>
    <w:rsid w:val="00006135"/>
    <w:rsid w:val="00006159"/>
    <w:rsid w:val="0000618F"/>
    <w:rsid w:val="00006214"/>
    <w:rsid w:val="00006280"/>
    <w:rsid w:val="000062FD"/>
    <w:rsid w:val="00006378"/>
    <w:rsid w:val="000063B8"/>
    <w:rsid w:val="000064A7"/>
    <w:rsid w:val="00006556"/>
    <w:rsid w:val="000065B6"/>
    <w:rsid w:val="000065BF"/>
    <w:rsid w:val="0000664C"/>
    <w:rsid w:val="0000664D"/>
    <w:rsid w:val="00006693"/>
    <w:rsid w:val="00006695"/>
    <w:rsid w:val="000066DB"/>
    <w:rsid w:val="00006794"/>
    <w:rsid w:val="000067A0"/>
    <w:rsid w:val="000068C1"/>
    <w:rsid w:val="00006970"/>
    <w:rsid w:val="00006A49"/>
    <w:rsid w:val="00006B09"/>
    <w:rsid w:val="00006B2E"/>
    <w:rsid w:val="00006B73"/>
    <w:rsid w:val="00006BCB"/>
    <w:rsid w:val="00006BE5"/>
    <w:rsid w:val="00006C51"/>
    <w:rsid w:val="00006CCC"/>
    <w:rsid w:val="00006DC7"/>
    <w:rsid w:val="00006E42"/>
    <w:rsid w:val="00006E75"/>
    <w:rsid w:val="00006ECF"/>
    <w:rsid w:val="00007028"/>
    <w:rsid w:val="00007152"/>
    <w:rsid w:val="00007155"/>
    <w:rsid w:val="00007189"/>
    <w:rsid w:val="00007264"/>
    <w:rsid w:val="00007291"/>
    <w:rsid w:val="000073AB"/>
    <w:rsid w:val="00007548"/>
    <w:rsid w:val="000075C8"/>
    <w:rsid w:val="000075DC"/>
    <w:rsid w:val="000075EC"/>
    <w:rsid w:val="000075F9"/>
    <w:rsid w:val="00007664"/>
    <w:rsid w:val="00007686"/>
    <w:rsid w:val="00007690"/>
    <w:rsid w:val="0000769B"/>
    <w:rsid w:val="000077D9"/>
    <w:rsid w:val="000077F9"/>
    <w:rsid w:val="00007851"/>
    <w:rsid w:val="0000790C"/>
    <w:rsid w:val="00007921"/>
    <w:rsid w:val="000079AB"/>
    <w:rsid w:val="00007A48"/>
    <w:rsid w:val="00007A6B"/>
    <w:rsid w:val="00007A7E"/>
    <w:rsid w:val="00007C14"/>
    <w:rsid w:val="00007C74"/>
    <w:rsid w:val="00007D07"/>
    <w:rsid w:val="00007D88"/>
    <w:rsid w:val="00007E2E"/>
    <w:rsid w:val="00007E82"/>
    <w:rsid w:val="00007F71"/>
    <w:rsid w:val="00007FA7"/>
    <w:rsid w:val="00007FAB"/>
    <w:rsid w:val="00007FB5"/>
    <w:rsid w:val="00007FD1"/>
    <w:rsid w:val="00010010"/>
    <w:rsid w:val="000100E0"/>
    <w:rsid w:val="0001012B"/>
    <w:rsid w:val="0001029B"/>
    <w:rsid w:val="000102F5"/>
    <w:rsid w:val="00010328"/>
    <w:rsid w:val="00010366"/>
    <w:rsid w:val="000103EE"/>
    <w:rsid w:val="0001043B"/>
    <w:rsid w:val="00010463"/>
    <w:rsid w:val="000104A3"/>
    <w:rsid w:val="00010540"/>
    <w:rsid w:val="00010584"/>
    <w:rsid w:val="000105AB"/>
    <w:rsid w:val="00010605"/>
    <w:rsid w:val="000106AB"/>
    <w:rsid w:val="00010743"/>
    <w:rsid w:val="00010766"/>
    <w:rsid w:val="000107AC"/>
    <w:rsid w:val="000107EC"/>
    <w:rsid w:val="000107F5"/>
    <w:rsid w:val="00010850"/>
    <w:rsid w:val="00010885"/>
    <w:rsid w:val="0001092B"/>
    <w:rsid w:val="0001094A"/>
    <w:rsid w:val="000109A4"/>
    <w:rsid w:val="00010A37"/>
    <w:rsid w:val="00010B61"/>
    <w:rsid w:val="00010C11"/>
    <w:rsid w:val="00010C38"/>
    <w:rsid w:val="00010CD3"/>
    <w:rsid w:val="00010CF1"/>
    <w:rsid w:val="00010CF2"/>
    <w:rsid w:val="00010E02"/>
    <w:rsid w:val="00010EAF"/>
    <w:rsid w:val="00010ED7"/>
    <w:rsid w:val="00010F45"/>
    <w:rsid w:val="00010F91"/>
    <w:rsid w:val="0001100E"/>
    <w:rsid w:val="00011058"/>
    <w:rsid w:val="0001106F"/>
    <w:rsid w:val="0001107B"/>
    <w:rsid w:val="00011098"/>
    <w:rsid w:val="000110A8"/>
    <w:rsid w:val="000110BE"/>
    <w:rsid w:val="000110DD"/>
    <w:rsid w:val="0001116C"/>
    <w:rsid w:val="000111E3"/>
    <w:rsid w:val="00011222"/>
    <w:rsid w:val="0001124A"/>
    <w:rsid w:val="00011328"/>
    <w:rsid w:val="00011384"/>
    <w:rsid w:val="000113AB"/>
    <w:rsid w:val="000113D3"/>
    <w:rsid w:val="000113EB"/>
    <w:rsid w:val="000113F2"/>
    <w:rsid w:val="0001150C"/>
    <w:rsid w:val="00011581"/>
    <w:rsid w:val="000115D5"/>
    <w:rsid w:val="0001163D"/>
    <w:rsid w:val="0001163F"/>
    <w:rsid w:val="000116AA"/>
    <w:rsid w:val="000116C7"/>
    <w:rsid w:val="000116DB"/>
    <w:rsid w:val="00011735"/>
    <w:rsid w:val="00011798"/>
    <w:rsid w:val="000117C2"/>
    <w:rsid w:val="000117EE"/>
    <w:rsid w:val="00011872"/>
    <w:rsid w:val="000118E8"/>
    <w:rsid w:val="00011A59"/>
    <w:rsid w:val="00011B74"/>
    <w:rsid w:val="00011C07"/>
    <w:rsid w:val="00011C56"/>
    <w:rsid w:val="00011CE6"/>
    <w:rsid w:val="00011D44"/>
    <w:rsid w:val="00011D73"/>
    <w:rsid w:val="00011D7C"/>
    <w:rsid w:val="00011DF7"/>
    <w:rsid w:val="00012022"/>
    <w:rsid w:val="000120A4"/>
    <w:rsid w:val="0001215A"/>
    <w:rsid w:val="00012188"/>
    <w:rsid w:val="000121AE"/>
    <w:rsid w:val="00012275"/>
    <w:rsid w:val="00012287"/>
    <w:rsid w:val="000122AD"/>
    <w:rsid w:val="0001240B"/>
    <w:rsid w:val="000124A8"/>
    <w:rsid w:val="000124FA"/>
    <w:rsid w:val="0001250C"/>
    <w:rsid w:val="0001251C"/>
    <w:rsid w:val="00012692"/>
    <w:rsid w:val="0001272B"/>
    <w:rsid w:val="0001275B"/>
    <w:rsid w:val="0001275D"/>
    <w:rsid w:val="00012836"/>
    <w:rsid w:val="0001284D"/>
    <w:rsid w:val="00012853"/>
    <w:rsid w:val="00012859"/>
    <w:rsid w:val="000128E0"/>
    <w:rsid w:val="000128F6"/>
    <w:rsid w:val="0001292B"/>
    <w:rsid w:val="00012963"/>
    <w:rsid w:val="000129EE"/>
    <w:rsid w:val="00012A6C"/>
    <w:rsid w:val="00012A82"/>
    <w:rsid w:val="00012A9C"/>
    <w:rsid w:val="00012BA1"/>
    <w:rsid w:val="00012C0C"/>
    <w:rsid w:val="00012C8D"/>
    <w:rsid w:val="00012CD8"/>
    <w:rsid w:val="00012D43"/>
    <w:rsid w:val="00012DB4"/>
    <w:rsid w:val="00012E23"/>
    <w:rsid w:val="00012F2C"/>
    <w:rsid w:val="00012F45"/>
    <w:rsid w:val="00012FB2"/>
    <w:rsid w:val="00012FB4"/>
    <w:rsid w:val="00013042"/>
    <w:rsid w:val="000130A1"/>
    <w:rsid w:val="000130E2"/>
    <w:rsid w:val="000131FF"/>
    <w:rsid w:val="00013218"/>
    <w:rsid w:val="00013281"/>
    <w:rsid w:val="000132D5"/>
    <w:rsid w:val="00013331"/>
    <w:rsid w:val="00013351"/>
    <w:rsid w:val="0001336B"/>
    <w:rsid w:val="000133BF"/>
    <w:rsid w:val="00013410"/>
    <w:rsid w:val="000134FB"/>
    <w:rsid w:val="00013524"/>
    <w:rsid w:val="0001359C"/>
    <w:rsid w:val="0001371D"/>
    <w:rsid w:val="00013787"/>
    <w:rsid w:val="000137DD"/>
    <w:rsid w:val="00013814"/>
    <w:rsid w:val="00013842"/>
    <w:rsid w:val="000138E5"/>
    <w:rsid w:val="00013923"/>
    <w:rsid w:val="00013A67"/>
    <w:rsid w:val="00013A7B"/>
    <w:rsid w:val="00013AC5"/>
    <w:rsid w:val="00013BB5"/>
    <w:rsid w:val="00013BE7"/>
    <w:rsid w:val="00013C7C"/>
    <w:rsid w:val="00013E97"/>
    <w:rsid w:val="00014098"/>
    <w:rsid w:val="000140B7"/>
    <w:rsid w:val="000140E6"/>
    <w:rsid w:val="00014290"/>
    <w:rsid w:val="000142CF"/>
    <w:rsid w:val="000142F1"/>
    <w:rsid w:val="00014325"/>
    <w:rsid w:val="000143A3"/>
    <w:rsid w:val="00014497"/>
    <w:rsid w:val="00014498"/>
    <w:rsid w:val="00014550"/>
    <w:rsid w:val="00014568"/>
    <w:rsid w:val="000145AA"/>
    <w:rsid w:val="000145AF"/>
    <w:rsid w:val="00014600"/>
    <w:rsid w:val="00014638"/>
    <w:rsid w:val="000146B2"/>
    <w:rsid w:val="000146D2"/>
    <w:rsid w:val="00014704"/>
    <w:rsid w:val="000147FB"/>
    <w:rsid w:val="0001485C"/>
    <w:rsid w:val="000148ED"/>
    <w:rsid w:val="000149D8"/>
    <w:rsid w:val="00014A49"/>
    <w:rsid w:val="00014A4B"/>
    <w:rsid w:val="00014A73"/>
    <w:rsid w:val="00014AAE"/>
    <w:rsid w:val="00014BCF"/>
    <w:rsid w:val="00014C15"/>
    <w:rsid w:val="00014C7B"/>
    <w:rsid w:val="00014C85"/>
    <w:rsid w:val="00014D53"/>
    <w:rsid w:val="00014D83"/>
    <w:rsid w:val="00014DD0"/>
    <w:rsid w:val="00014E55"/>
    <w:rsid w:val="00014E62"/>
    <w:rsid w:val="00014E8D"/>
    <w:rsid w:val="00014EB2"/>
    <w:rsid w:val="00014EDC"/>
    <w:rsid w:val="0001500A"/>
    <w:rsid w:val="0001508C"/>
    <w:rsid w:val="00015095"/>
    <w:rsid w:val="000150E1"/>
    <w:rsid w:val="0001519C"/>
    <w:rsid w:val="000151FE"/>
    <w:rsid w:val="0001529A"/>
    <w:rsid w:val="000152E5"/>
    <w:rsid w:val="0001535E"/>
    <w:rsid w:val="000153E5"/>
    <w:rsid w:val="0001541A"/>
    <w:rsid w:val="00015492"/>
    <w:rsid w:val="000154D5"/>
    <w:rsid w:val="00015586"/>
    <w:rsid w:val="000155A1"/>
    <w:rsid w:val="00015683"/>
    <w:rsid w:val="000156E6"/>
    <w:rsid w:val="0001576E"/>
    <w:rsid w:val="000157C7"/>
    <w:rsid w:val="000157DA"/>
    <w:rsid w:val="00015809"/>
    <w:rsid w:val="0001584A"/>
    <w:rsid w:val="00015880"/>
    <w:rsid w:val="00015910"/>
    <w:rsid w:val="00015926"/>
    <w:rsid w:val="000159B0"/>
    <w:rsid w:val="000159C4"/>
    <w:rsid w:val="000159F0"/>
    <w:rsid w:val="00015A62"/>
    <w:rsid w:val="00015A6C"/>
    <w:rsid w:val="00015AAD"/>
    <w:rsid w:val="00015B8C"/>
    <w:rsid w:val="00015B94"/>
    <w:rsid w:val="00015C74"/>
    <w:rsid w:val="00015C8B"/>
    <w:rsid w:val="00015CFB"/>
    <w:rsid w:val="00015D4A"/>
    <w:rsid w:val="00015D81"/>
    <w:rsid w:val="00015EEA"/>
    <w:rsid w:val="00015F11"/>
    <w:rsid w:val="00015F47"/>
    <w:rsid w:val="00015FA9"/>
    <w:rsid w:val="00015FB8"/>
    <w:rsid w:val="00016004"/>
    <w:rsid w:val="00016039"/>
    <w:rsid w:val="0001603B"/>
    <w:rsid w:val="0001608E"/>
    <w:rsid w:val="000160D4"/>
    <w:rsid w:val="000160E2"/>
    <w:rsid w:val="0001612D"/>
    <w:rsid w:val="0001612F"/>
    <w:rsid w:val="0001615D"/>
    <w:rsid w:val="00016162"/>
    <w:rsid w:val="0001618E"/>
    <w:rsid w:val="000161E4"/>
    <w:rsid w:val="0001622D"/>
    <w:rsid w:val="0001627A"/>
    <w:rsid w:val="00016324"/>
    <w:rsid w:val="00016339"/>
    <w:rsid w:val="0001639F"/>
    <w:rsid w:val="000163FC"/>
    <w:rsid w:val="0001645E"/>
    <w:rsid w:val="0001649E"/>
    <w:rsid w:val="00016589"/>
    <w:rsid w:val="0001659B"/>
    <w:rsid w:val="000165E4"/>
    <w:rsid w:val="00016621"/>
    <w:rsid w:val="00016642"/>
    <w:rsid w:val="00016657"/>
    <w:rsid w:val="00016684"/>
    <w:rsid w:val="00016731"/>
    <w:rsid w:val="0001676E"/>
    <w:rsid w:val="00016773"/>
    <w:rsid w:val="00016794"/>
    <w:rsid w:val="000167B8"/>
    <w:rsid w:val="0001681A"/>
    <w:rsid w:val="0001683A"/>
    <w:rsid w:val="0001693A"/>
    <w:rsid w:val="00016953"/>
    <w:rsid w:val="0001695E"/>
    <w:rsid w:val="00016A3A"/>
    <w:rsid w:val="00016A66"/>
    <w:rsid w:val="00016A85"/>
    <w:rsid w:val="00016B17"/>
    <w:rsid w:val="00016B52"/>
    <w:rsid w:val="00016BEC"/>
    <w:rsid w:val="00016C30"/>
    <w:rsid w:val="00016CA0"/>
    <w:rsid w:val="00016CB5"/>
    <w:rsid w:val="00016D54"/>
    <w:rsid w:val="00016D9C"/>
    <w:rsid w:val="00016E71"/>
    <w:rsid w:val="00016E9D"/>
    <w:rsid w:val="00016EA1"/>
    <w:rsid w:val="00016FFC"/>
    <w:rsid w:val="00017000"/>
    <w:rsid w:val="000170E5"/>
    <w:rsid w:val="000171CD"/>
    <w:rsid w:val="0001721B"/>
    <w:rsid w:val="0001729E"/>
    <w:rsid w:val="00017361"/>
    <w:rsid w:val="00017489"/>
    <w:rsid w:val="0001748B"/>
    <w:rsid w:val="000174E6"/>
    <w:rsid w:val="00017579"/>
    <w:rsid w:val="0001757F"/>
    <w:rsid w:val="00017622"/>
    <w:rsid w:val="00017704"/>
    <w:rsid w:val="00017715"/>
    <w:rsid w:val="00017789"/>
    <w:rsid w:val="000177A3"/>
    <w:rsid w:val="00017896"/>
    <w:rsid w:val="00017941"/>
    <w:rsid w:val="000179E0"/>
    <w:rsid w:val="00017A1F"/>
    <w:rsid w:val="00017A22"/>
    <w:rsid w:val="00017A5D"/>
    <w:rsid w:val="00017BB9"/>
    <w:rsid w:val="00017BFD"/>
    <w:rsid w:val="00017C78"/>
    <w:rsid w:val="00017C81"/>
    <w:rsid w:val="00017C8D"/>
    <w:rsid w:val="00017CBC"/>
    <w:rsid w:val="00017CD0"/>
    <w:rsid w:val="00017CF9"/>
    <w:rsid w:val="00017D09"/>
    <w:rsid w:val="00017D4E"/>
    <w:rsid w:val="00017DEC"/>
    <w:rsid w:val="00017E1D"/>
    <w:rsid w:val="00017E71"/>
    <w:rsid w:val="00017ECC"/>
    <w:rsid w:val="00017FB9"/>
    <w:rsid w:val="00017FBE"/>
    <w:rsid w:val="00017FEF"/>
    <w:rsid w:val="00020054"/>
    <w:rsid w:val="00020079"/>
    <w:rsid w:val="0002008E"/>
    <w:rsid w:val="000200A1"/>
    <w:rsid w:val="0002010C"/>
    <w:rsid w:val="00020117"/>
    <w:rsid w:val="0002017D"/>
    <w:rsid w:val="000201D2"/>
    <w:rsid w:val="000201E8"/>
    <w:rsid w:val="00020283"/>
    <w:rsid w:val="000202A0"/>
    <w:rsid w:val="000202F2"/>
    <w:rsid w:val="00020351"/>
    <w:rsid w:val="00020376"/>
    <w:rsid w:val="000203D0"/>
    <w:rsid w:val="000203E9"/>
    <w:rsid w:val="0002041C"/>
    <w:rsid w:val="000204CE"/>
    <w:rsid w:val="000204F6"/>
    <w:rsid w:val="00020504"/>
    <w:rsid w:val="0002053B"/>
    <w:rsid w:val="0002066B"/>
    <w:rsid w:val="000206B7"/>
    <w:rsid w:val="000206D7"/>
    <w:rsid w:val="0002074B"/>
    <w:rsid w:val="000207B2"/>
    <w:rsid w:val="00020808"/>
    <w:rsid w:val="000208D6"/>
    <w:rsid w:val="00020967"/>
    <w:rsid w:val="00020A5C"/>
    <w:rsid w:val="00020A75"/>
    <w:rsid w:val="00020AD8"/>
    <w:rsid w:val="00020B18"/>
    <w:rsid w:val="00020B2D"/>
    <w:rsid w:val="00020B4D"/>
    <w:rsid w:val="00020B74"/>
    <w:rsid w:val="00020B80"/>
    <w:rsid w:val="00020BAF"/>
    <w:rsid w:val="00020BBB"/>
    <w:rsid w:val="00020C0A"/>
    <w:rsid w:val="00020C87"/>
    <w:rsid w:val="00020C97"/>
    <w:rsid w:val="00020CA7"/>
    <w:rsid w:val="00020CEE"/>
    <w:rsid w:val="00020D93"/>
    <w:rsid w:val="00020E38"/>
    <w:rsid w:val="00020EB5"/>
    <w:rsid w:val="00020FF6"/>
    <w:rsid w:val="0002103F"/>
    <w:rsid w:val="000212EF"/>
    <w:rsid w:val="00021345"/>
    <w:rsid w:val="0002139B"/>
    <w:rsid w:val="000213A8"/>
    <w:rsid w:val="000213C4"/>
    <w:rsid w:val="000214AF"/>
    <w:rsid w:val="000214C9"/>
    <w:rsid w:val="000214D6"/>
    <w:rsid w:val="00021501"/>
    <w:rsid w:val="0002152D"/>
    <w:rsid w:val="0002152E"/>
    <w:rsid w:val="0002159E"/>
    <w:rsid w:val="000215BA"/>
    <w:rsid w:val="000215C7"/>
    <w:rsid w:val="00021627"/>
    <w:rsid w:val="00021642"/>
    <w:rsid w:val="000216F6"/>
    <w:rsid w:val="000217AF"/>
    <w:rsid w:val="000217B7"/>
    <w:rsid w:val="000217C1"/>
    <w:rsid w:val="0002185B"/>
    <w:rsid w:val="000218FF"/>
    <w:rsid w:val="000219AA"/>
    <w:rsid w:val="000219D2"/>
    <w:rsid w:val="00021B35"/>
    <w:rsid w:val="00021C8B"/>
    <w:rsid w:val="00021CCC"/>
    <w:rsid w:val="00021D97"/>
    <w:rsid w:val="00021E3F"/>
    <w:rsid w:val="00021F08"/>
    <w:rsid w:val="00021F20"/>
    <w:rsid w:val="00021F4D"/>
    <w:rsid w:val="00021F9F"/>
    <w:rsid w:val="00021FF5"/>
    <w:rsid w:val="0002209C"/>
    <w:rsid w:val="000220A4"/>
    <w:rsid w:val="000220B7"/>
    <w:rsid w:val="0002211B"/>
    <w:rsid w:val="000221AC"/>
    <w:rsid w:val="000221C9"/>
    <w:rsid w:val="000222CF"/>
    <w:rsid w:val="000222E6"/>
    <w:rsid w:val="000223E2"/>
    <w:rsid w:val="000223F2"/>
    <w:rsid w:val="00022541"/>
    <w:rsid w:val="00022546"/>
    <w:rsid w:val="0002256B"/>
    <w:rsid w:val="000225BD"/>
    <w:rsid w:val="000225D4"/>
    <w:rsid w:val="0002260E"/>
    <w:rsid w:val="000227C6"/>
    <w:rsid w:val="000227F9"/>
    <w:rsid w:val="00022A2B"/>
    <w:rsid w:val="00022A67"/>
    <w:rsid w:val="00022B25"/>
    <w:rsid w:val="00022B2B"/>
    <w:rsid w:val="00022BC5"/>
    <w:rsid w:val="00022CAF"/>
    <w:rsid w:val="00022CC4"/>
    <w:rsid w:val="00022D36"/>
    <w:rsid w:val="00022D6D"/>
    <w:rsid w:val="00022E5F"/>
    <w:rsid w:val="00022EB4"/>
    <w:rsid w:val="00022EB9"/>
    <w:rsid w:val="00022F2B"/>
    <w:rsid w:val="00022F70"/>
    <w:rsid w:val="00022FAC"/>
    <w:rsid w:val="00022FB5"/>
    <w:rsid w:val="00022FB9"/>
    <w:rsid w:val="00023039"/>
    <w:rsid w:val="000230FC"/>
    <w:rsid w:val="00023176"/>
    <w:rsid w:val="00023187"/>
    <w:rsid w:val="000232E0"/>
    <w:rsid w:val="00023323"/>
    <w:rsid w:val="0002343B"/>
    <w:rsid w:val="0002345D"/>
    <w:rsid w:val="0002349B"/>
    <w:rsid w:val="0002352F"/>
    <w:rsid w:val="000235C6"/>
    <w:rsid w:val="000235E5"/>
    <w:rsid w:val="0002362B"/>
    <w:rsid w:val="0002369D"/>
    <w:rsid w:val="000236F1"/>
    <w:rsid w:val="000236F9"/>
    <w:rsid w:val="0002372C"/>
    <w:rsid w:val="0002372E"/>
    <w:rsid w:val="00023741"/>
    <w:rsid w:val="00023766"/>
    <w:rsid w:val="000237CB"/>
    <w:rsid w:val="000237D5"/>
    <w:rsid w:val="000237DF"/>
    <w:rsid w:val="00023834"/>
    <w:rsid w:val="00023A83"/>
    <w:rsid w:val="00023BF0"/>
    <w:rsid w:val="00023BF2"/>
    <w:rsid w:val="00023C1A"/>
    <w:rsid w:val="00023C4F"/>
    <w:rsid w:val="00023C62"/>
    <w:rsid w:val="00023D2B"/>
    <w:rsid w:val="00023E00"/>
    <w:rsid w:val="00023E43"/>
    <w:rsid w:val="00023E79"/>
    <w:rsid w:val="00023F0A"/>
    <w:rsid w:val="00023F25"/>
    <w:rsid w:val="00023FBD"/>
    <w:rsid w:val="00024069"/>
    <w:rsid w:val="000240B8"/>
    <w:rsid w:val="00024116"/>
    <w:rsid w:val="000241CD"/>
    <w:rsid w:val="0002420D"/>
    <w:rsid w:val="00024240"/>
    <w:rsid w:val="00024281"/>
    <w:rsid w:val="000242B6"/>
    <w:rsid w:val="00024356"/>
    <w:rsid w:val="0002449B"/>
    <w:rsid w:val="00024543"/>
    <w:rsid w:val="00024550"/>
    <w:rsid w:val="0002455D"/>
    <w:rsid w:val="000246C1"/>
    <w:rsid w:val="000246C2"/>
    <w:rsid w:val="00024704"/>
    <w:rsid w:val="0002470F"/>
    <w:rsid w:val="0002476C"/>
    <w:rsid w:val="00024826"/>
    <w:rsid w:val="0002483D"/>
    <w:rsid w:val="0002487E"/>
    <w:rsid w:val="000248AF"/>
    <w:rsid w:val="0002492A"/>
    <w:rsid w:val="0002499F"/>
    <w:rsid w:val="000249BA"/>
    <w:rsid w:val="000249CD"/>
    <w:rsid w:val="00024A3E"/>
    <w:rsid w:val="00024A7B"/>
    <w:rsid w:val="00024B43"/>
    <w:rsid w:val="00024B6B"/>
    <w:rsid w:val="00024B94"/>
    <w:rsid w:val="00024BAA"/>
    <w:rsid w:val="00024C60"/>
    <w:rsid w:val="00024CE5"/>
    <w:rsid w:val="00024D41"/>
    <w:rsid w:val="00024D7E"/>
    <w:rsid w:val="00024D98"/>
    <w:rsid w:val="00024E06"/>
    <w:rsid w:val="00024FA5"/>
    <w:rsid w:val="00025001"/>
    <w:rsid w:val="00025010"/>
    <w:rsid w:val="00025055"/>
    <w:rsid w:val="000250F6"/>
    <w:rsid w:val="00025172"/>
    <w:rsid w:val="0002517B"/>
    <w:rsid w:val="00025183"/>
    <w:rsid w:val="0002519C"/>
    <w:rsid w:val="000251AD"/>
    <w:rsid w:val="00025200"/>
    <w:rsid w:val="0002522B"/>
    <w:rsid w:val="00025239"/>
    <w:rsid w:val="0002524D"/>
    <w:rsid w:val="00025280"/>
    <w:rsid w:val="00025345"/>
    <w:rsid w:val="00025362"/>
    <w:rsid w:val="00025384"/>
    <w:rsid w:val="00025393"/>
    <w:rsid w:val="00025431"/>
    <w:rsid w:val="0002555C"/>
    <w:rsid w:val="00025579"/>
    <w:rsid w:val="00025630"/>
    <w:rsid w:val="00025634"/>
    <w:rsid w:val="000256AF"/>
    <w:rsid w:val="0002578B"/>
    <w:rsid w:val="000257F4"/>
    <w:rsid w:val="00025817"/>
    <w:rsid w:val="0002581F"/>
    <w:rsid w:val="00025869"/>
    <w:rsid w:val="0002588D"/>
    <w:rsid w:val="000258EC"/>
    <w:rsid w:val="000259AE"/>
    <w:rsid w:val="00025A40"/>
    <w:rsid w:val="00025A8D"/>
    <w:rsid w:val="00025ADF"/>
    <w:rsid w:val="00025AEE"/>
    <w:rsid w:val="00025BCB"/>
    <w:rsid w:val="00025C04"/>
    <w:rsid w:val="00025C33"/>
    <w:rsid w:val="00025C75"/>
    <w:rsid w:val="00025D0A"/>
    <w:rsid w:val="00025D74"/>
    <w:rsid w:val="00025DE8"/>
    <w:rsid w:val="00025E10"/>
    <w:rsid w:val="00025E3B"/>
    <w:rsid w:val="00025E3F"/>
    <w:rsid w:val="00025E55"/>
    <w:rsid w:val="00025EA3"/>
    <w:rsid w:val="00025F36"/>
    <w:rsid w:val="00026026"/>
    <w:rsid w:val="000260B7"/>
    <w:rsid w:val="00026127"/>
    <w:rsid w:val="0002626A"/>
    <w:rsid w:val="00026274"/>
    <w:rsid w:val="00026370"/>
    <w:rsid w:val="00026453"/>
    <w:rsid w:val="0002649B"/>
    <w:rsid w:val="00026566"/>
    <w:rsid w:val="00026579"/>
    <w:rsid w:val="000265BB"/>
    <w:rsid w:val="00026617"/>
    <w:rsid w:val="0002674D"/>
    <w:rsid w:val="000267B7"/>
    <w:rsid w:val="000267EC"/>
    <w:rsid w:val="00026801"/>
    <w:rsid w:val="0002683A"/>
    <w:rsid w:val="00026A19"/>
    <w:rsid w:val="00026A1D"/>
    <w:rsid w:val="00026A32"/>
    <w:rsid w:val="00026A69"/>
    <w:rsid w:val="00026B06"/>
    <w:rsid w:val="00026B3F"/>
    <w:rsid w:val="00026BA1"/>
    <w:rsid w:val="00026C5A"/>
    <w:rsid w:val="00026DD8"/>
    <w:rsid w:val="00026E12"/>
    <w:rsid w:val="00026EB0"/>
    <w:rsid w:val="00026EEF"/>
    <w:rsid w:val="00026F21"/>
    <w:rsid w:val="00026F28"/>
    <w:rsid w:val="00026F95"/>
    <w:rsid w:val="00026FA7"/>
    <w:rsid w:val="00027015"/>
    <w:rsid w:val="00027054"/>
    <w:rsid w:val="00027078"/>
    <w:rsid w:val="0002711F"/>
    <w:rsid w:val="000271B8"/>
    <w:rsid w:val="000271FB"/>
    <w:rsid w:val="00027235"/>
    <w:rsid w:val="00027249"/>
    <w:rsid w:val="00027268"/>
    <w:rsid w:val="00027269"/>
    <w:rsid w:val="000272EB"/>
    <w:rsid w:val="000273E2"/>
    <w:rsid w:val="000273EB"/>
    <w:rsid w:val="00027401"/>
    <w:rsid w:val="0002740C"/>
    <w:rsid w:val="0002741D"/>
    <w:rsid w:val="00027476"/>
    <w:rsid w:val="000274F0"/>
    <w:rsid w:val="0002751E"/>
    <w:rsid w:val="00027570"/>
    <w:rsid w:val="00027616"/>
    <w:rsid w:val="000276DE"/>
    <w:rsid w:val="00027821"/>
    <w:rsid w:val="00027856"/>
    <w:rsid w:val="00027900"/>
    <w:rsid w:val="00027909"/>
    <w:rsid w:val="00027986"/>
    <w:rsid w:val="0002798E"/>
    <w:rsid w:val="00027A15"/>
    <w:rsid w:val="00027A4B"/>
    <w:rsid w:val="00027A54"/>
    <w:rsid w:val="00027AD3"/>
    <w:rsid w:val="00027AED"/>
    <w:rsid w:val="00027B07"/>
    <w:rsid w:val="00027C11"/>
    <w:rsid w:val="00027C2E"/>
    <w:rsid w:val="00027C35"/>
    <w:rsid w:val="00027C5C"/>
    <w:rsid w:val="00027C73"/>
    <w:rsid w:val="00027C76"/>
    <w:rsid w:val="00027C94"/>
    <w:rsid w:val="00027D59"/>
    <w:rsid w:val="00027DB8"/>
    <w:rsid w:val="00027E03"/>
    <w:rsid w:val="00027E0F"/>
    <w:rsid w:val="00027E9D"/>
    <w:rsid w:val="00027EB4"/>
    <w:rsid w:val="00027FC0"/>
    <w:rsid w:val="00027FE4"/>
    <w:rsid w:val="00030038"/>
    <w:rsid w:val="00030043"/>
    <w:rsid w:val="0003007F"/>
    <w:rsid w:val="0003009F"/>
    <w:rsid w:val="000300AA"/>
    <w:rsid w:val="000300D8"/>
    <w:rsid w:val="00030280"/>
    <w:rsid w:val="000302A2"/>
    <w:rsid w:val="000302D0"/>
    <w:rsid w:val="00030300"/>
    <w:rsid w:val="000303CF"/>
    <w:rsid w:val="00030429"/>
    <w:rsid w:val="00030497"/>
    <w:rsid w:val="0003056A"/>
    <w:rsid w:val="000305BE"/>
    <w:rsid w:val="000305D4"/>
    <w:rsid w:val="0003063B"/>
    <w:rsid w:val="0003063E"/>
    <w:rsid w:val="00030665"/>
    <w:rsid w:val="00030681"/>
    <w:rsid w:val="000306A0"/>
    <w:rsid w:val="00030717"/>
    <w:rsid w:val="00030735"/>
    <w:rsid w:val="0003074F"/>
    <w:rsid w:val="00030761"/>
    <w:rsid w:val="00030932"/>
    <w:rsid w:val="000309F7"/>
    <w:rsid w:val="00030A69"/>
    <w:rsid w:val="00030B1A"/>
    <w:rsid w:val="00030B1F"/>
    <w:rsid w:val="00030B3B"/>
    <w:rsid w:val="00030C75"/>
    <w:rsid w:val="00030D97"/>
    <w:rsid w:val="00030E4F"/>
    <w:rsid w:val="00030F6A"/>
    <w:rsid w:val="00030FF4"/>
    <w:rsid w:val="000310B3"/>
    <w:rsid w:val="000311C7"/>
    <w:rsid w:val="000311D6"/>
    <w:rsid w:val="0003126F"/>
    <w:rsid w:val="00031283"/>
    <w:rsid w:val="000312F5"/>
    <w:rsid w:val="00031379"/>
    <w:rsid w:val="000313C2"/>
    <w:rsid w:val="000313C8"/>
    <w:rsid w:val="000313CE"/>
    <w:rsid w:val="000313E3"/>
    <w:rsid w:val="00031408"/>
    <w:rsid w:val="00031413"/>
    <w:rsid w:val="000314C1"/>
    <w:rsid w:val="00031612"/>
    <w:rsid w:val="00031676"/>
    <w:rsid w:val="00031717"/>
    <w:rsid w:val="0003171B"/>
    <w:rsid w:val="0003172D"/>
    <w:rsid w:val="00031762"/>
    <w:rsid w:val="0003178D"/>
    <w:rsid w:val="0003187D"/>
    <w:rsid w:val="000318EA"/>
    <w:rsid w:val="00031939"/>
    <w:rsid w:val="0003196B"/>
    <w:rsid w:val="000319E5"/>
    <w:rsid w:val="000319E6"/>
    <w:rsid w:val="00031A14"/>
    <w:rsid w:val="00031A17"/>
    <w:rsid w:val="00031B0D"/>
    <w:rsid w:val="00031BED"/>
    <w:rsid w:val="00031D21"/>
    <w:rsid w:val="00031D37"/>
    <w:rsid w:val="00031DB5"/>
    <w:rsid w:val="00031DCC"/>
    <w:rsid w:val="00031E33"/>
    <w:rsid w:val="00031F9C"/>
    <w:rsid w:val="00031FAA"/>
    <w:rsid w:val="00032061"/>
    <w:rsid w:val="000321BF"/>
    <w:rsid w:val="00032250"/>
    <w:rsid w:val="0003228D"/>
    <w:rsid w:val="000322C7"/>
    <w:rsid w:val="000322D8"/>
    <w:rsid w:val="000322E9"/>
    <w:rsid w:val="000323B6"/>
    <w:rsid w:val="00032416"/>
    <w:rsid w:val="0003241A"/>
    <w:rsid w:val="0003243B"/>
    <w:rsid w:val="0003246F"/>
    <w:rsid w:val="0003247B"/>
    <w:rsid w:val="00032524"/>
    <w:rsid w:val="000325D8"/>
    <w:rsid w:val="00032663"/>
    <w:rsid w:val="00032686"/>
    <w:rsid w:val="000327CE"/>
    <w:rsid w:val="000327DE"/>
    <w:rsid w:val="00032844"/>
    <w:rsid w:val="000328DF"/>
    <w:rsid w:val="000329C7"/>
    <w:rsid w:val="00032A65"/>
    <w:rsid w:val="00032B82"/>
    <w:rsid w:val="00032B94"/>
    <w:rsid w:val="00032C6F"/>
    <w:rsid w:val="00032C98"/>
    <w:rsid w:val="00032D07"/>
    <w:rsid w:val="00032D20"/>
    <w:rsid w:val="00032E74"/>
    <w:rsid w:val="00032F1C"/>
    <w:rsid w:val="00032F75"/>
    <w:rsid w:val="00032FD8"/>
    <w:rsid w:val="00033010"/>
    <w:rsid w:val="00033076"/>
    <w:rsid w:val="000330BF"/>
    <w:rsid w:val="000330FF"/>
    <w:rsid w:val="00033167"/>
    <w:rsid w:val="00033174"/>
    <w:rsid w:val="00033192"/>
    <w:rsid w:val="000331E3"/>
    <w:rsid w:val="000331EF"/>
    <w:rsid w:val="00033226"/>
    <w:rsid w:val="00033245"/>
    <w:rsid w:val="0003326F"/>
    <w:rsid w:val="000332C1"/>
    <w:rsid w:val="00033335"/>
    <w:rsid w:val="00033399"/>
    <w:rsid w:val="0003346A"/>
    <w:rsid w:val="000335AD"/>
    <w:rsid w:val="00033605"/>
    <w:rsid w:val="0003364C"/>
    <w:rsid w:val="00033708"/>
    <w:rsid w:val="000337AA"/>
    <w:rsid w:val="000337CA"/>
    <w:rsid w:val="000337FA"/>
    <w:rsid w:val="000338F7"/>
    <w:rsid w:val="00033919"/>
    <w:rsid w:val="000339B4"/>
    <w:rsid w:val="00033A39"/>
    <w:rsid w:val="00033AEC"/>
    <w:rsid w:val="00033B28"/>
    <w:rsid w:val="00033BB5"/>
    <w:rsid w:val="00033BD8"/>
    <w:rsid w:val="00033BEF"/>
    <w:rsid w:val="00033BF7"/>
    <w:rsid w:val="00033C73"/>
    <w:rsid w:val="00033EBC"/>
    <w:rsid w:val="00033FDF"/>
    <w:rsid w:val="00033FEA"/>
    <w:rsid w:val="00033FFD"/>
    <w:rsid w:val="00034028"/>
    <w:rsid w:val="00034177"/>
    <w:rsid w:val="000341C0"/>
    <w:rsid w:val="000341E4"/>
    <w:rsid w:val="00034211"/>
    <w:rsid w:val="00034338"/>
    <w:rsid w:val="0003443A"/>
    <w:rsid w:val="0003445C"/>
    <w:rsid w:val="0003446B"/>
    <w:rsid w:val="00034530"/>
    <w:rsid w:val="00034649"/>
    <w:rsid w:val="000347C3"/>
    <w:rsid w:val="0003485B"/>
    <w:rsid w:val="00034903"/>
    <w:rsid w:val="00034912"/>
    <w:rsid w:val="00034928"/>
    <w:rsid w:val="000349E1"/>
    <w:rsid w:val="00034AE0"/>
    <w:rsid w:val="00034B05"/>
    <w:rsid w:val="00034BB0"/>
    <w:rsid w:val="00034C27"/>
    <w:rsid w:val="00034CBE"/>
    <w:rsid w:val="00034CCA"/>
    <w:rsid w:val="00034D47"/>
    <w:rsid w:val="00034D82"/>
    <w:rsid w:val="00034DB3"/>
    <w:rsid w:val="00034E78"/>
    <w:rsid w:val="00034E87"/>
    <w:rsid w:val="00034EA6"/>
    <w:rsid w:val="00034FA3"/>
    <w:rsid w:val="00034FDE"/>
    <w:rsid w:val="0003504A"/>
    <w:rsid w:val="00035112"/>
    <w:rsid w:val="00035132"/>
    <w:rsid w:val="0003513C"/>
    <w:rsid w:val="000351B2"/>
    <w:rsid w:val="00035215"/>
    <w:rsid w:val="00035337"/>
    <w:rsid w:val="000353E4"/>
    <w:rsid w:val="0003548F"/>
    <w:rsid w:val="000354E9"/>
    <w:rsid w:val="0003554F"/>
    <w:rsid w:val="000355D3"/>
    <w:rsid w:val="0003565D"/>
    <w:rsid w:val="000356ED"/>
    <w:rsid w:val="000356FA"/>
    <w:rsid w:val="00035763"/>
    <w:rsid w:val="00035775"/>
    <w:rsid w:val="000357DA"/>
    <w:rsid w:val="00035861"/>
    <w:rsid w:val="000358B9"/>
    <w:rsid w:val="00035946"/>
    <w:rsid w:val="00035962"/>
    <w:rsid w:val="00035986"/>
    <w:rsid w:val="00035A66"/>
    <w:rsid w:val="00035A9E"/>
    <w:rsid w:val="00035B02"/>
    <w:rsid w:val="00035B1D"/>
    <w:rsid w:val="00035B5F"/>
    <w:rsid w:val="00035BBE"/>
    <w:rsid w:val="00035BFE"/>
    <w:rsid w:val="00035C2E"/>
    <w:rsid w:val="00035C3E"/>
    <w:rsid w:val="00035CC3"/>
    <w:rsid w:val="00035CDF"/>
    <w:rsid w:val="00035D61"/>
    <w:rsid w:val="00035DE2"/>
    <w:rsid w:val="00035E42"/>
    <w:rsid w:val="00035EE6"/>
    <w:rsid w:val="00035F2B"/>
    <w:rsid w:val="00035FA9"/>
    <w:rsid w:val="00035FE2"/>
    <w:rsid w:val="0003600F"/>
    <w:rsid w:val="00036022"/>
    <w:rsid w:val="0003605A"/>
    <w:rsid w:val="00036086"/>
    <w:rsid w:val="0003619A"/>
    <w:rsid w:val="000361F8"/>
    <w:rsid w:val="000362EC"/>
    <w:rsid w:val="000362F9"/>
    <w:rsid w:val="000362FC"/>
    <w:rsid w:val="00036316"/>
    <w:rsid w:val="00036325"/>
    <w:rsid w:val="00036364"/>
    <w:rsid w:val="0003641F"/>
    <w:rsid w:val="0003642A"/>
    <w:rsid w:val="0003647D"/>
    <w:rsid w:val="000364E8"/>
    <w:rsid w:val="00036540"/>
    <w:rsid w:val="00036547"/>
    <w:rsid w:val="00036652"/>
    <w:rsid w:val="0003665F"/>
    <w:rsid w:val="00036677"/>
    <w:rsid w:val="00036743"/>
    <w:rsid w:val="000367BB"/>
    <w:rsid w:val="0003690E"/>
    <w:rsid w:val="0003698A"/>
    <w:rsid w:val="000369D0"/>
    <w:rsid w:val="00036AE2"/>
    <w:rsid w:val="00036AE4"/>
    <w:rsid w:val="00036B74"/>
    <w:rsid w:val="00036C81"/>
    <w:rsid w:val="00036CAE"/>
    <w:rsid w:val="00036CE9"/>
    <w:rsid w:val="00036CF6"/>
    <w:rsid w:val="00036D4D"/>
    <w:rsid w:val="00036E69"/>
    <w:rsid w:val="00036EA9"/>
    <w:rsid w:val="00036EE1"/>
    <w:rsid w:val="00036F3F"/>
    <w:rsid w:val="00036F58"/>
    <w:rsid w:val="00036F7F"/>
    <w:rsid w:val="00036FB0"/>
    <w:rsid w:val="00036FE9"/>
    <w:rsid w:val="00037014"/>
    <w:rsid w:val="0003705F"/>
    <w:rsid w:val="0003709D"/>
    <w:rsid w:val="000370A1"/>
    <w:rsid w:val="000370AE"/>
    <w:rsid w:val="000371FE"/>
    <w:rsid w:val="000372A7"/>
    <w:rsid w:val="000372CC"/>
    <w:rsid w:val="00037360"/>
    <w:rsid w:val="0003736F"/>
    <w:rsid w:val="000373C4"/>
    <w:rsid w:val="0003745D"/>
    <w:rsid w:val="0003748E"/>
    <w:rsid w:val="00037527"/>
    <w:rsid w:val="00037543"/>
    <w:rsid w:val="000375AF"/>
    <w:rsid w:val="00037603"/>
    <w:rsid w:val="000376ED"/>
    <w:rsid w:val="0003772F"/>
    <w:rsid w:val="00037747"/>
    <w:rsid w:val="0003774C"/>
    <w:rsid w:val="00037960"/>
    <w:rsid w:val="000379C2"/>
    <w:rsid w:val="000379E0"/>
    <w:rsid w:val="00037A7F"/>
    <w:rsid w:val="00037B1E"/>
    <w:rsid w:val="00037B34"/>
    <w:rsid w:val="00037B3A"/>
    <w:rsid w:val="00037C10"/>
    <w:rsid w:val="00037C1F"/>
    <w:rsid w:val="00037C3C"/>
    <w:rsid w:val="00037C79"/>
    <w:rsid w:val="00037D31"/>
    <w:rsid w:val="00037D51"/>
    <w:rsid w:val="00037D90"/>
    <w:rsid w:val="00037DCD"/>
    <w:rsid w:val="00037E32"/>
    <w:rsid w:val="00037E51"/>
    <w:rsid w:val="00037EE1"/>
    <w:rsid w:val="00037F6A"/>
    <w:rsid w:val="00037F92"/>
    <w:rsid w:val="00040109"/>
    <w:rsid w:val="00040225"/>
    <w:rsid w:val="00040303"/>
    <w:rsid w:val="0004031B"/>
    <w:rsid w:val="00040342"/>
    <w:rsid w:val="00040346"/>
    <w:rsid w:val="00040389"/>
    <w:rsid w:val="00040506"/>
    <w:rsid w:val="00040553"/>
    <w:rsid w:val="00040641"/>
    <w:rsid w:val="00040670"/>
    <w:rsid w:val="000406CF"/>
    <w:rsid w:val="0004071A"/>
    <w:rsid w:val="00040763"/>
    <w:rsid w:val="000408FD"/>
    <w:rsid w:val="0004095E"/>
    <w:rsid w:val="0004096E"/>
    <w:rsid w:val="000409EA"/>
    <w:rsid w:val="00040A0F"/>
    <w:rsid w:val="00040B1F"/>
    <w:rsid w:val="00040B3D"/>
    <w:rsid w:val="00040B4B"/>
    <w:rsid w:val="00040B97"/>
    <w:rsid w:val="00040C09"/>
    <w:rsid w:val="00040C20"/>
    <w:rsid w:val="00040C75"/>
    <w:rsid w:val="00040CA9"/>
    <w:rsid w:val="00040CD6"/>
    <w:rsid w:val="00040DA0"/>
    <w:rsid w:val="00040FB8"/>
    <w:rsid w:val="00041006"/>
    <w:rsid w:val="00041017"/>
    <w:rsid w:val="000410B7"/>
    <w:rsid w:val="0004110F"/>
    <w:rsid w:val="00041129"/>
    <w:rsid w:val="00041140"/>
    <w:rsid w:val="000412DD"/>
    <w:rsid w:val="00041313"/>
    <w:rsid w:val="0004135E"/>
    <w:rsid w:val="00041363"/>
    <w:rsid w:val="000413EF"/>
    <w:rsid w:val="00041443"/>
    <w:rsid w:val="0004145D"/>
    <w:rsid w:val="0004146A"/>
    <w:rsid w:val="0004148A"/>
    <w:rsid w:val="0004148E"/>
    <w:rsid w:val="000414A2"/>
    <w:rsid w:val="000414B3"/>
    <w:rsid w:val="0004150F"/>
    <w:rsid w:val="0004154F"/>
    <w:rsid w:val="000415E8"/>
    <w:rsid w:val="000415F7"/>
    <w:rsid w:val="00041635"/>
    <w:rsid w:val="0004177B"/>
    <w:rsid w:val="00041784"/>
    <w:rsid w:val="0004179C"/>
    <w:rsid w:val="000417B4"/>
    <w:rsid w:val="00041889"/>
    <w:rsid w:val="000418BE"/>
    <w:rsid w:val="000418E6"/>
    <w:rsid w:val="00041A82"/>
    <w:rsid w:val="00041AA0"/>
    <w:rsid w:val="00041ABD"/>
    <w:rsid w:val="00041B71"/>
    <w:rsid w:val="00041B7D"/>
    <w:rsid w:val="00041B8E"/>
    <w:rsid w:val="00041CAA"/>
    <w:rsid w:val="00041D00"/>
    <w:rsid w:val="00041D8B"/>
    <w:rsid w:val="00041E87"/>
    <w:rsid w:val="00041E91"/>
    <w:rsid w:val="00041EE0"/>
    <w:rsid w:val="00041EF5"/>
    <w:rsid w:val="00041F58"/>
    <w:rsid w:val="00041FC8"/>
    <w:rsid w:val="00042113"/>
    <w:rsid w:val="00042147"/>
    <w:rsid w:val="0004220A"/>
    <w:rsid w:val="00042225"/>
    <w:rsid w:val="00042262"/>
    <w:rsid w:val="0004227D"/>
    <w:rsid w:val="00042336"/>
    <w:rsid w:val="00042349"/>
    <w:rsid w:val="000423CA"/>
    <w:rsid w:val="00042436"/>
    <w:rsid w:val="0004245E"/>
    <w:rsid w:val="000424DD"/>
    <w:rsid w:val="0004263E"/>
    <w:rsid w:val="00042665"/>
    <w:rsid w:val="0004266B"/>
    <w:rsid w:val="000426CB"/>
    <w:rsid w:val="000426DB"/>
    <w:rsid w:val="000426FC"/>
    <w:rsid w:val="00042816"/>
    <w:rsid w:val="00042835"/>
    <w:rsid w:val="000428FE"/>
    <w:rsid w:val="00042907"/>
    <w:rsid w:val="00042974"/>
    <w:rsid w:val="00042983"/>
    <w:rsid w:val="00042A3B"/>
    <w:rsid w:val="00042C0B"/>
    <w:rsid w:val="00042C65"/>
    <w:rsid w:val="00042CBD"/>
    <w:rsid w:val="00042CCC"/>
    <w:rsid w:val="00042CF2"/>
    <w:rsid w:val="00042D14"/>
    <w:rsid w:val="00042D23"/>
    <w:rsid w:val="00042D86"/>
    <w:rsid w:val="00042DAB"/>
    <w:rsid w:val="00042DF1"/>
    <w:rsid w:val="00042E22"/>
    <w:rsid w:val="00042E3A"/>
    <w:rsid w:val="00042F94"/>
    <w:rsid w:val="00043038"/>
    <w:rsid w:val="00043067"/>
    <w:rsid w:val="0004308C"/>
    <w:rsid w:val="000430CE"/>
    <w:rsid w:val="0004310D"/>
    <w:rsid w:val="0004313F"/>
    <w:rsid w:val="00043142"/>
    <w:rsid w:val="000431AC"/>
    <w:rsid w:val="000431B8"/>
    <w:rsid w:val="000431D0"/>
    <w:rsid w:val="00043222"/>
    <w:rsid w:val="0004327A"/>
    <w:rsid w:val="00043285"/>
    <w:rsid w:val="000432FA"/>
    <w:rsid w:val="0004332C"/>
    <w:rsid w:val="0004334C"/>
    <w:rsid w:val="00043412"/>
    <w:rsid w:val="0004343E"/>
    <w:rsid w:val="00043479"/>
    <w:rsid w:val="000434F6"/>
    <w:rsid w:val="0004350D"/>
    <w:rsid w:val="00043543"/>
    <w:rsid w:val="00043546"/>
    <w:rsid w:val="00043582"/>
    <w:rsid w:val="000435DB"/>
    <w:rsid w:val="000435FD"/>
    <w:rsid w:val="000436C7"/>
    <w:rsid w:val="0004371C"/>
    <w:rsid w:val="00043846"/>
    <w:rsid w:val="00043902"/>
    <w:rsid w:val="00043942"/>
    <w:rsid w:val="000439B6"/>
    <w:rsid w:val="000439F8"/>
    <w:rsid w:val="00043A53"/>
    <w:rsid w:val="00043A55"/>
    <w:rsid w:val="00043ABC"/>
    <w:rsid w:val="00043AF3"/>
    <w:rsid w:val="00043B09"/>
    <w:rsid w:val="00043B20"/>
    <w:rsid w:val="00043B24"/>
    <w:rsid w:val="00043B2B"/>
    <w:rsid w:val="00043B6B"/>
    <w:rsid w:val="00043BE1"/>
    <w:rsid w:val="00043C1D"/>
    <w:rsid w:val="00043C33"/>
    <w:rsid w:val="00043C59"/>
    <w:rsid w:val="00043D3D"/>
    <w:rsid w:val="00043D72"/>
    <w:rsid w:val="00043EA0"/>
    <w:rsid w:val="00043F0C"/>
    <w:rsid w:val="00043F5C"/>
    <w:rsid w:val="00043F8B"/>
    <w:rsid w:val="00043FE2"/>
    <w:rsid w:val="00043FEF"/>
    <w:rsid w:val="000440F3"/>
    <w:rsid w:val="00044114"/>
    <w:rsid w:val="00044179"/>
    <w:rsid w:val="000441A7"/>
    <w:rsid w:val="00044282"/>
    <w:rsid w:val="000442F1"/>
    <w:rsid w:val="00044334"/>
    <w:rsid w:val="000443A8"/>
    <w:rsid w:val="000443C4"/>
    <w:rsid w:val="000445B3"/>
    <w:rsid w:val="000445CA"/>
    <w:rsid w:val="000445E4"/>
    <w:rsid w:val="0004462F"/>
    <w:rsid w:val="00044683"/>
    <w:rsid w:val="000446AB"/>
    <w:rsid w:val="00044738"/>
    <w:rsid w:val="0004476D"/>
    <w:rsid w:val="0004483F"/>
    <w:rsid w:val="0004486F"/>
    <w:rsid w:val="00044944"/>
    <w:rsid w:val="0004494B"/>
    <w:rsid w:val="00044977"/>
    <w:rsid w:val="000449B8"/>
    <w:rsid w:val="000449CB"/>
    <w:rsid w:val="00044A7E"/>
    <w:rsid w:val="00044BB9"/>
    <w:rsid w:val="00044BC5"/>
    <w:rsid w:val="00044C61"/>
    <w:rsid w:val="00044C79"/>
    <w:rsid w:val="00044CA3"/>
    <w:rsid w:val="00044CC2"/>
    <w:rsid w:val="00044CE7"/>
    <w:rsid w:val="00044D16"/>
    <w:rsid w:val="00044D28"/>
    <w:rsid w:val="00044D7D"/>
    <w:rsid w:val="00044DB0"/>
    <w:rsid w:val="00044F2B"/>
    <w:rsid w:val="00044F48"/>
    <w:rsid w:val="00044F90"/>
    <w:rsid w:val="00045069"/>
    <w:rsid w:val="000450E5"/>
    <w:rsid w:val="00045203"/>
    <w:rsid w:val="00045212"/>
    <w:rsid w:val="00045250"/>
    <w:rsid w:val="00045271"/>
    <w:rsid w:val="0004531D"/>
    <w:rsid w:val="00045354"/>
    <w:rsid w:val="0004544C"/>
    <w:rsid w:val="000454D3"/>
    <w:rsid w:val="000454E2"/>
    <w:rsid w:val="000454F6"/>
    <w:rsid w:val="00045504"/>
    <w:rsid w:val="0004554E"/>
    <w:rsid w:val="0004557C"/>
    <w:rsid w:val="00045613"/>
    <w:rsid w:val="00045685"/>
    <w:rsid w:val="00045747"/>
    <w:rsid w:val="000457B9"/>
    <w:rsid w:val="000457CB"/>
    <w:rsid w:val="00045876"/>
    <w:rsid w:val="000458B8"/>
    <w:rsid w:val="000458C5"/>
    <w:rsid w:val="000459EB"/>
    <w:rsid w:val="00045A04"/>
    <w:rsid w:val="00045A4F"/>
    <w:rsid w:val="00045AD4"/>
    <w:rsid w:val="00045B60"/>
    <w:rsid w:val="00045BA5"/>
    <w:rsid w:val="00045CDC"/>
    <w:rsid w:val="00045D0A"/>
    <w:rsid w:val="00045D94"/>
    <w:rsid w:val="00045E21"/>
    <w:rsid w:val="00045E35"/>
    <w:rsid w:val="00045E95"/>
    <w:rsid w:val="00045F08"/>
    <w:rsid w:val="00045FE6"/>
    <w:rsid w:val="00046049"/>
    <w:rsid w:val="0004604E"/>
    <w:rsid w:val="00046056"/>
    <w:rsid w:val="000460D4"/>
    <w:rsid w:val="00046157"/>
    <w:rsid w:val="0004619A"/>
    <w:rsid w:val="000461AA"/>
    <w:rsid w:val="000461DD"/>
    <w:rsid w:val="00046270"/>
    <w:rsid w:val="00046480"/>
    <w:rsid w:val="00046532"/>
    <w:rsid w:val="0004655B"/>
    <w:rsid w:val="0004657D"/>
    <w:rsid w:val="00046602"/>
    <w:rsid w:val="0004665F"/>
    <w:rsid w:val="0004667E"/>
    <w:rsid w:val="000466C0"/>
    <w:rsid w:val="000466C3"/>
    <w:rsid w:val="000466C6"/>
    <w:rsid w:val="000466D7"/>
    <w:rsid w:val="0004674B"/>
    <w:rsid w:val="00046798"/>
    <w:rsid w:val="00046876"/>
    <w:rsid w:val="00046908"/>
    <w:rsid w:val="0004695C"/>
    <w:rsid w:val="000469A0"/>
    <w:rsid w:val="000469A1"/>
    <w:rsid w:val="000469C3"/>
    <w:rsid w:val="000469C6"/>
    <w:rsid w:val="00046A5C"/>
    <w:rsid w:val="00046A9C"/>
    <w:rsid w:val="00046B12"/>
    <w:rsid w:val="00046D7F"/>
    <w:rsid w:val="00046DD9"/>
    <w:rsid w:val="00046F6D"/>
    <w:rsid w:val="00046F7E"/>
    <w:rsid w:val="00047060"/>
    <w:rsid w:val="00047075"/>
    <w:rsid w:val="0004710C"/>
    <w:rsid w:val="00047154"/>
    <w:rsid w:val="0004718F"/>
    <w:rsid w:val="000471A6"/>
    <w:rsid w:val="000471BB"/>
    <w:rsid w:val="0004726A"/>
    <w:rsid w:val="000473E3"/>
    <w:rsid w:val="00047561"/>
    <w:rsid w:val="00047572"/>
    <w:rsid w:val="000475BB"/>
    <w:rsid w:val="0004761B"/>
    <w:rsid w:val="0004771D"/>
    <w:rsid w:val="000477AF"/>
    <w:rsid w:val="00047815"/>
    <w:rsid w:val="0004782E"/>
    <w:rsid w:val="0004788E"/>
    <w:rsid w:val="000478F8"/>
    <w:rsid w:val="00047977"/>
    <w:rsid w:val="00047988"/>
    <w:rsid w:val="000479CF"/>
    <w:rsid w:val="00047AE9"/>
    <w:rsid w:val="00047B7F"/>
    <w:rsid w:val="00047B91"/>
    <w:rsid w:val="00047BB2"/>
    <w:rsid w:val="00047BE7"/>
    <w:rsid w:val="00047C56"/>
    <w:rsid w:val="00047D9A"/>
    <w:rsid w:val="00047E2D"/>
    <w:rsid w:val="00047E5E"/>
    <w:rsid w:val="00047EFC"/>
    <w:rsid w:val="00047F1E"/>
    <w:rsid w:val="00047F44"/>
    <w:rsid w:val="00047F68"/>
    <w:rsid w:val="00047F8F"/>
    <w:rsid w:val="00047FAE"/>
    <w:rsid w:val="0005018E"/>
    <w:rsid w:val="000501E6"/>
    <w:rsid w:val="00050238"/>
    <w:rsid w:val="00050293"/>
    <w:rsid w:val="000502E2"/>
    <w:rsid w:val="000502E8"/>
    <w:rsid w:val="0005034E"/>
    <w:rsid w:val="00050369"/>
    <w:rsid w:val="00050394"/>
    <w:rsid w:val="000503A8"/>
    <w:rsid w:val="000504C9"/>
    <w:rsid w:val="00050644"/>
    <w:rsid w:val="00050696"/>
    <w:rsid w:val="000506B3"/>
    <w:rsid w:val="00050715"/>
    <w:rsid w:val="0005071C"/>
    <w:rsid w:val="000507BA"/>
    <w:rsid w:val="000507D8"/>
    <w:rsid w:val="00050855"/>
    <w:rsid w:val="000508C9"/>
    <w:rsid w:val="000508E0"/>
    <w:rsid w:val="00050A5A"/>
    <w:rsid w:val="00050ADF"/>
    <w:rsid w:val="00050AE7"/>
    <w:rsid w:val="00050B1C"/>
    <w:rsid w:val="00050B56"/>
    <w:rsid w:val="00050B85"/>
    <w:rsid w:val="00050B93"/>
    <w:rsid w:val="00050BCE"/>
    <w:rsid w:val="00050C05"/>
    <w:rsid w:val="00050C51"/>
    <w:rsid w:val="00050C52"/>
    <w:rsid w:val="00050CBE"/>
    <w:rsid w:val="00050D45"/>
    <w:rsid w:val="00050D80"/>
    <w:rsid w:val="00050D82"/>
    <w:rsid w:val="00050DAC"/>
    <w:rsid w:val="00050DB3"/>
    <w:rsid w:val="00050DF9"/>
    <w:rsid w:val="00050E57"/>
    <w:rsid w:val="00050E80"/>
    <w:rsid w:val="00050E9A"/>
    <w:rsid w:val="00050EC2"/>
    <w:rsid w:val="00050EC4"/>
    <w:rsid w:val="00050ECF"/>
    <w:rsid w:val="00050F58"/>
    <w:rsid w:val="00050FCC"/>
    <w:rsid w:val="00051045"/>
    <w:rsid w:val="000510D2"/>
    <w:rsid w:val="0005114B"/>
    <w:rsid w:val="00051186"/>
    <w:rsid w:val="000511F8"/>
    <w:rsid w:val="00051222"/>
    <w:rsid w:val="00051265"/>
    <w:rsid w:val="00051272"/>
    <w:rsid w:val="000512B4"/>
    <w:rsid w:val="000513D4"/>
    <w:rsid w:val="00051429"/>
    <w:rsid w:val="000514CA"/>
    <w:rsid w:val="000515ED"/>
    <w:rsid w:val="000515F3"/>
    <w:rsid w:val="00051674"/>
    <w:rsid w:val="00051720"/>
    <w:rsid w:val="0005179E"/>
    <w:rsid w:val="000517F8"/>
    <w:rsid w:val="0005181E"/>
    <w:rsid w:val="00051826"/>
    <w:rsid w:val="0005185D"/>
    <w:rsid w:val="000518D1"/>
    <w:rsid w:val="000518F6"/>
    <w:rsid w:val="00051937"/>
    <w:rsid w:val="000519A9"/>
    <w:rsid w:val="000519BA"/>
    <w:rsid w:val="00051A38"/>
    <w:rsid w:val="00051AE7"/>
    <w:rsid w:val="00051B37"/>
    <w:rsid w:val="00051BF8"/>
    <w:rsid w:val="00051C9F"/>
    <w:rsid w:val="00051CDD"/>
    <w:rsid w:val="00051E02"/>
    <w:rsid w:val="00051E71"/>
    <w:rsid w:val="00051EB6"/>
    <w:rsid w:val="00051FB7"/>
    <w:rsid w:val="00051FC5"/>
    <w:rsid w:val="00052066"/>
    <w:rsid w:val="00052078"/>
    <w:rsid w:val="000520DE"/>
    <w:rsid w:val="0005213A"/>
    <w:rsid w:val="00052205"/>
    <w:rsid w:val="000522EF"/>
    <w:rsid w:val="0005233B"/>
    <w:rsid w:val="00052357"/>
    <w:rsid w:val="000523FA"/>
    <w:rsid w:val="00052416"/>
    <w:rsid w:val="0005244E"/>
    <w:rsid w:val="00052474"/>
    <w:rsid w:val="000524A7"/>
    <w:rsid w:val="00052577"/>
    <w:rsid w:val="000525E6"/>
    <w:rsid w:val="0005263C"/>
    <w:rsid w:val="0005277A"/>
    <w:rsid w:val="000527AD"/>
    <w:rsid w:val="000527FD"/>
    <w:rsid w:val="000528C7"/>
    <w:rsid w:val="000529B2"/>
    <w:rsid w:val="00052A0D"/>
    <w:rsid w:val="00052A13"/>
    <w:rsid w:val="00052A17"/>
    <w:rsid w:val="00052A90"/>
    <w:rsid w:val="00052AE7"/>
    <w:rsid w:val="00052B36"/>
    <w:rsid w:val="00052BB7"/>
    <w:rsid w:val="00052C2D"/>
    <w:rsid w:val="00052C9E"/>
    <w:rsid w:val="00052DCA"/>
    <w:rsid w:val="00052E17"/>
    <w:rsid w:val="00052E4C"/>
    <w:rsid w:val="00052F0A"/>
    <w:rsid w:val="00052F12"/>
    <w:rsid w:val="00052F3E"/>
    <w:rsid w:val="00052F68"/>
    <w:rsid w:val="00053007"/>
    <w:rsid w:val="00053033"/>
    <w:rsid w:val="000530B8"/>
    <w:rsid w:val="000530C3"/>
    <w:rsid w:val="00053155"/>
    <w:rsid w:val="000531C6"/>
    <w:rsid w:val="00053340"/>
    <w:rsid w:val="00053456"/>
    <w:rsid w:val="00053457"/>
    <w:rsid w:val="000534DB"/>
    <w:rsid w:val="0005351A"/>
    <w:rsid w:val="0005358C"/>
    <w:rsid w:val="000535F8"/>
    <w:rsid w:val="00053662"/>
    <w:rsid w:val="00053667"/>
    <w:rsid w:val="000536AF"/>
    <w:rsid w:val="00053720"/>
    <w:rsid w:val="00053741"/>
    <w:rsid w:val="000537A7"/>
    <w:rsid w:val="0005382B"/>
    <w:rsid w:val="0005395D"/>
    <w:rsid w:val="0005397B"/>
    <w:rsid w:val="00053992"/>
    <w:rsid w:val="000539A9"/>
    <w:rsid w:val="000539B6"/>
    <w:rsid w:val="000539CC"/>
    <w:rsid w:val="000539E4"/>
    <w:rsid w:val="000539F4"/>
    <w:rsid w:val="00053A25"/>
    <w:rsid w:val="00053A4F"/>
    <w:rsid w:val="00053BD7"/>
    <w:rsid w:val="00053BE8"/>
    <w:rsid w:val="00053BFB"/>
    <w:rsid w:val="00053C06"/>
    <w:rsid w:val="00053CF0"/>
    <w:rsid w:val="00053D28"/>
    <w:rsid w:val="00053DE0"/>
    <w:rsid w:val="00053E07"/>
    <w:rsid w:val="00053E4C"/>
    <w:rsid w:val="00053E9E"/>
    <w:rsid w:val="00053F45"/>
    <w:rsid w:val="00053F74"/>
    <w:rsid w:val="00053F8B"/>
    <w:rsid w:val="00053FA3"/>
    <w:rsid w:val="000540F5"/>
    <w:rsid w:val="0005416C"/>
    <w:rsid w:val="00054286"/>
    <w:rsid w:val="000542C5"/>
    <w:rsid w:val="000543D6"/>
    <w:rsid w:val="000543DD"/>
    <w:rsid w:val="00054401"/>
    <w:rsid w:val="00054453"/>
    <w:rsid w:val="000544E0"/>
    <w:rsid w:val="0005458A"/>
    <w:rsid w:val="000545D5"/>
    <w:rsid w:val="00054616"/>
    <w:rsid w:val="000546A6"/>
    <w:rsid w:val="000546C2"/>
    <w:rsid w:val="000546FE"/>
    <w:rsid w:val="00054837"/>
    <w:rsid w:val="00054885"/>
    <w:rsid w:val="000548A3"/>
    <w:rsid w:val="000548D6"/>
    <w:rsid w:val="00054915"/>
    <w:rsid w:val="00054985"/>
    <w:rsid w:val="000549E1"/>
    <w:rsid w:val="000549E3"/>
    <w:rsid w:val="00054A21"/>
    <w:rsid w:val="00054A29"/>
    <w:rsid w:val="00054A58"/>
    <w:rsid w:val="00054AA5"/>
    <w:rsid w:val="00054B2C"/>
    <w:rsid w:val="00054B55"/>
    <w:rsid w:val="00054B66"/>
    <w:rsid w:val="00054B68"/>
    <w:rsid w:val="00054BA0"/>
    <w:rsid w:val="00054BE2"/>
    <w:rsid w:val="00054BE4"/>
    <w:rsid w:val="00054C92"/>
    <w:rsid w:val="00054CAA"/>
    <w:rsid w:val="00054CD0"/>
    <w:rsid w:val="00054D9C"/>
    <w:rsid w:val="00054DE0"/>
    <w:rsid w:val="00054E06"/>
    <w:rsid w:val="00054E5F"/>
    <w:rsid w:val="00054ED1"/>
    <w:rsid w:val="0005501D"/>
    <w:rsid w:val="00055023"/>
    <w:rsid w:val="0005505A"/>
    <w:rsid w:val="0005505B"/>
    <w:rsid w:val="000550B5"/>
    <w:rsid w:val="0005510A"/>
    <w:rsid w:val="00055116"/>
    <w:rsid w:val="00055117"/>
    <w:rsid w:val="0005512E"/>
    <w:rsid w:val="00055206"/>
    <w:rsid w:val="00055249"/>
    <w:rsid w:val="000552EC"/>
    <w:rsid w:val="000553E4"/>
    <w:rsid w:val="00055430"/>
    <w:rsid w:val="00055433"/>
    <w:rsid w:val="00055579"/>
    <w:rsid w:val="000555A9"/>
    <w:rsid w:val="000555D7"/>
    <w:rsid w:val="000555F6"/>
    <w:rsid w:val="0005562A"/>
    <w:rsid w:val="00055656"/>
    <w:rsid w:val="00055701"/>
    <w:rsid w:val="0005570E"/>
    <w:rsid w:val="0005571E"/>
    <w:rsid w:val="00055746"/>
    <w:rsid w:val="00055802"/>
    <w:rsid w:val="00055896"/>
    <w:rsid w:val="000558BC"/>
    <w:rsid w:val="00055971"/>
    <w:rsid w:val="00055972"/>
    <w:rsid w:val="00055B3D"/>
    <w:rsid w:val="00055B79"/>
    <w:rsid w:val="00055B87"/>
    <w:rsid w:val="00055D89"/>
    <w:rsid w:val="00055F17"/>
    <w:rsid w:val="00055F62"/>
    <w:rsid w:val="00055FD6"/>
    <w:rsid w:val="00056055"/>
    <w:rsid w:val="00056088"/>
    <w:rsid w:val="00056097"/>
    <w:rsid w:val="000560FA"/>
    <w:rsid w:val="00056112"/>
    <w:rsid w:val="00056134"/>
    <w:rsid w:val="00056164"/>
    <w:rsid w:val="00056219"/>
    <w:rsid w:val="000562E4"/>
    <w:rsid w:val="000563FE"/>
    <w:rsid w:val="00056416"/>
    <w:rsid w:val="00056421"/>
    <w:rsid w:val="000564DE"/>
    <w:rsid w:val="000564FE"/>
    <w:rsid w:val="0005651D"/>
    <w:rsid w:val="0005653C"/>
    <w:rsid w:val="00056553"/>
    <w:rsid w:val="00056590"/>
    <w:rsid w:val="000565F9"/>
    <w:rsid w:val="0005665A"/>
    <w:rsid w:val="000566DD"/>
    <w:rsid w:val="00056730"/>
    <w:rsid w:val="000567C9"/>
    <w:rsid w:val="00056803"/>
    <w:rsid w:val="00056A59"/>
    <w:rsid w:val="00056A8B"/>
    <w:rsid w:val="00056AD5"/>
    <w:rsid w:val="00056B09"/>
    <w:rsid w:val="00056BFE"/>
    <w:rsid w:val="00056C0B"/>
    <w:rsid w:val="00056C40"/>
    <w:rsid w:val="00056CA2"/>
    <w:rsid w:val="00056CBC"/>
    <w:rsid w:val="00056D27"/>
    <w:rsid w:val="00056D49"/>
    <w:rsid w:val="00056D80"/>
    <w:rsid w:val="00056DAA"/>
    <w:rsid w:val="00056E02"/>
    <w:rsid w:val="00056E2C"/>
    <w:rsid w:val="00056E3B"/>
    <w:rsid w:val="00056E52"/>
    <w:rsid w:val="00056F71"/>
    <w:rsid w:val="00056FDD"/>
    <w:rsid w:val="00056FF2"/>
    <w:rsid w:val="00057008"/>
    <w:rsid w:val="00057017"/>
    <w:rsid w:val="0005703E"/>
    <w:rsid w:val="000571A3"/>
    <w:rsid w:val="000571FC"/>
    <w:rsid w:val="00057292"/>
    <w:rsid w:val="000573E6"/>
    <w:rsid w:val="00057494"/>
    <w:rsid w:val="0005750F"/>
    <w:rsid w:val="000575B9"/>
    <w:rsid w:val="000575BA"/>
    <w:rsid w:val="000575EB"/>
    <w:rsid w:val="00057619"/>
    <w:rsid w:val="000576A8"/>
    <w:rsid w:val="000576C5"/>
    <w:rsid w:val="00057785"/>
    <w:rsid w:val="000577A8"/>
    <w:rsid w:val="00057804"/>
    <w:rsid w:val="0005781F"/>
    <w:rsid w:val="00057822"/>
    <w:rsid w:val="00057909"/>
    <w:rsid w:val="0005794E"/>
    <w:rsid w:val="00057982"/>
    <w:rsid w:val="00057A07"/>
    <w:rsid w:val="00057A35"/>
    <w:rsid w:val="00057A46"/>
    <w:rsid w:val="00057A71"/>
    <w:rsid w:val="00057AA8"/>
    <w:rsid w:val="00057AC1"/>
    <w:rsid w:val="00057ADC"/>
    <w:rsid w:val="00057B37"/>
    <w:rsid w:val="00057B86"/>
    <w:rsid w:val="00057BBD"/>
    <w:rsid w:val="00057BE1"/>
    <w:rsid w:val="00057C26"/>
    <w:rsid w:val="00057C31"/>
    <w:rsid w:val="00057CD2"/>
    <w:rsid w:val="00057CED"/>
    <w:rsid w:val="00057CF3"/>
    <w:rsid w:val="00057CF4"/>
    <w:rsid w:val="00057DA7"/>
    <w:rsid w:val="00057E29"/>
    <w:rsid w:val="00057F57"/>
    <w:rsid w:val="00057F58"/>
    <w:rsid w:val="0006000A"/>
    <w:rsid w:val="000600D7"/>
    <w:rsid w:val="00060179"/>
    <w:rsid w:val="000601AF"/>
    <w:rsid w:val="00060277"/>
    <w:rsid w:val="00060279"/>
    <w:rsid w:val="0006038B"/>
    <w:rsid w:val="0006038C"/>
    <w:rsid w:val="00060398"/>
    <w:rsid w:val="0006042C"/>
    <w:rsid w:val="0006049A"/>
    <w:rsid w:val="0006057E"/>
    <w:rsid w:val="000606CD"/>
    <w:rsid w:val="00060759"/>
    <w:rsid w:val="0006076C"/>
    <w:rsid w:val="00060774"/>
    <w:rsid w:val="00060814"/>
    <w:rsid w:val="00060860"/>
    <w:rsid w:val="00060867"/>
    <w:rsid w:val="00060875"/>
    <w:rsid w:val="00060885"/>
    <w:rsid w:val="000608DF"/>
    <w:rsid w:val="000608EA"/>
    <w:rsid w:val="0006090B"/>
    <w:rsid w:val="00060934"/>
    <w:rsid w:val="00060AF8"/>
    <w:rsid w:val="00060B7D"/>
    <w:rsid w:val="00060BAE"/>
    <w:rsid w:val="00060C4F"/>
    <w:rsid w:val="00060CA6"/>
    <w:rsid w:val="00060D4C"/>
    <w:rsid w:val="00060D8D"/>
    <w:rsid w:val="00060DAC"/>
    <w:rsid w:val="00060DCE"/>
    <w:rsid w:val="00060E2A"/>
    <w:rsid w:val="00060E32"/>
    <w:rsid w:val="00060E6D"/>
    <w:rsid w:val="00060ECA"/>
    <w:rsid w:val="00060F1D"/>
    <w:rsid w:val="00060FD4"/>
    <w:rsid w:val="00060FE2"/>
    <w:rsid w:val="00061016"/>
    <w:rsid w:val="0006105F"/>
    <w:rsid w:val="0006108E"/>
    <w:rsid w:val="000610AF"/>
    <w:rsid w:val="000610F6"/>
    <w:rsid w:val="000611F7"/>
    <w:rsid w:val="00061201"/>
    <w:rsid w:val="0006126E"/>
    <w:rsid w:val="000612B6"/>
    <w:rsid w:val="000612F1"/>
    <w:rsid w:val="00061326"/>
    <w:rsid w:val="00061363"/>
    <w:rsid w:val="000613F5"/>
    <w:rsid w:val="00061416"/>
    <w:rsid w:val="0006145C"/>
    <w:rsid w:val="000615EB"/>
    <w:rsid w:val="00061624"/>
    <w:rsid w:val="0006165C"/>
    <w:rsid w:val="00061661"/>
    <w:rsid w:val="0006167D"/>
    <w:rsid w:val="00061698"/>
    <w:rsid w:val="00061776"/>
    <w:rsid w:val="00061A92"/>
    <w:rsid w:val="00061ABF"/>
    <w:rsid w:val="00061AD5"/>
    <w:rsid w:val="00061B47"/>
    <w:rsid w:val="00061B59"/>
    <w:rsid w:val="00061B76"/>
    <w:rsid w:val="00061B96"/>
    <w:rsid w:val="00061CFA"/>
    <w:rsid w:val="00061D26"/>
    <w:rsid w:val="00061D6E"/>
    <w:rsid w:val="00061D7C"/>
    <w:rsid w:val="00061E94"/>
    <w:rsid w:val="00061E9C"/>
    <w:rsid w:val="00061F42"/>
    <w:rsid w:val="00061F9E"/>
    <w:rsid w:val="00062067"/>
    <w:rsid w:val="0006209E"/>
    <w:rsid w:val="000620A7"/>
    <w:rsid w:val="000620F8"/>
    <w:rsid w:val="0006216F"/>
    <w:rsid w:val="000621D6"/>
    <w:rsid w:val="0006223E"/>
    <w:rsid w:val="0006226E"/>
    <w:rsid w:val="000622EF"/>
    <w:rsid w:val="0006233E"/>
    <w:rsid w:val="0006236C"/>
    <w:rsid w:val="000624BA"/>
    <w:rsid w:val="000624E3"/>
    <w:rsid w:val="00062561"/>
    <w:rsid w:val="000625E8"/>
    <w:rsid w:val="000625EB"/>
    <w:rsid w:val="00062693"/>
    <w:rsid w:val="00062770"/>
    <w:rsid w:val="0006280E"/>
    <w:rsid w:val="00062817"/>
    <w:rsid w:val="00062836"/>
    <w:rsid w:val="00062839"/>
    <w:rsid w:val="00062843"/>
    <w:rsid w:val="00062959"/>
    <w:rsid w:val="000629EC"/>
    <w:rsid w:val="00062A14"/>
    <w:rsid w:val="00062B0D"/>
    <w:rsid w:val="00062B94"/>
    <w:rsid w:val="00062BD6"/>
    <w:rsid w:val="00062BED"/>
    <w:rsid w:val="00062BF0"/>
    <w:rsid w:val="00062D47"/>
    <w:rsid w:val="00062DB4"/>
    <w:rsid w:val="00062F22"/>
    <w:rsid w:val="00062F94"/>
    <w:rsid w:val="0006301A"/>
    <w:rsid w:val="00063036"/>
    <w:rsid w:val="00063040"/>
    <w:rsid w:val="00063078"/>
    <w:rsid w:val="0006309A"/>
    <w:rsid w:val="000630B4"/>
    <w:rsid w:val="000630F9"/>
    <w:rsid w:val="00063166"/>
    <w:rsid w:val="000631BB"/>
    <w:rsid w:val="000631D5"/>
    <w:rsid w:val="000632BC"/>
    <w:rsid w:val="000632E9"/>
    <w:rsid w:val="000633CE"/>
    <w:rsid w:val="00063476"/>
    <w:rsid w:val="000634FF"/>
    <w:rsid w:val="000635AB"/>
    <w:rsid w:val="0006362B"/>
    <w:rsid w:val="0006368F"/>
    <w:rsid w:val="000636D8"/>
    <w:rsid w:val="00063909"/>
    <w:rsid w:val="0006396C"/>
    <w:rsid w:val="000639A2"/>
    <w:rsid w:val="000639E6"/>
    <w:rsid w:val="00063A7B"/>
    <w:rsid w:val="00063C48"/>
    <w:rsid w:val="00063C95"/>
    <w:rsid w:val="00063D68"/>
    <w:rsid w:val="00063E41"/>
    <w:rsid w:val="00063EE7"/>
    <w:rsid w:val="00063F04"/>
    <w:rsid w:val="00063F18"/>
    <w:rsid w:val="00063F89"/>
    <w:rsid w:val="00063FB2"/>
    <w:rsid w:val="00063FCF"/>
    <w:rsid w:val="00064105"/>
    <w:rsid w:val="00064174"/>
    <w:rsid w:val="0006419D"/>
    <w:rsid w:val="000641EA"/>
    <w:rsid w:val="000642EF"/>
    <w:rsid w:val="00064384"/>
    <w:rsid w:val="000643A7"/>
    <w:rsid w:val="000643F2"/>
    <w:rsid w:val="00064410"/>
    <w:rsid w:val="00064492"/>
    <w:rsid w:val="000644B8"/>
    <w:rsid w:val="00064528"/>
    <w:rsid w:val="0006454B"/>
    <w:rsid w:val="00064598"/>
    <w:rsid w:val="0006459E"/>
    <w:rsid w:val="000646CA"/>
    <w:rsid w:val="000646F8"/>
    <w:rsid w:val="000647D3"/>
    <w:rsid w:val="000648DB"/>
    <w:rsid w:val="00064900"/>
    <w:rsid w:val="00064950"/>
    <w:rsid w:val="0006495B"/>
    <w:rsid w:val="00064961"/>
    <w:rsid w:val="00064968"/>
    <w:rsid w:val="000649D0"/>
    <w:rsid w:val="00064A0A"/>
    <w:rsid w:val="00064A5A"/>
    <w:rsid w:val="00064B31"/>
    <w:rsid w:val="00064B81"/>
    <w:rsid w:val="00064BE2"/>
    <w:rsid w:val="00064C3C"/>
    <w:rsid w:val="00064D3D"/>
    <w:rsid w:val="00064DB5"/>
    <w:rsid w:val="00064DF8"/>
    <w:rsid w:val="00064E29"/>
    <w:rsid w:val="00064E76"/>
    <w:rsid w:val="00064E7C"/>
    <w:rsid w:val="00064EBE"/>
    <w:rsid w:val="00064EC6"/>
    <w:rsid w:val="00064EFB"/>
    <w:rsid w:val="00064F36"/>
    <w:rsid w:val="00064F5A"/>
    <w:rsid w:val="00064F87"/>
    <w:rsid w:val="00064FB9"/>
    <w:rsid w:val="00065091"/>
    <w:rsid w:val="000650D4"/>
    <w:rsid w:val="000650EB"/>
    <w:rsid w:val="00065257"/>
    <w:rsid w:val="0006527D"/>
    <w:rsid w:val="000652AD"/>
    <w:rsid w:val="000652D3"/>
    <w:rsid w:val="000652DC"/>
    <w:rsid w:val="000653E9"/>
    <w:rsid w:val="00065420"/>
    <w:rsid w:val="00065455"/>
    <w:rsid w:val="000654B4"/>
    <w:rsid w:val="000654BC"/>
    <w:rsid w:val="0006555C"/>
    <w:rsid w:val="0006559D"/>
    <w:rsid w:val="000655B1"/>
    <w:rsid w:val="000655D6"/>
    <w:rsid w:val="00065646"/>
    <w:rsid w:val="00065677"/>
    <w:rsid w:val="0006570A"/>
    <w:rsid w:val="00065798"/>
    <w:rsid w:val="0006589C"/>
    <w:rsid w:val="000658AB"/>
    <w:rsid w:val="000658B6"/>
    <w:rsid w:val="00065944"/>
    <w:rsid w:val="00065945"/>
    <w:rsid w:val="000659AB"/>
    <w:rsid w:val="00065A00"/>
    <w:rsid w:val="00065A58"/>
    <w:rsid w:val="00065A7F"/>
    <w:rsid w:val="00065AC7"/>
    <w:rsid w:val="00065B40"/>
    <w:rsid w:val="00065B86"/>
    <w:rsid w:val="00065BB9"/>
    <w:rsid w:val="00065C06"/>
    <w:rsid w:val="00065C29"/>
    <w:rsid w:val="00065C41"/>
    <w:rsid w:val="00065C95"/>
    <w:rsid w:val="00065CDE"/>
    <w:rsid w:val="00065D56"/>
    <w:rsid w:val="00065E41"/>
    <w:rsid w:val="00065E95"/>
    <w:rsid w:val="00065E9E"/>
    <w:rsid w:val="00065EE9"/>
    <w:rsid w:val="00065F51"/>
    <w:rsid w:val="00065F64"/>
    <w:rsid w:val="00065F6E"/>
    <w:rsid w:val="0006613D"/>
    <w:rsid w:val="000661D7"/>
    <w:rsid w:val="00066210"/>
    <w:rsid w:val="0006623F"/>
    <w:rsid w:val="00066286"/>
    <w:rsid w:val="000662E8"/>
    <w:rsid w:val="00066383"/>
    <w:rsid w:val="000663AF"/>
    <w:rsid w:val="00066407"/>
    <w:rsid w:val="00066422"/>
    <w:rsid w:val="0006647F"/>
    <w:rsid w:val="00066540"/>
    <w:rsid w:val="000665E8"/>
    <w:rsid w:val="00066690"/>
    <w:rsid w:val="00066730"/>
    <w:rsid w:val="0006674A"/>
    <w:rsid w:val="000667AF"/>
    <w:rsid w:val="000667E1"/>
    <w:rsid w:val="00066857"/>
    <w:rsid w:val="000668FD"/>
    <w:rsid w:val="0006690F"/>
    <w:rsid w:val="00066944"/>
    <w:rsid w:val="000669C2"/>
    <w:rsid w:val="00066A00"/>
    <w:rsid w:val="00066A0A"/>
    <w:rsid w:val="00066A26"/>
    <w:rsid w:val="00066A46"/>
    <w:rsid w:val="00066AA4"/>
    <w:rsid w:val="00066AB8"/>
    <w:rsid w:val="00066AD3"/>
    <w:rsid w:val="00066AF3"/>
    <w:rsid w:val="00066B1B"/>
    <w:rsid w:val="00066B30"/>
    <w:rsid w:val="00066BD9"/>
    <w:rsid w:val="00066BF4"/>
    <w:rsid w:val="00066D10"/>
    <w:rsid w:val="00066D54"/>
    <w:rsid w:val="00066D70"/>
    <w:rsid w:val="00066DF5"/>
    <w:rsid w:val="00066E8B"/>
    <w:rsid w:val="00067072"/>
    <w:rsid w:val="000670A1"/>
    <w:rsid w:val="0006711F"/>
    <w:rsid w:val="00067143"/>
    <w:rsid w:val="000671E3"/>
    <w:rsid w:val="000671EB"/>
    <w:rsid w:val="0006726E"/>
    <w:rsid w:val="000672B8"/>
    <w:rsid w:val="000672E9"/>
    <w:rsid w:val="00067302"/>
    <w:rsid w:val="00067341"/>
    <w:rsid w:val="00067373"/>
    <w:rsid w:val="00067398"/>
    <w:rsid w:val="000673B2"/>
    <w:rsid w:val="00067494"/>
    <w:rsid w:val="000674B2"/>
    <w:rsid w:val="000675E0"/>
    <w:rsid w:val="000675E7"/>
    <w:rsid w:val="00067715"/>
    <w:rsid w:val="00067801"/>
    <w:rsid w:val="0006794F"/>
    <w:rsid w:val="00067960"/>
    <w:rsid w:val="000679C7"/>
    <w:rsid w:val="00067A01"/>
    <w:rsid w:val="00067A19"/>
    <w:rsid w:val="00067A62"/>
    <w:rsid w:val="00067A72"/>
    <w:rsid w:val="00067AA8"/>
    <w:rsid w:val="00067B9F"/>
    <w:rsid w:val="00067BD7"/>
    <w:rsid w:val="00067C5E"/>
    <w:rsid w:val="00067C75"/>
    <w:rsid w:val="00067C93"/>
    <w:rsid w:val="00067CA7"/>
    <w:rsid w:val="00067D72"/>
    <w:rsid w:val="00067DF7"/>
    <w:rsid w:val="00067E59"/>
    <w:rsid w:val="00067E9B"/>
    <w:rsid w:val="00067EBB"/>
    <w:rsid w:val="00067EF6"/>
    <w:rsid w:val="0007003F"/>
    <w:rsid w:val="00070083"/>
    <w:rsid w:val="0007013A"/>
    <w:rsid w:val="0007018A"/>
    <w:rsid w:val="0007018B"/>
    <w:rsid w:val="0007024C"/>
    <w:rsid w:val="000702A0"/>
    <w:rsid w:val="000702EE"/>
    <w:rsid w:val="00070351"/>
    <w:rsid w:val="0007041F"/>
    <w:rsid w:val="00070429"/>
    <w:rsid w:val="00070443"/>
    <w:rsid w:val="000704C0"/>
    <w:rsid w:val="000705DE"/>
    <w:rsid w:val="00070680"/>
    <w:rsid w:val="00070683"/>
    <w:rsid w:val="000706F0"/>
    <w:rsid w:val="00070734"/>
    <w:rsid w:val="00070738"/>
    <w:rsid w:val="0007076D"/>
    <w:rsid w:val="00070770"/>
    <w:rsid w:val="00070774"/>
    <w:rsid w:val="00070795"/>
    <w:rsid w:val="0007079A"/>
    <w:rsid w:val="00070952"/>
    <w:rsid w:val="0007099F"/>
    <w:rsid w:val="00070A42"/>
    <w:rsid w:val="00070B3C"/>
    <w:rsid w:val="00070CB1"/>
    <w:rsid w:val="00070CD1"/>
    <w:rsid w:val="00070D00"/>
    <w:rsid w:val="00070E72"/>
    <w:rsid w:val="00070EED"/>
    <w:rsid w:val="00070F1A"/>
    <w:rsid w:val="00070F98"/>
    <w:rsid w:val="00070FBD"/>
    <w:rsid w:val="00070FFB"/>
    <w:rsid w:val="00071011"/>
    <w:rsid w:val="00071029"/>
    <w:rsid w:val="00071061"/>
    <w:rsid w:val="00071081"/>
    <w:rsid w:val="000710AE"/>
    <w:rsid w:val="0007113F"/>
    <w:rsid w:val="000711DE"/>
    <w:rsid w:val="0007121D"/>
    <w:rsid w:val="000712A6"/>
    <w:rsid w:val="000712D5"/>
    <w:rsid w:val="000712D7"/>
    <w:rsid w:val="00071332"/>
    <w:rsid w:val="00071371"/>
    <w:rsid w:val="0007146C"/>
    <w:rsid w:val="000714D4"/>
    <w:rsid w:val="000714F4"/>
    <w:rsid w:val="0007153A"/>
    <w:rsid w:val="00071553"/>
    <w:rsid w:val="0007161F"/>
    <w:rsid w:val="0007168E"/>
    <w:rsid w:val="00071781"/>
    <w:rsid w:val="0007180C"/>
    <w:rsid w:val="000718BE"/>
    <w:rsid w:val="000718FF"/>
    <w:rsid w:val="00071900"/>
    <w:rsid w:val="00071920"/>
    <w:rsid w:val="00071997"/>
    <w:rsid w:val="000719BD"/>
    <w:rsid w:val="00071A33"/>
    <w:rsid w:val="00071AA5"/>
    <w:rsid w:val="00071AB5"/>
    <w:rsid w:val="00071ACA"/>
    <w:rsid w:val="00071AEE"/>
    <w:rsid w:val="00071B18"/>
    <w:rsid w:val="00071B1F"/>
    <w:rsid w:val="00071BB7"/>
    <w:rsid w:val="00071C85"/>
    <w:rsid w:val="00071CCB"/>
    <w:rsid w:val="00071CD1"/>
    <w:rsid w:val="00071CE9"/>
    <w:rsid w:val="00071D71"/>
    <w:rsid w:val="00071DD3"/>
    <w:rsid w:val="00071E65"/>
    <w:rsid w:val="00071E6D"/>
    <w:rsid w:val="00071ED3"/>
    <w:rsid w:val="00072041"/>
    <w:rsid w:val="000720B2"/>
    <w:rsid w:val="000721EA"/>
    <w:rsid w:val="00072213"/>
    <w:rsid w:val="000722F6"/>
    <w:rsid w:val="00072452"/>
    <w:rsid w:val="00072489"/>
    <w:rsid w:val="00072517"/>
    <w:rsid w:val="00072574"/>
    <w:rsid w:val="000726B3"/>
    <w:rsid w:val="000726B8"/>
    <w:rsid w:val="00072716"/>
    <w:rsid w:val="00072724"/>
    <w:rsid w:val="0007275A"/>
    <w:rsid w:val="00072777"/>
    <w:rsid w:val="00072781"/>
    <w:rsid w:val="0007279F"/>
    <w:rsid w:val="000727B2"/>
    <w:rsid w:val="000727FA"/>
    <w:rsid w:val="00072875"/>
    <w:rsid w:val="00072880"/>
    <w:rsid w:val="000728A4"/>
    <w:rsid w:val="0007296B"/>
    <w:rsid w:val="00072981"/>
    <w:rsid w:val="00072998"/>
    <w:rsid w:val="000729A4"/>
    <w:rsid w:val="000729AA"/>
    <w:rsid w:val="000729CB"/>
    <w:rsid w:val="00072A3C"/>
    <w:rsid w:val="00072A71"/>
    <w:rsid w:val="00072AC4"/>
    <w:rsid w:val="00072B1F"/>
    <w:rsid w:val="00072BDF"/>
    <w:rsid w:val="00072BEF"/>
    <w:rsid w:val="00072C95"/>
    <w:rsid w:val="00072CFD"/>
    <w:rsid w:val="00072DB0"/>
    <w:rsid w:val="00072E1F"/>
    <w:rsid w:val="00072ED6"/>
    <w:rsid w:val="00072F76"/>
    <w:rsid w:val="00072F98"/>
    <w:rsid w:val="00072FC9"/>
    <w:rsid w:val="00073032"/>
    <w:rsid w:val="00073073"/>
    <w:rsid w:val="00073090"/>
    <w:rsid w:val="000730D4"/>
    <w:rsid w:val="0007313E"/>
    <w:rsid w:val="000731E2"/>
    <w:rsid w:val="000731F2"/>
    <w:rsid w:val="0007326F"/>
    <w:rsid w:val="00073441"/>
    <w:rsid w:val="000734A6"/>
    <w:rsid w:val="000734D1"/>
    <w:rsid w:val="000734E2"/>
    <w:rsid w:val="0007350B"/>
    <w:rsid w:val="000735B2"/>
    <w:rsid w:val="00073616"/>
    <w:rsid w:val="000736E2"/>
    <w:rsid w:val="0007371A"/>
    <w:rsid w:val="000737D8"/>
    <w:rsid w:val="00073938"/>
    <w:rsid w:val="00073969"/>
    <w:rsid w:val="000739D3"/>
    <w:rsid w:val="00073A2D"/>
    <w:rsid w:val="00073A55"/>
    <w:rsid w:val="00073A93"/>
    <w:rsid w:val="00073A94"/>
    <w:rsid w:val="00073B16"/>
    <w:rsid w:val="00073B90"/>
    <w:rsid w:val="00073BBE"/>
    <w:rsid w:val="00073BDD"/>
    <w:rsid w:val="00073C88"/>
    <w:rsid w:val="00073CAA"/>
    <w:rsid w:val="00073CFC"/>
    <w:rsid w:val="00073E04"/>
    <w:rsid w:val="00073E4A"/>
    <w:rsid w:val="00073EBF"/>
    <w:rsid w:val="00073EF7"/>
    <w:rsid w:val="00073F18"/>
    <w:rsid w:val="00073F29"/>
    <w:rsid w:val="00074042"/>
    <w:rsid w:val="00074051"/>
    <w:rsid w:val="0007407F"/>
    <w:rsid w:val="00074081"/>
    <w:rsid w:val="0007414C"/>
    <w:rsid w:val="00074187"/>
    <w:rsid w:val="0007426C"/>
    <w:rsid w:val="00074273"/>
    <w:rsid w:val="00074296"/>
    <w:rsid w:val="000742A3"/>
    <w:rsid w:val="0007433B"/>
    <w:rsid w:val="000743BF"/>
    <w:rsid w:val="000743CF"/>
    <w:rsid w:val="000743F4"/>
    <w:rsid w:val="0007440D"/>
    <w:rsid w:val="00074530"/>
    <w:rsid w:val="0007459E"/>
    <w:rsid w:val="000745DB"/>
    <w:rsid w:val="0007461B"/>
    <w:rsid w:val="000746E9"/>
    <w:rsid w:val="0007471C"/>
    <w:rsid w:val="000747E9"/>
    <w:rsid w:val="000748CB"/>
    <w:rsid w:val="00074947"/>
    <w:rsid w:val="000749DE"/>
    <w:rsid w:val="00074A02"/>
    <w:rsid w:val="00074B9A"/>
    <w:rsid w:val="00074D1F"/>
    <w:rsid w:val="00074D75"/>
    <w:rsid w:val="00075024"/>
    <w:rsid w:val="000750B4"/>
    <w:rsid w:val="00075104"/>
    <w:rsid w:val="0007511E"/>
    <w:rsid w:val="000751F3"/>
    <w:rsid w:val="00075248"/>
    <w:rsid w:val="00075331"/>
    <w:rsid w:val="00075332"/>
    <w:rsid w:val="00075344"/>
    <w:rsid w:val="000753F3"/>
    <w:rsid w:val="00075424"/>
    <w:rsid w:val="00075467"/>
    <w:rsid w:val="000754B9"/>
    <w:rsid w:val="00075610"/>
    <w:rsid w:val="00075673"/>
    <w:rsid w:val="00075677"/>
    <w:rsid w:val="00075729"/>
    <w:rsid w:val="0007582C"/>
    <w:rsid w:val="0007586D"/>
    <w:rsid w:val="0007588B"/>
    <w:rsid w:val="000758A1"/>
    <w:rsid w:val="000758C4"/>
    <w:rsid w:val="000758E5"/>
    <w:rsid w:val="0007595F"/>
    <w:rsid w:val="00075986"/>
    <w:rsid w:val="000759CE"/>
    <w:rsid w:val="000759D2"/>
    <w:rsid w:val="000759EB"/>
    <w:rsid w:val="00075A2C"/>
    <w:rsid w:val="00075A97"/>
    <w:rsid w:val="00075AB8"/>
    <w:rsid w:val="00075B1C"/>
    <w:rsid w:val="00075B57"/>
    <w:rsid w:val="00075BAA"/>
    <w:rsid w:val="00075BE9"/>
    <w:rsid w:val="00075C0B"/>
    <w:rsid w:val="00075C5B"/>
    <w:rsid w:val="00075C70"/>
    <w:rsid w:val="00075CBC"/>
    <w:rsid w:val="00075D36"/>
    <w:rsid w:val="00075D63"/>
    <w:rsid w:val="00075D6F"/>
    <w:rsid w:val="00075E08"/>
    <w:rsid w:val="00075E0E"/>
    <w:rsid w:val="00075F1B"/>
    <w:rsid w:val="00075F28"/>
    <w:rsid w:val="00075F2F"/>
    <w:rsid w:val="0007604F"/>
    <w:rsid w:val="00076061"/>
    <w:rsid w:val="000760D2"/>
    <w:rsid w:val="0007627F"/>
    <w:rsid w:val="000762E6"/>
    <w:rsid w:val="00076314"/>
    <w:rsid w:val="00076393"/>
    <w:rsid w:val="000763D4"/>
    <w:rsid w:val="000764F8"/>
    <w:rsid w:val="0007651E"/>
    <w:rsid w:val="000766DF"/>
    <w:rsid w:val="0007670B"/>
    <w:rsid w:val="00076761"/>
    <w:rsid w:val="0007677E"/>
    <w:rsid w:val="000767DB"/>
    <w:rsid w:val="00076856"/>
    <w:rsid w:val="000768C2"/>
    <w:rsid w:val="0007698F"/>
    <w:rsid w:val="000769F6"/>
    <w:rsid w:val="00076A1F"/>
    <w:rsid w:val="00076AFD"/>
    <w:rsid w:val="00076B2C"/>
    <w:rsid w:val="00076B39"/>
    <w:rsid w:val="00076C20"/>
    <w:rsid w:val="00076C66"/>
    <w:rsid w:val="00076CA0"/>
    <w:rsid w:val="00076CF2"/>
    <w:rsid w:val="00076D47"/>
    <w:rsid w:val="00076D8B"/>
    <w:rsid w:val="00076DF6"/>
    <w:rsid w:val="00076EE6"/>
    <w:rsid w:val="00076F25"/>
    <w:rsid w:val="00076F27"/>
    <w:rsid w:val="0007709B"/>
    <w:rsid w:val="00077166"/>
    <w:rsid w:val="00077265"/>
    <w:rsid w:val="000772D9"/>
    <w:rsid w:val="000772F8"/>
    <w:rsid w:val="0007742F"/>
    <w:rsid w:val="00077497"/>
    <w:rsid w:val="0007752E"/>
    <w:rsid w:val="00077686"/>
    <w:rsid w:val="000776C3"/>
    <w:rsid w:val="000776CB"/>
    <w:rsid w:val="00077716"/>
    <w:rsid w:val="00077796"/>
    <w:rsid w:val="000777CE"/>
    <w:rsid w:val="000777F6"/>
    <w:rsid w:val="000778D8"/>
    <w:rsid w:val="000778E1"/>
    <w:rsid w:val="000779B9"/>
    <w:rsid w:val="00077A50"/>
    <w:rsid w:val="00077A58"/>
    <w:rsid w:val="00077A6D"/>
    <w:rsid w:val="00077AB4"/>
    <w:rsid w:val="00077AF7"/>
    <w:rsid w:val="00077BF6"/>
    <w:rsid w:val="00077C12"/>
    <w:rsid w:val="00077D0C"/>
    <w:rsid w:val="00077D2F"/>
    <w:rsid w:val="00077D56"/>
    <w:rsid w:val="00077DEA"/>
    <w:rsid w:val="00077E85"/>
    <w:rsid w:val="00077EFE"/>
    <w:rsid w:val="00077F0C"/>
    <w:rsid w:val="00077F10"/>
    <w:rsid w:val="0007CB3D"/>
    <w:rsid w:val="0008000D"/>
    <w:rsid w:val="00080018"/>
    <w:rsid w:val="000800EC"/>
    <w:rsid w:val="0008017B"/>
    <w:rsid w:val="0008017E"/>
    <w:rsid w:val="00080215"/>
    <w:rsid w:val="00080268"/>
    <w:rsid w:val="000802A4"/>
    <w:rsid w:val="000802B0"/>
    <w:rsid w:val="000802EF"/>
    <w:rsid w:val="0008038E"/>
    <w:rsid w:val="000804BC"/>
    <w:rsid w:val="000804EC"/>
    <w:rsid w:val="000804FF"/>
    <w:rsid w:val="0008054A"/>
    <w:rsid w:val="00080615"/>
    <w:rsid w:val="0008062C"/>
    <w:rsid w:val="0008067C"/>
    <w:rsid w:val="000806E0"/>
    <w:rsid w:val="00080723"/>
    <w:rsid w:val="000807A4"/>
    <w:rsid w:val="000807DF"/>
    <w:rsid w:val="0008093C"/>
    <w:rsid w:val="0008098D"/>
    <w:rsid w:val="000809D5"/>
    <w:rsid w:val="00080AC1"/>
    <w:rsid w:val="00080B34"/>
    <w:rsid w:val="00080B64"/>
    <w:rsid w:val="00080BC6"/>
    <w:rsid w:val="00080BF9"/>
    <w:rsid w:val="00080C02"/>
    <w:rsid w:val="00080C4B"/>
    <w:rsid w:val="00080C80"/>
    <w:rsid w:val="00080CEC"/>
    <w:rsid w:val="00080D27"/>
    <w:rsid w:val="00080DBA"/>
    <w:rsid w:val="00080DDE"/>
    <w:rsid w:val="00080E26"/>
    <w:rsid w:val="00080E4F"/>
    <w:rsid w:val="00080E57"/>
    <w:rsid w:val="00080EDB"/>
    <w:rsid w:val="00080F0F"/>
    <w:rsid w:val="00080F15"/>
    <w:rsid w:val="00080F65"/>
    <w:rsid w:val="00080FE6"/>
    <w:rsid w:val="0008105E"/>
    <w:rsid w:val="000810CB"/>
    <w:rsid w:val="00081157"/>
    <w:rsid w:val="00081252"/>
    <w:rsid w:val="0008128E"/>
    <w:rsid w:val="00081294"/>
    <w:rsid w:val="00081375"/>
    <w:rsid w:val="00081455"/>
    <w:rsid w:val="0008172E"/>
    <w:rsid w:val="0008174D"/>
    <w:rsid w:val="00081789"/>
    <w:rsid w:val="000817A6"/>
    <w:rsid w:val="000817D0"/>
    <w:rsid w:val="000819D1"/>
    <w:rsid w:val="000819DA"/>
    <w:rsid w:val="00081A2B"/>
    <w:rsid w:val="00081B15"/>
    <w:rsid w:val="00081C9E"/>
    <w:rsid w:val="00081CAB"/>
    <w:rsid w:val="00081CFA"/>
    <w:rsid w:val="00081E02"/>
    <w:rsid w:val="00081FDA"/>
    <w:rsid w:val="00081FE1"/>
    <w:rsid w:val="000820B5"/>
    <w:rsid w:val="000820DC"/>
    <w:rsid w:val="00082178"/>
    <w:rsid w:val="00082181"/>
    <w:rsid w:val="00082226"/>
    <w:rsid w:val="00082240"/>
    <w:rsid w:val="0008225D"/>
    <w:rsid w:val="000822FD"/>
    <w:rsid w:val="000822FE"/>
    <w:rsid w:val="000823B0"/>
    <w:rsid w:val="000823C8"/>
    <w:rsid w:val="0008241F"/>
    <w:rsid w:val="000824ED"/>
    <w:rsid w:val="000825E3"/>
    <w:rsid w:val="00082673"/>
    <w:rsid w:val="000826E6"/>
    <w:rsid w:val="0008273B"/>
    <w:rsid w:val="00082862"/>
    <w:rsid w:val="00082866"/>
    <w:rsid w:val="00082893"/>
    <w:rsid w:val="000828D5"/>
    <w:rsid w:val="000828F7"/>
    <w:rsid w:val="0008297D"/>
    <w:rsid w:val="0008299A"/>
    <w:rsid w:val="00082AD0"/>
    <w:rsid w:val="00082BAF"/>
    <w:rsid w:val="00082CCB"/>
    <w:rsid w:val="00082CF6"/>
    <w:rsid w:val="00082D2A"/>
    <w:rsid w:val="00082D3E"/>
    <w:rsid w:val="00082D76"/>
    <w:rsid w:val="00082DFD"/>
    <w:rsid w:val="00082E09"/>
    <w:rsid w:val="00082E4D"/>
    <w:rsid w:val="00082E7C"/>
    <w:rsid w:val="00082E8E"/>
    <w:rsid w:val="00082EAA"/>
    <w:rsid w:val="00082EAB"/>
    <w:rsid w:val="00082EBD"/>
    <w:rsid w:val="00082F87"/>
    <w:rsid w:val="00082F92"/>
    <w:rsid w:val="00083051"/>
    <w:rsid w:val="0008305C"/>
    <w:rsid w:val="000830A2"/>
    <w:rsid w:val="00083261"/>
    <w:rsid w:val="00083269"/>
    <w:rsid w:val="00083297"/>
    <w:rsid w:val="000832C1"/>
    <w:rsid w:val="00083473"/>
    <w:rsid w:val="0008353D"/>
    <w:rsid w:val="00083587"/>
    <w:rsid w:val="000835BD"/>
    <w:rsid w:val="000835EC"/>
    <w:rsid w:val="00083642"/>
    <w:rsid w:val="000836AA"/>
    <w:rsid w:val="00083786"/>
    <w:rsid w:val="00083820"/>
    <w:rsid w:val="00083876"/>
    <w:rsid w:val="000838A5"/>
    <w:rsid w:val="000838B8"/>
    <w:rsid w:val="000838FD"/>
    <w:rsid w:val="00083911"/>
    <w:rsid w:val="00083925"/>
    <w:rsid w:val="000839A7"/>
    <w:rsid w:val="00083B03"/>
    <w:rsid w:val="00083B10"/>
    <w:rsid w:val="00083B3C"/>
    <w:rsid w:val="00083B4E"/>
    <w:rsid w:val="00083BE7"/>
    <w:rsid w:val="00083C1A"/>
    <w:rsid w:val="00083CE9"/>
    <w:rsid w:val="00083CF5"/>
    <w:rsid w:val="00083D99"/>
    <w:rsid w:val="00083E86"/>
    <w:rsid w:val="00083FDB"/>
    <w:rsid w:val="00084022"/>
    <w:rsid w:val="00084046"/>
    <w:rsid w:val="000840A0"/>
    <w:rsid w:val="000840A1"/>
    <w:rsid w:val="000840C5"/>
    <w:rsid w:val="00084107"/>
    <w:rsid w:val="00084137"/>
    <w:rsid w:val="000841D3"/>
    <w:rsid w:val="000842BC"/>
    <w:rsid w:val="000842EC"/>
    <w:rsid w:val="000842EE"/>
    <w:rsid w:val="00084310"/>
    <w:rsid w:val="0008433F"/>
    <w:rsid w:val="0008439F"/>
    <w:rsid w:val="000843DD"/>
    <w:rsid w:val="000844EB"/>
    <w:rsid w:val="0008464F"/>
    <w:rsid w:val="00084687"/>
    <w:rsid w:val="00084805"/>
    <w:rsid w:val="00084836"/>
    <w:rsid w:val="00084902"/>
    <w:rsid w:val="0008494A"/>
    <w:rsid w:val="00084999"/>
    <w:rsid w:val="0008499D"/>
    <w:rsid w:val="000849D0"/>
    <w:rsid w:val="000849EC"/>
    <w:rsid w:val="000849EE"/>
    <w:rsid w:val="00084A2E"/>
    <w:rsid w:val="00084B18"/>
    <w:rsid w:val="00084B57"/>
    <w:rsid w:val="00084BDB"/>
    <w:rsid w:val="00084C64"/>
    <w:rsid w:val="00084D9A"/>
    <w:rsid w:val="00084DFB"/>
    <w:rsid w:val="00084E20"/>
    <w:rsid w:val="00084E50"/>
    <w:rsid w:val="00084EC1"/>
    <w:rsid w:val="00084ED8"/>
    <w:rsid w:val="00084EE1"/>
    <w:rsid w:val="00084F00"/>
    <w:rsid w:val="00084F3A"/>
    <w:rsid w:val="00084F89"/>
    <w:rsid w:val="00085179"/>
    <w:rsid w:val="00085192"/>
    <w:rsid w:val="00085196"/>
    <w:rsid w:val="000851C3"/>
    <w:rsid w:val="000851E6"/>
    <w:rsid w:val="0008525C"/>
    <w:rsid w:val="0008536C"/>
    <w:rsid w:val="000853DE"/>
    <w:rsid w:val="00085442"/>
    <w:rsid w:val="00085449"/>
    <w:rsid w:val="000854C4"/>
    <w:rsid w:val="0008555C"/>
    <w:rsid w:val="00085588"/>
    <w:rsid w:val="000855A8"/>
    <w:rsid w:val="000855A9"/>
    <w:rsid w:val="000855CF"/>
    <w:rsid w:val="00085629"/>
    <w:rsid w:val="0008564A"/>
    <w:rsid w:val="0008566B"/>
    <w:rsid w:val="0008567B"/>
    <w:rsid w:val="0008571A"/>
    <w:rsid w:val="00085788"/>
    <w:rsid w:val="000857CA"/>
    <w:rsid w:val="000857E4"/>
    <w:rsid w:val="00085821"/>
    <w:rsid w:val="00085842"/>
    <w:rsid w:val="000858A1"/>
    <w:rsid w:val="00085998"/>
    <w:rsid w:val="0008599A"/>
    <w:rsid w:val="00085A26"/>
    <w:rsid w:val="00085A75"/>
    <w:rsid w:val="00085AAD"/>
    <w:rsid w:val="00085B1B"/>
    <w:rsid w:val="00085BBB"/>
    <w:rsid w:val="00085C3A"/>
    <w:rsid w:val="00085C8C"/>
    <w:rsid w:val="00085CB1"/>
    <w:rsid w:val="00085D68"/>
    <w:rsid w:val="00085E51"/>
    <w:rsid w:val="00085E62"/>
    <w:rsid w:val="00085E72"/>
    <w:rsid w:val="00085E9A"/>
    <w:rsid w:val="00085EAE"/>
    <w:rsid w:val="00085EE3"/>
    <w:rsid w:val="00085F0C"/>
    <w:rsid w:val="00085FB2"/>
    <w:rsid w:val="00085FDE"/>
    <w:rsid w:val="000860CC"/>
    <w:rsid w:val="0008613F"/>
    <w:rsid w:val="0008619F"/>
    <w:rsid w:val="000861B0"/>
    <w:rsid w:val="00086260"/>
    <w:rsid w:val="00086331"/>
    <w:rsid w:val="0008633D"/>
    <w:rsid w:val="0008636E"/>
    <w:rsid w:val="000863BF"/>
    <w:rsid w:val="00086444"/>
    <w:rsid w:val="0008650D"/>
    <w:rsid w:val="0008652D"/>
    <w:rsid w:val="0008655E"/>
    <w:rsid w:val="000865EE"/>
    <w:rsid w:val="00086663"/>
    <w:rsid w:val="000866B3"/>
    <w:rsid w:val="000866B8"/>
    <w:rsid w:val="000866BD"/>
    <w:rsid w:val="00086702"/>
    <w:rsid w:val="0008676F"/>
    <w:rsid w:val="000867D1"/>
    <w:rsid w:val="00086878"/>
    <w:rsid w:val="000868A2"/>
    <w:rsid w:val="000868C9"/>
    <w:rsid w:val="0008690F"/>
    <w:rsid w:val="0008697D"/>
    <w:rsid w:val="00086A09"/>
    <w:rsid w:val="00086A88"/>
    <w:rsid w:val="00086B2F"/>
    <w:rsid w:val="00086B35"/>
    <w:rsid w:val="00086B56"/>
    <w:rsid w:val="00086BCC"/>
    <w:rsid w:val="00086BF7"/>
    <w:rsid w:val="00086D26"/>
    <w:rsid w:val="00086E5C"/>
    <w:rsid w:val="00086F8C"/>
    <w:rsid w:val="00086F9E"/>
    <w:rsid w:val="00086FE6"/>
    <w:rsid w:val="00087000"/>
    <w:rsid w:val="00087004"/>
    <w:rsid w:val="0008714D"/>
    <w:rsid w:val="000871CA"/>
    <w:rsid w:val="000871E7"/>
    <w:rsid w:val="000871EA"/>
    <w:rsid w:val="000871FA"/>
    <w:rsid w:val="000872E3"/>
    <w:rsid w:val="0008731E"/>
    <w:rsid w:val="00087341"/>
    <w:rsid w:val="0008739C"/>
    <w:rsid w:val="000873C6"/>
    <w:rsid w:val="0008745A"/>
    <w:rsid w:val="000874DB"/>
    <w:rsid w:val="000874DC"/>
    <w:rsid w:val="00087516"/>
    <w:rsid w:val="0008752E"/>
    <w:rsid w:val="0008754F"/>
    <w:rsid w:val="0008766E"/>
    <w:rsid w:val="0008774E"/>
    <w:rsid w:val="00087755"/>
    <w:rsid w:val="00087799"/>
    <w:rsid w:val="000877B8"/>
    <w:rsid w:val="000877CE"/>
    <w:rsid w:val="000879E1"/>
    <w:rsid w:val="000879FF"/>
    <w:rsid w:val="00087A7C"/>
    <w:rsid w:val="00087ABC"/>
    <w:rsid w:val="00087C40"/>
    <w:rsid w:val="00087C7C"/>
    <w:rsid w:val="00087D23"/>
    <w:rsid w:val="00087D3B"/>
    <w:rsid w:val="00087DE2"/>
    <w:rsid w:val="00087EDD"/>
    <w:rsid w:val="00087FE6"/>
    <w:rsid w:val="00090147"/>
    <w:rsid w:val="0009016B"/>
    <w:rsid w:val="000901BE"/>
    <w:rsid w:val="00090314"/>
    <w:rsid w:val="00090361"/>
    <w:rsid w:val="00090368"/>
    <w:rsid w:val="000903B2"/>
    <w:rsid w:val="000903BC"/>
    <w:rsid w:val="000904E8"/>
    <w:rsid w:val="0009058F"/>
    <w:rsid w:val="00090597"/>
    <w:rsid w:val="000905CC"/>
    <w:rsid w:val="000906F6"/>
    <w:rsid w:val="00090716"/>
    <w:rsid w:val="000907EB"/>
    <w:rsid w:val="0009097B"/>
    <w:rsid w:val="00090A29"/>
    <w:rsid w:val="00090C47"/>
    <w:rsid w:val="00090CD5"/>
    <w:rsid w:val="00090D57"/>
    <w:rsid w:val="00090DA2"/>
    <w:rsid w:val="00090DAB"/>
    <w:rsid w:val="00090DC5"/>
    <w:rsid w:val="00090EC9"/>
    <w:rsid w:val="00090EDB"/>
    <w:rsid w:val="00090EDE"/>
    <w:rsid w:val="00090EE6"/>
    <w:rsid w:val="0009101A"/>
    <w:rsid w:val="00091102"/>
    <w:rsid w:val="00091127"/>
    <w:rsid w:val="00091188"/>
    <w:rsid w:val="000911EE"/>
    <w:rsid w:val="0009135A"/>
    <w:rsid w:val="000913C7"/>
    <w:rsid w:val="00091553"/>
    <w:rsid w:val="0009161C"/>
    <w:rsid w:val="0009167C"/>
    <w:rsid w:val="00091866"/>
    <w:rsid w:val="00091897"/>
    <w:rsid w:val="000918C5"/>
    <w:rsid w:val="000918DD"/>
    <w:rsid w:val="0009197A"/>
    <w:rsid w:val="00091A41"/>
    <w:rsid w:val="00091A85"/>
    <w:rsid w:val="00091C2D"/>
    <w:rsid w:val="00091C38"/>
    <w:rsid w:val="00091C3D"/>
    <w:rsid w:val="00091CD0"/>
    <w:rsid w:val="00091D69"/>
    <w:rsid w:val="00091E7E"/>
    <w:rsid w:val="00091ED1"/>
    <w:rsid w:val="00091F40"/>
    <w:rsid w:val="00091F54"/>
    <w:rsid w:val="00091FC0"/>
    <w:rsid w:val="00091FD0"/>
    <w:rsid w:val="0009202C"/>
    <w:rsid w:val="00092035"/>
    <w:rsid w:val="00092051"/>
    <w:rsid w:val="00092069"/>
    <w:rsid w:val="000920B5"/>
    <w:rsid w:val="00092136"/>
    <w:rsid w:val="0009216D"/>
    <w:rsid w:val="0009217D"/>
    <w:rsid w:val="000921F2"/>
    <w:rsid w:val="000921FB"/>
    <w:rsid w:val="0009221B"/>
    <w:rsid w:val="00092226"/>
    <w:rsid w:val="00092250"/>
    <w:rsid w:val="0009226B"/>
    <w:rsid w:val="000923D8"/>
    <w:rsid w:val="0009241E"/>
    <w:rsid w:val="0009244D"/>
    <w:rsid w:val="000925BA"/>
    <w:rsid w:val="000925BE"/>
    <w:rsid w:val="000925DC"/>
    <w:rsid w:val="000925F8"/>
    <w:rsid w:val="00092760"/>
    <w:rsid w:val="000927B0"/>
    <w:rsid w:val="0009293D"/>
    <w:rsid w:val="00092988"/>
    <w:rsid w:val="00092989"/>
    <w:rsid w:val="00092ABF"/>
    <w:rsid w:val="00092BE1"/>
    <w:rsid w:val="00092C6F"/>
    <w:rsid w:val="00092CCC"/>
    <w:rsid w:val="00092D04"/>
    <w:rsid w:val="00092D27"/>
    <w:rsid w:val="00092D65"/>
    <w:rsid w:val="00092DA4"/>
    <w:rsid w:val="00092DB2"/>
    <w:rsid w:val="00092DE4"/>
    <w:rsid w:val="00092E09"/>
    <w:rsid w:val="00093029"/>
    <w:rsid w:val="00093100"/>
    <w:rsid w:val="00093190"/>
    <w:rsid w:val="0009328A"/>
    <w:rsid w:val="000932F1"/>
    <w:rsid w:val="00093304"/>
    <w:rsid w:val="0009334E"/>
    <w:rsid w:val="00093368"/>
    <w:rsid w:val="000933A4"/>
    <w:rsid w:val="00093472"/>
    <w:rsid w:val="0009347C"/>
    <w:rsid w:val="000934A2"/>
    <w:rsid w:val="000934A9"/>
    <w:rsid w:val="000934D8"/>
    <w:rsid w:val="00093514"/>
    <w:rsid w:val="000935CC"/>
    <w:rsid w:val="00093618"/>
    <w:rsid w:val="000936A8"/>
    <w:rsid w:val="000936B4"/>
    <w:rsid w:val="000936BB"/>
    <w:rsid w:val="0009370E"/>
    <w:rsid w:val="0009371B"/>
    <w:rsid w:val="00093798"/>
    <w:rsid w:val="000937B8"/>
    <w:rsid w:val="000937FF"/>
    <w:rsid w:val="00093913"/>
    <w:rsid w:val="000939B7"/>
    <w:rsid w:val="000939CE"/>
    <w:rsid w:val="000939DD"/>
    <w:rsid w:val="00093A90"/>
    <w:rsid w:val="00093C1D"/>
    <w:rsid w:val="00093C4D"/>
    <w:rsid w:val="00093C64"/>
    <w:rsid w:val="00093D22"/>
    <w:rsid w:val="00093D6D"/>
    <w:rsid w:val="00093DBC"/>
    <w:rsid w:val="00093E97"/>
    <w:rsid w:val="00093E9B"/>
    <w:rsid w:val="00093EAB"/>
    <w:rsid w:val="00093FC9"/>
    <w:rsid w:val="00094063"/>
    <w:rsid w:val="000940E6"/>
    <w:rsid w:val="00094101"/>
    <w:rsid w:val="00094149"/>
    <w:rsid w:val="0009415B"/>
    <w:rsid w:val="0009417F"/>
    <w:rsid w:val="0009420B"/>
    <w:rsid w:val="00094243"/>
    <w:rsid w:val="000943FA"/>
    <w:rsid w:val="0009440B"/>
    <w:rsid w:val="00094421"/>
    <w:rsid w:val="000944BF"/>
    <w:rsid w:val="00094722"/>
    <w:rsid w:val="000947B8"/>
    <w:rsid w:val="000947F7"/>
    <w:rsid w:val="00094862"/>
    <w:rsid w:val="0009493B"/>
    <w:rsid w:val="00094981"/>
    <w:rsid w:val="000949DB"/>
    <w:rsid w:val="00094A02"/>
    <w:rsid w:val="00094A25"/>
    <w:rsid w:val="00094B29"/>
    <w:rsid w:val="00094B3D"/>
    <w:rsid w:val="00094B44"/>
    <w:rsid w:val="00094B92"/>
    <w:rsid w:val="00094BCC"/>
    <w:rsid w:val="00094BD5"/>
    <w:rsid w:val="00094BDA"/>
    <w:rsid w:val="00094C74"/>
    <w:rsid w:val="00094CD6"/>
    <w:rsid w:val="00094D29"/>
    <w:rsid w:val="00094D44"/>
    <w:rsid w:val="00094D71"/>
    <w:rsid w:val="00094E0E"/>
    <w:rsid w:val="00094EF2"/>
    <w:rsid w:val="00094EF9"/>
    <w:rsid w:val="00094F7A"/>
    <w:rsid w:val="00094FC6"/>
    <w:rsid w:val="0009508C"/>
    <w:rsid w:val="00095108"/>
    <w:rsid w:val="00095167"/>
    <w:rsid w:val="0009529D"/>
    <w:rsid w:val="0009532D"/>
    <w:rsid w:val="00095411"/>
    <w:rsid w:val="000954A7"/>
    <w:rsid w:val="000954AE"/>
    <w:rsid w:val="000954D8"/>
    <w:rsid w:val="0009550C"/>
    <w:rsid w:val="00095643"/>
    <w:rsid w:val="0009570C"/>
    <w:rsid w:val="00095787"/>
    <w:rsid w:val="00095882"/>
    <w:rsid w:val="00095886"/>
    <w:rsid w:val="000958D1"/>
    <w:rsid w:val="00095971"/>
    <w:rsid w:val="00095A70"/>
    <w:rsid w:val="00095AC4"/>
    <w:rsid w:val="00095B5F"/>
    <w:rsid w:val="00095B92"/>
    <w:rsid w:val="00095B9D"/>
    <w:rsid w:val="00095C10"/>
    <w:rsid w:val="00095CD9"/>
    <w:rsid w:val="00095DBC"/>
    <w:rsid w:val="00095DFA"/>
    <w:rsid w:val="00095E1B"/>
    <w:rsid w:val="00095E7C"/>
    <w:rsid w:val="00095F34"/>
    <w:rsid w:val="00095F3F"/>
    <w:rsid w:val="00095F72"/>
    <w:rsid w:val="00095F91"/>
    <w:rsid w:val="00095FBD"/>
    <w:rsid w:val="00095FF0"/>
    <w:rsid w:val="00096008"/>
    <w:rsid w:val="0009609B"/>
    <w:rsid w:val="000960A1"/>
    <w:rsid w:val="000960F3"/>
    <w:rsid w:val="00096204"/>
    <w:rsid w:val="0009621E"/>
    <w:rsid w:val="00096291"/>
    <w:rsid w:val="000962A3"/>
    <w:rsid w:val="000962D5"/>
    <w:rsid w:val="00096311"/>
    <w:rsid w:val="00096341"/>
    <w:rsid w:val="000963A8"/>
    <w:rsid w:val="000963D4"/>
    <w:rsid w:val="00096419"/>
    <w:rsid w:val="00096469"/>
    <w:rsid w:val="000964D4"/>
    <w:rsid w:val="000964FD"/>
    <w:rsid w:val="00096619"/>
    <w:rsid w:val="00096639"/>
    <w:rsid w:val="000966C1"/>
    <w:rsid w:val="0009670B"/>
    <w:rsid w:val="00096910"/>
    <w:rsid w:val="00096923"/>
    <w:rsid w:val="00096946"/>
    <w:rsid w:val="00096986"/>
    <w:rsid w:val="0009699F"/>
    <w:rsid w:val="000969A6"/>
    <w:rsid w:val="000969E4"/>
    <w:rsid w:val="00096AF3"/>
    <w:rsid w:val="00096BBC"/>
    <w:rsid w:val="00096BC3"/>
    <w:rsid w:val="00096BF7"/>
    <w:rsid w:val="00096C67"/>
    <w:rsid w:val="00096D15"/>
    <w:rsid w:val="00096D32"/>
    <w:rsid w:val="00096D36"/>
    <w:rsid w:val="00096D74"/>
    <w:rsid w:val="00096DA6"/>
    <w:rsid w:val="00096E08"/>
    <w:rsid w:val="00096E5D"/>
    <w:rsid w:val="00096E6A"/>
    <w:rsid w:val="00096EA6"/>
    <w:rsid w:val="00096EAB"/>
    <w:rsid w:val="00096EC4"/>
    <w:rsid w:val="00096F07"/>
    <w:rsid w:val="00096F9C"/>
    <w:rsid w:val="00096FAF"/>
    <w:rsid w:val="00096FB2"/>
    <w:rsid w:val="00097009"/>
    <w:rsid w:val="0009702A"/>
    <w:rsid w:val="0009703B"/>
    <w:rsid w:val="00097048"/>
    <w:rsid w:val="0009708A"/>
    <w:rsid w:val="000970BA"/>
    <w:rsid w:val="000970C2"/>
    <w:rsid w:val="000970C7"/>
    <w:rsid w:val="000971F3"/>
    <w:rsid w:val="0009724E"/>
    <w:rsid w:val="00097256"/>
    <w:rsid w:val="00097316"/>
    <w:rsid w:val="00097413"/>
    <w:rsid w:val="000975D2"/>
    <w:rsid w:val="00097622"/>
    <w:rsid w:val="00097644"/>
    <w:rsid w:val="000976C1"/>
    <w:rsid w:val="0009771C"/>
    <w:rsid w:val="00097741"/>
    <w:rsid w:val="00097765"/>
    <w:rsid w:val="0009778F"/>
    <w:rsid w:val="0009779E"/>
    <w:rsid w:val="00097834"/>
    <w:rsid w:val="000978CD"/>
    <w:rsid w:val="000978E6"/>
    <w:rsid w:val="0009798C"/>
    <w:rsid w:val="00097AB5"/>
    <w:rsid w:val="00097ABE"/>
    <w:rsid w:val="00097B20"/>
    <w:rsid w:val="00097B44"/>
    <w:rsid w:val="00097BAB"/>
    <w:rsid w:val="00097BD4"/>
    <w:rsid w:val="00097CDE"/>
    <w:rsid w:val="00097D00"/>
    <w:rsid w:val="00097E20"/>
    <w:rsid w:val="00097E8E"/>
    <w:rsid w:val="00097F45"/>
    <w:rsid w:val="000A0046"/>
    <w:rsid w:val="000A0055"/>
    <w:rsid w:val="000A00B2"/>
    <w:rsid w:val="000A010F"/>
    <w:rsid w:val="000A01AB"/>
    <w:rsid w:val="000A01C3"/>
    <w:rsid w:val="000A030F"/>
    <w:rsid w:val="000A03D0"/>
    <w:rsid w:val="000A03D6"/>
    <w:rsid w:val="000A0448"/>
    <w:rsid w:val="000A0452"/>
    <w:rsid w:val="000A04DC"/>
    <w:rsid w:val="000A052C"/>
    <w:rsid w:val="000A056A"/>
    <w:rsid w:val="000A0684"/>
    <w:rsid w:val="000A069E"/>
    <w:rsid w:val="000A06AC"/>
    <w:rsid w:val="000A06B2"/>
    <w:rsid w:val="000A0773"/>
    <w:rsid w:val="000A082B"/>
    <w:rsid w:val="000A09B3"/>
    <w:rsid w:val="000A09B7"/>
    <w:rsid w:val="000A09C6"/>
    <w:rsid w:val="000A09E9"/>
    <w:rsid w:val="000A0AC6"/>
    <w:rsid w:val="000A0B91"/>
    <w:rsid w:val="000A0C6E"/>
    <w:rsid w:val="000A0D46"/>
    <w:rsid w:val="000A0D6D"/>
    <w:rsid w:val="000A0D79"/>
    <w:rsid w:val="000A0DD6"/>
    <w:rsid w:val="000A0DF8"/>
    <w:rsid w:val="000A0E2D"/>
    <w:rsid w:val="000A0E50"/>
    <w:rsid w:val="000A0EC5"/>
    <w:rsid w:val="000A0FE9"/>
    <w:rsid w:val="000A108A"/>
    <w:rsid w:val="000A1139"/>
    <w:rsid w:val="000A12CF"/>
    <w:rsid w:val="000A1310"/>
    <w:rsid w:val="000A1371"/>
    <w:rsid w:val="000A13DC"/>
    <w:rsid w:val="000A1463"/>
    <w:rsid w:val="000A14DD"/>
    <w:rsid w:val="000A15DA"/>
    <w:rsid w:val="000A165A"/>
    <w:rsid w:val="000A16D8"/>
    <w:rsid w:val="000A17E9"/>
    <w:rsid w:val="000A17F7"/>
    <w:rsid w:val="000A1846"/>
    <w:rsid w:val="000A1886"/>
    <w:rsid w:val="000A18FF"/>
    <w:rsid w:val="000A19CF"/>
    <w:rsid w:val="000A19F8"/>
    <w:rsid w:val="000A1A4C"/>
    <w:rsid w:val="000A1A66"/>
    <w:rsid w:val="000A1AF1"/>
    <w:rsid w:val="000A1B26"/>
    <w:rsid w:val="000A1BC6"/>
    <w:rsid w:val="000A1C06"/>
    <w:rsid w:val="000A1C1E"/>
    <w:rsid w:val="000A1C40"/>
    <w:rsid w:val="000A1C42"/>
    <w:rsid w:val="000A1CCF"/>
    <w:rsid w:val="000A1D1D"/>
    <w:rsid w:val="000A1D5E"/>
    <w:rsid w:val="000A1DFF"/>
    <w:rsid w:val="000A1E68"/>
    <w:rsid w:val="000A1EB8"/>
    <w:rsid w:val="000A1F73"/>
    <w:rsid w:val="000A1F92"/>
    <w:rsid w:val="000A1FC7"/>
    <w:rsid w:val="000A2014"/>
    <w:rsid w:val="000A22A7"/>
    <w:rsid w:val="000A22A8"/>
    <w:rsid w:val="000A22BE"/>
    <w:rsid w:val="000A232E"/>
    <w:rsid w:val="000A234D"/>
    <w:rsid w:val="000A23D7"/>
    <w:rsid w:val="000A23E9"/>
    <w:rsid w:val="000A24A3"/>
    <w:rsid w:val="000A24C5"/>
    <w:rsid w:val="000A2523"/>
    <w:rsid w:val="000A255B"/>
    <w:rsid w:val="000A25C9"/>
    <w:rsid w:val="000A2648"/>
    <w:rsid w:val="000A275E"/>
    <w:rsid w:val="000A277F"/>
    <w:rsid w:val="000A278D"/>
    <w:rsid w:val="000A2805"/>
    <w:rsid w:val="000A2823"/>
    <w:rsid w:val="000A289E"/>
    <w:rsid w:val="000A2917"/>
    <w:rsid w:val="000A291D"/>
    <w:rsid w:val="000A292F"/>
    <w:rsid w:val="000A2984"/>
    <w:rsid w:val="000A2A05"/>
    <w:rsid w:val="000A2A0D"/>
    <w:rsid w:val="000A2A5B"/>
    <w:rsid w:val="000A2B2F"/>
    <w:rsid w:val="000A2B53"/>
    <w:rsid w:val="000A2BC4"/>
    <w:rsid w:val="000A2C50"/>
    <w:rsid w:val="000A2C62"/>
    <w:rsid w:val="000A2CDD"/>
    <w:rsid w:val="000A2CE8"/>
    <w:rsid w:val="000A2D9E"/>
    <w:rsid w:val="000A2DF3"/>
    <w:rsid w:val="000A2E32"/>
    <w:rsid w:val="000A2F02"/>
    <w:rsid w:val="000A2F2A"/>
    <w:rsid w:val="000A2F4A"/>
    <w:rsid w:val="000A2F70"/>
    <w:rsid w:val="000A3061"/>
    <w:rsid w:val="000A31BB"/>
    <w:rsid w:val="000A3213"/>
    <w:rsid w:val="000A33AB"/>
    <w:rsid w:val="000A34FC"/>
    <w:rsid w:val="000A3536"/>
    <w:rsid w:val="000A3591"/>
    <w:rsid w:val="000A35C3"/>
    <w:rsid w:val="000A365C"/>
    <w:rsid w:val="000A3668"/>
    <w:rsid w:val="000A3696"/>
    <w:rsid w:val="000A36B3"/>
    <w:rsid w:val="000A36C6"/>
    <w:rsid w:val="000A387C"/>
    <w:rsid w:val="000A3896"/>
    <w:rsid w:val="000A38B6"/>
    <w:rsid w:val="000A3965"/>
    <w:rsid w:val="000A39C0"/>
    <w:rsid w:val="000A39C4"/>
    <w:rsid w:val="000A3AC8"/>
    <w:rsid w:val="000A3AF8"/>
    <w:rsid w:val="000A3B3D"/>
    <w:rsid w:val="000A3BCC"/>
    <w:rsid w:val="000A3C47"/>
    <w:rsid w:val="000A3C49"/>
    <w:rsid w:val="000A3D81"/>
    <w:rsid w:val="000A3DA8"/>
    <w:rsid w:val="000A3DBF"/>
    <w:rsid w:val="000A3DC8"/>
    <w:rsid w:val="000A3E2B"/>
    <w:rsid w:val="000A4007"/>
    <w:rsid w:val="000A4039"/>
    <w:rsid w:val="000A40C7"/>
    <w:rsid w:val="000A4108"/>
    <w:rsid w:val="000A4159"/>
    <w:rsid w:val="000A421F"/>
    <w:rsid w:val="000A422D"/>
    <w:rsid w:val="000A423B"/>
    <w:rsid w:val="000A428A"/>
    <w:rsid w:val="000A42BF"/>
    <w:rsid w:val="000A4362"/>
    <w:rsid w:val="000A43C5"/>
    <w:rsid w:val="000A4484"/>
    <w:rsid w:val="000A44E7"/>
    <w:rsid w:val="000A450B"/>
    <w:rsid w:val="000A453D"/>
    <w:rsid w:val="000A456F"/>
    <w:rsid w:val="000A467F"/>
    <w:rsid w:val="000A477C"/>
    <w:rsid w:val="000A47A9"/>
    <w:rsid w:val="000A47B8"/>
    <w:rsid w:val="000A4873"/>
    <w:rsid w:val="000A499B"/>
    <w:rsid w:val="000A49F9"/>
    <w:rsid w:val="000A4A11"/>
    <w:rsid w:val="000A4A71"/>
    <w:rsid w:val="000A4A96"/>
    <w:rsid w:val="000A4B10"/>
    <w:rsid w:val="000A4B2F"/>
    <w:rsid w:val="000A4B85"/>
    <w:rsid w:val="000A4BCD"/>
    <w:rsid w:val="000A4BD9"/>
    <w:rsid w:val="000A4C20"/>
    <w:rsid w:val="000A4C51"/>
    <w:rsid w:val="000A4C54"/>
    <w:rsid w:val="000A4C57"/>
    <w:rsid w:val="000A4D6D"/>
    <w:rsid w:val="000A4DD1"/>
    <w:rsid w:val="000A4EBE"/>
    <w:rsid w:val="000A4F4C"/>
    <w:rsid w:val="000A4FC6"/>
    <w:rsid w:val="000A510B"/>
    <w:rsid w:val="000A517B"/>
    <w:rsid w:val="000A5192"/>
    <w:rsid w:val="000A51C9"/>
    <w:rsid w:val="000A5322"/>
    <w:rsid w:val="000A5327"/>
    <w:rsid w:val="000A533F"/>
    <w:rsid w:val="000A5344"/>
    <w:rsid w:val="000A540B"/>
    <w:rsid w:val="000A5522"/>
    <w:rsid w:val="000A56A1"/>
    <w:rsid w:val="000A56AC"/>
    <w:rsid w:val="000A571D"/>
    <w:rsid w:val="000A5721"/>
    <w:rsid w:val="000A57D4"/>
    <w:rsid w:val="000A57EA"/>
    <w:rsid w:val="000A5894"/>
    <w:rsid w:val="000A58A8"/>
    <w:rsid w:val="000A58FC"/>
    <w:rsid w:val="000A5924"/>
    <w:rsid w:val="000A5995"/>
    <w:rsid w:val="000A5A1E"/>
    <w:rsid w:val="000A5A81"/>
    <w:rsid w:val="000A5AAD"/>
    <w:rsid w:val="000A5B79"/>
    <w:rsid w:val="000A5C02"/>
    <w:rsid w:val="000A5CB7"/>
    <w:rsid w:val="000A5CC9"/>
    <w:rsid w:val="000A5D0B"/>
    <w:rsid w:val="000A5DF8"/>
    <w:rsid w:val="000A5E76"/>
    <w:rsid w:val="000A5F0F"/>
    <w:rsid w:val="000A5F11"/>
    <w:rsid w:val="000A5FC3"/>
    <w:rsid w:val="000A5FFE"/>
    <w:rsid w:val="000A6004"/>
    <w:rsid w:val="000A6054"/>
    <w:rsid w:val="000A60EC"/>
    <w:rsid w:val="000A60F4"/>
    <w:rsid w:val="000A6149"/>
    <w:rsid w:val="000A61E7"/>
    <w:rsid w:val="000A61F3"/>
    <w:rsid w:val="000A61F5"/>
    <w:rsid w:val="000A6278"/>
    <w:rsid w:val="000A62EB"/>
    <w:rsid w:val="000A6465"/>
    <w:rsid w:val="000A64BB"/>
    <w:rsid w:val="000A64C7"/>
    <w:rsid w:val="000A654E"/>
    <w:rsid w:val="000A65B8"/>
    <w:rsid w:val="000A6623"/>
    <w:rsid w:val="000A6681"/>
    <w:rsid w:val="000A668D"/>
    <w:rsid w:val="000A669A"/>
    <w:rsid w:val="000A66C2"/>
    <w:rsid w:val="000A66EA"/>
    <w:rsid w:val="000A67C2"/>
    <w:rsid w:val="000A6887"/>
    <w:rsid w:val="000A69A3"/>
    <w:rsid w:val="000A6A22"/>
    <w:rsid w:val="000A6A51"/>
    <w:rsid w:val="000A6AB4"/>
    <w:rsid w:val="000A6AF4"/>
    <w:rsid w:val="000A6B09"/>
    <w:rsid w:val="000A6B52"/>
    <w:rsid w:val="000A6B9F"/>
    <w:rsid w:val="000A6BA4"/>
    <w:rsid w:val="000A6BAC"/>
    <w:rsid w:val="000A6BBD"/>
    <w:rsid w:val="000A6CDB"/>
    <w:rsid w:val="000A6CEE"/>
    <w:rsid w:val="000A6DD4"/>
    <w:rsid w:val="000A6E76"/>
    <w:rsid w:val="000A6E95"/>
    <w:rsid w:val="000A6ED4"/>
    <w:rsid w:val="000A6FB5"/>
    <w:rsid w:val="000A6FEB"/>
    <w:rsid w:val="000A7072"/>
    <w:rsid w:val="000A70EB"/>
    <w:rsid w:val="000A7106"/>
    <w:rsid w:val="000A710B"/>
    <w:rsid w:val="000A7177"/>
    <w:rsid w:val="000A7191"/>
    <w:rsid w:val="000A71A6"/>
    <w:rsid w:val="000A71F4"/>
    <w:rsid w:val="000A71F8"/>
    <w:rsid w:val="000A7226"/>
    <w:rsid w:val="000A7232"/>
    <w:rsid w:val="000A723F"/>
    <w:rsid w:val="000A72C8"/>
    <w:rsid w:val="000A7302"/>
    <w:rsid w:val="000A7311"/>
    <w:rsid w:val="000A751A"/>
    <w:rsid w:val="000A753A"/>
    <w:rsid w:val="000A7546"/>
    <w:rsid w:val="000A7616"/>
    <w:rsid w:val="000A7639"/>
    <w:rsid w:val="000A76A1"/>
    <w:rsid w:val="000A7709"/>
    <w:rsid w:val="000A778D"/>
    <w:rsid w:val="000A77A1"/>
    <w:rsid w:val="000A7820"/>
    <w:rsid w:val="000A7871"/>
    <w:rsid w:val="000A787C"/>
    <w:rsid w:val="000A78AD"/>
    <w:rsid w:val="000A78D1"/>
    <w:rsid w:val="000A79D8"/>
    <w:rsid w:val="000A7A36"/>
    <w:rsid w:val="000A7A51"/>
    <w:rsid w:val="000A7C2C"/>
    <w:rsid w:val="000A7C62"/>
    <w:rsid w:val="000A7C73"/>
    <w:rsid w:val="000A7C94"/>
    <w:rsid w:val="000A7CA6"/>
    <w:rsid w:val="000A7E01"/>
    <w:rsid w:val="000A7E08"/>
    <w:rsid w:val="000A7F45"/>
    <w:rsid w:val="000A7F91"/>
    <w:rsid w:val="000B0022"/>
    <w:rsid w:val="000B002D"/>
    <w:rsid w:val="000B00BE"/>
    <w:rsid w:val="000B00E4"/>
    <w:rsid w:val="000B0110"/>
    <w:rsid w:val="000B0170"/>
    <w:rsid w:val="000B01C8"/>
    <w:rsid w:val="000B0315"/>
    <w:rsid w:val="000B0361"/>
    <w:rsid w:val="000B0381"/>
    <w:rsid w:val="000B03EB"/>
    <w:rsid w:val="000B03EF"/>
    <w:rsid w:val="000B0468"/>
    <w:rsid w:val="000B04B1"/>
    <w:rsid w:val="000B0527"/>
    <w:rsid w:val="000B0535"/>
    <w:rsid w:val="000B0544"/>
    <w:rsid w:val="000B05B8"/>
    <w:rsid w:val="000B061B"/>
    <w:rsid w:val="000B0646"/>
    <w:rsid w:val="000B0650"/>
    <w:rsid w:val="000B0655"/>
    <w:rsid w:val="000B065F"/>
    <w:rsid w:val="000B06D0"/>
    <w:rsid w:val="000B07B5"/>
    <w:rsid w:val="000B07E4"/>
    <w:rsid w:val="000B0805"/>
    <w:rsid w:val="000B0814"/>
    <w:rsid w:val="000B08D2"/>
    <w:rsid w:val="000B0916"/>
    <w:rsid w:val="000B0943"/>
    <w:rsid w:val="000B0A11"/>
    <w:rsid w:val="000B0A80"/>
    <w:rsid w:val="000B0B04"/>
    <w:rsid w:val="000B0B42"/>
    <w:rsid w:val="000B0B92"/>
    <w:rsid w:val="000B0BE0"/>
    <w:rsid w:val="000B0C5A"/>
    <w:rsid w:val="000B0C92"/>
    <w:rsid w:val="000B0CC9"/>
    <w:rsid w:val="000B0D05"/>
    <w:rsid w:val="000B0D4D"/>
    <w:rsid w:val="000B0D8B"/>
    <w:rsid w:val="000B0DAA"/>
    <w:rsid w:val="000B0E15"/>
    <w:rsid w:val="000B1038"/>
    <w:rsid w:val="000B1061"/>
    <w:rsid w:val="000B10C4"/>
    <w:rsid w:val="000B10CF"/>
    <w:rsid w:val="000B10DD"/>
    <w:rsid w:val="000B1127"/>
    <w:rsid w:val="000B1167"/>
    <w:rsid w:val="000B1224"/>
    <w:rsid w:val="000B1255"/>
    <w:rsid w:val="000B12D8"/>
    <w:rsid w:val="000B1315"/>
    <w:rsid w:val="000B1351"/>
    <w:rsid w:val="000B1356"/>
    <w:rsid w:val="000B13D1"/>
    <w:rsid w:val="000B1410"/>
    <w:rsid w:val="000B1451"/>
    <w:rsid w:val="000B14AE"/>
    <w:rsid w:val="000B1559"/>
    <w:rsid w:val="000B1597"/>
    <w:rsid w:val="000B1674"/>
    <w:rsid w:val="000B16C5"/>
    <w:rsid w:val="000B1719"/>
    <w:rsid w:val="000B171E"/>
    <w:rsid w:val="000B1765"/>
    <w:rsid w:val="000B17B9"/>
    <w:rsid w:val="000B180B"/>
    <w:rsid w:val="000B1844"/>
    <w:rsid w:val="000B18C8"/>
    <w:rsid w:val="000B18E6"/>
    <w:rsid w:val="000B1A4F"/>
    <w:rsid w:val="000B1A5C"/>
    <w:rsid w:val="000B1A8B"/>
    <w:rsid w:val="000B1AB5"/>
    <w:rsid w:val="000B1B36"/>
    <w:rsid w:val="000B1B68"/>
    <w:rsid w:val="000B1BA0"/>
    <w:rsid w:val="000B1C63"/>
    <w:rsid w:val="000B1C6F"/>
    <w:rsid w:val="000B1C8C"/>
    <w:rsid w:val="000B1CC5"/>
    <w:rsid w:val="000B1CE6"/>
    <w:rsid w:val="000B1D7C"/>
    <w:rsid w:val="000B1E15"/>
    <w:rsid w:val="000B1E7D"/>
    <w:rsid w:val="000B1E7E"/>
    <w:rsid w:val="000B1ED3"/>
    <w:rsid w:val="000B1F5A"/>
    <w:rsid w:val="000B1FEA"/>
    <w:rsid w:val="000B2096"/>
    <w:rsid w:val="000B20B0"/>
    <w:rsid w:val="000B20C5"/>
    <w:rsid w:val="000B20CB"/>
    <w:rsid w:val="000B2121"/>
    <w:rsid w:val="000B2135"/>
    <w:rsid w:val="000B21D8"/>
    <w:rsid w:val="000B232C"/>
    <w:rsid w:val="000B232D"/>
    <w:rsid w:val="000B2507"/>
    <w:rsid w:val="000B2546"/>
    <w:rsid w:val="000B25AF"/>
    <w:rsid w:val="000B25B0"/>
    <w:rsid w:val="000B25B9"/>
    <w:rsid w:val="000B25BE"/>
    <w:rsid w:val="000B25D4"/>
    <w:rsid w:val="000B2635"/>
    <w:rsid w:val="000B2678"/>
    <w:rsid w:val="000B267B"/>
    <w:rsid w:val="000B2684"/>
    <w:rsid w:val="000B27C5"/>
    <w:rsid w:val="000B2835"/>
    <w:rsid w:val="000B288B"/>
    <w:rsid w:val="000B295B"/>
    <w:rsid w:val="000B2A2B"/>
    <w:rsid w:val="000B2A70"/>
    <w:rsid w:val="000B2BA2"/>
    <w:rsid w:val="000B2BFC"/>
    <w:rsid w:val="000B2C21"/>
    <w:rsid w:val="000B2C4F"/>
    <w:rsid w:val="000B2C5F"/>
    <w:rsid w:val="000B2C60"/>
    <w:rsid w:val="000B2CEB"/>
    <w:rsid w:val="000B2D5E"/>
    <w:rsid w:val="000B2DBA"/>
    <w:rsid w:val="000B2E01"/>
    <w:rsid w:val="000B2E20"/>
    <w:rsid w:val="000B2F10"/>
    <w:rsid w:val="000B2F11"/>
    <w:rsid w:val="000B2F9C"/>
    <w:rsid w:val="000B2FCD"/>
    <w:rsid w:val="000B3065"/>
    <w:rsid w:val="000B30A7"/>
    <w:rsid w:val="000B3174"/>
    <w:rsid w:val="000B3194"/>
    <w:rsid w:val="000B322D"/>
    <w:rsid w:val="000B3236"/>
    <w:rsid w:val="000B3262"/>
    <w:rsid w:val="000B32AA"/>
    <w:rsid w:val="000B32D0"/>
    <w:rsid w:val="000B32E4"/>
    <w:rsid w:val="000B334F"/>
    <w:rsid w:val="000B3353"/>
    <w:rsid w:val="000B33F1"/>
    <w:rsid w:val="000B3476"/>
    <w:rsid w:val="000B34BD"/>
    <w:rsid w:val="000B34CD"/>
    <w:rsid w:val="000B35E5"/>
    <w:rsid w:val="000B35E9"/>
    <w:rsid w:val="000B35F0"/>
    <w:rsid w:val="000B360A"/>
    <w:rsid w:val="000B3678"/>
    <w:rsid w:val="000B36A7"/>
    <w:rsid w:val="000B372D"/>
    <w:rsid w:val="000B37A1"/>
    <w:rsid w:val="000B386B"/>
    <w:rsid w:val="000B38AF"/>
    <w:rsid w:val="000B38E5"/>
    <w:rsid w:val="000B3912"/>
    <w:rsid w:val="000B39DF"/>
    <w:rsid w:val="000B39ED"/>
    <w:rsid w:val="000B3B8F"/>
    <w:rsid w:val="000B3BF3"/>
    <w:rsid w:val="000B3D40"/>
    <w:rsid w:val="000B3D60"/>
    <w:rsid w:val="000B3D66"/>
    <w:rsid w:val="000B3DBD"/>
    <w:rsid w:val="000B3E49"/>
    <w:rsid w:val="000B3EFE"/>
    <w:rsid w:val="000B3F0A"/>
    <w:rsid w:val="000B3F4E"/>
    <w:rsid w:val="000B3F73"/>
    <w:rsid w:val="000B3FD5"/>
    <w:rsid w:val="000B3FF4"/>
    <w:rsid w:val="000B4026"/>
    <w:rsid w:val="000B402A"/>
    <w:rsid w:val="000B4069"/>
    <w:rsid w:val="000B4084"/>
    <w:rsid w:val="000B40D5"/>
    <w:rsid w:val="000B41BB"/>
    <w:rsid w:val="000B42C6"/>
    <w:rsid w:val="000B432C"/>
    <w:rsid w:val="000B44AB"/>
    <w:rsid w:val="000B44E8"/>
    <w:rsid w:val="000B44EF"/>
    <w:rsid w:val="000B4513"/>
    <w:rsid w:val="000B45D0"/>
    <w:rsid w:val="000B45D4"/>
    <w:rsid w:val="000B463A"/>
    <w:rsid w:val="000B4680"/>
    <w:rsid w:val="000B46A1"/>
    <w:rsid w:val="000B473B"/>
    <w:rsid w:val="000B47A0"/>
    <w:rsid w:val="000B48A6"/>
    <w:rsid w:val="000B48D6"/>
    <w:rsid w:val="000B499D"/>
    <w:rsid w:val="000B4A3A"/>
    <w:rsid w:val="000B4A7E"/>
    <w:rsid w:val="000B4AA4"/>
    <w:rsid w:val="000B4B6B"/>
    <w:rsid w:val="000B4DE8"/>
    <w:rsid w:val="000B4EBB"/>
    <w:rsid w:val="000B4EEB"/>
    <w:rsid w:val="000B4F91"/>
    <w:rsid w:val="000B5040"/>
    <w:rsid w:val="000B510D"/>
    <w:rsid w:val="000B5140"/>
    <w:rsid w:val="000B51E2"/>
    <w:rsid w:val="000B51E7"/>
    <w:rsid w:val="000B51F8"/>
    <w:rsid w:val="000B5203"/>
    <w:rsid w:val="000B5265"/>
    <w:rsid w:val="000B52F2"/>
    <w:rsid w:val="000B5358"/>
    <w:rsid w:val="000B53E7"/>
    <w:rsid w:val="000B545A"/>
    <w:rsid w:val="000B54C4"/>
    <w:rsid w:val="000B5564"/>
    <w:rsid w:val="000B55FD"/>
    <w:rsid w:val="000B5665"/>
    <w:rsid w:val="000B5702"/>
    <w:rsid w:val="000B5721"/>
    <w:rsid w:val="000B572A"/>
    <w:rsid w:val="000B5752"/>
    <w:rsid w:val="000B5799"/>
    <w:rsid w:val="000B57BF"/>
    <w:rsid w:val="000B5817"/>
    <w:rsid w:val="000B584B"/>
    <w:rsid w:val="000B5897"/>
    <w:rsid w:val="000B5928"/>
    <w:rsid w:val="000B595A"/>
    <w:rsid w:val="000B59FE"/>
    <w:rsid w:val="000B5A6D"/>
    <w:rsid w:val="000B5A8B"/>
    <w:rsid w:val="000B5AD9"/>
    <w:rsid w:val="000B5AF2"/>
    <w:rsid w:val="000B5B15"/>
    <w:rsid w:val="000B5B23"/>
    <w:rsid w:val="000B5B49"/>
    <w:rsid w:val="000B5BE1"/>
    <w:rsid w:val="000B5C8D"/>
    <w:rsid w:val="000B5CCB"/>
    <w:rsid w:val="000B5D4D"/>
    <w:rsid w:val="000B5D82"/>
    <w:rsid w:val="000B5D9F"/>
    <w:rsid w:val="000B5DDC"/>
    <w:rsid w:val="000B5DF8"/>
    <w:rsid w:val="000B5DFA"/>
    <w:rsid w:val="000B5E44"/>
    <w:rsid w:val="000B5E6E"/>
    <w:rsid w:val="000B5E6F"/>
    <w:rsid w:val="000B5EBF"/>
    <w:rsid w:val="000B5EE6"/>
    <w:rsid w:val="000B5F03"/>
    <w:rsid w:val="000B603B"/>
    <w:rsid w:val="000B6108"/>
    <w:rsid w:val="000B61F9"/>
    <w:rsid w:val="000B6240"/>
    <w:rsid w:val="000B62B5"/>
    <w:rsid w:val="000B62CD"/>
    <w:rsid w:val="000B62DD"/>
    <w:rsid w:val="000B62FF"/>
    <w:rsid w:val="000B631A"/>
    <w:rsid w:val="000B6379"/>
    <w:rsid w:val="000B637A"/>
    <w:rsid w:val="000B63E5"/>
    <w:rsid w:val="000B63F4"/>
    <w:rsid w:val="000B6433"/>
    <w:rsid w:val="000B6447"/>
    <w:rsid w:val="000B6466"/>
    <w:rsid w:val="000B646C"/>
    <w:rsid w:val="000B64C0"/>
    <w:rsid w:val="000B64FD"/>
    <w:rsid w:val="000B653F"/>
    <w:rsid w:val="000B6586"/>
    <w:rsid w:val="000B65E7"/>
    <w:rsid w:val="000B6668"/>
    <w:rsid w:val="000B66A2"/>
    <w:rsid w:val="000B66AE"/>
    <w:rsid w:val="000B66BD"/>
    <w:rsid w:val="000B6767"/>
    <w:rsid w:val="000B6774"/>
    <w:rsid w:val="000B67A3"/>
    <w:rsid w:val="000B686E"/>
    <w:rsid w:val="000B68D2"/>
    <w:rsid w:val="000B68ED"/>
    <w:rsid w:val="000B699E"/>
    <w:rsid w:val="000B6A10"/>
    <w:rsid w:val="000B6A41"/>
    <w:rsid w:val="000B6A77"/>
    <w:rsid w:val="000B6AA5"/>
    <w:rsid w:val="000B6B45"/>
    <w:rsid w:val="000B6B4F"/>
    <w:rsid w:val="000B6D46"/>
    <w:rsid w:val="000B6EE8"/>
    <w:rsid w:val="000B6F15"/>
    <w:rsid w:val="000B6F96"/>
    <w:rsid w:val="000B6FB4"/>
    <w:rsid w:val="000B7017"/>
    <w:rsid w:val="000B701D"/>
    <w:rsid w:val="000B70C9"/>
    <w:rsid w:val="000B70E0"/>
    <w:rsid w:val="000B70FF"/>
    <w:rsid w:val="000B71AF"/>
    <w:rsid w:val="000B7297"/>
    <w:rsid w:val="000B72D9"/>
    <w:rsid w:val="000B72FA"/>
    <w:rsid w:val="000B73A7"/>
    <w:rsid w:val="000B74AE"/>
    <w:rsid w:val="000B752B"/>
    <w:rsid w:val="000B755E"/>
    <w:rsid w:val="000B7581"/>
    <w:rsid w:val="000B758D"/>
    <w:rsid w:val="000B76E4"/>
    <w:rsid w:val="000B776B"/>
    <w:rsid w:val="000B77E4"/>
    <w:rsid w:val="000B78B8"/>
    <w:rsid w:val="000B790C"/>
    <w:rsid w:val="000B796A"/>
    <w:rsid w:val="000B79F1"/>
    <w:rsid w:val="000B7A09"/>
    <w:rsid w:val="000B7A1E"/>
    <w:rsid w:val="000B7A4C"/>
    <w:rsid w:val="000B7AAF"/>
    <w:rsid w:val="000B7AC1"/>
    <w:rsid w:val="000B7BA5"/>
    <w:rsid w:val="000B7BC4"/>
    <w:rsid w:val="000B7BD0"/>
    <w:rsid w:val="000B7BDB"/>
    <w:rsid w:val="000B7BE0"/>
    <w:rsid w:val="000B7BF7"/>
    <w:rsid w:val="000B7D6D"/>
    <w:rsid w:val="000B7D8B"/>
    <w:rsid w:val="000B7E3A"/>
    <w:rsid w:val="000B7E8A"/>
    <w:rsid w:val="000B7F37"/>
    <w:rsid w:val="000B7F5A"/>
    <w:rsid w:val="000B7F70"/>
    <w:rsid w:val="000C0038"/>
    <w:rsid w:val="000C00E9"/>
    <w:rsid w:val="000C011A"/>
    <w:rsid w:val="000C0156"/>
    <w:rsid w:val="000C0194"/>
    <w:rsid w:val="000C01C4"/>
    <w:rsid w:val="000C0279"/>
    <w:rsid w:val="000C027C"/>
    <w:rsid w:val="000C02B5"/>
    <w:rsid w:val="000C0364"/>
    <w:rsid w:val="000C03FB"/>
    <w:rsid w:val="000C04D3"/>
    <w:rsid w:val="000C0500"/>
    <w:rsid w:val="000C0532"/>
    <w:rsid w:val="000C0563"/>
    <w:rsid w:val="000C05AC"/>
    <w:rsid w:val="000C05B2"/>
    <w:rsid w:val="000C0602"/>
    <w:rsid w:val="000C0654"/>
    <w:rsid w:val="000C06DF"/>
    <w:rsid w:val="000C06F6"/>
    <w:rsid w:val="000C07A1"/>
    <w:rsid w:val="000C08E4"/>
    <w:rsid w:val="000C08F0"/>
    <w:rsid w:val="000C09C7"/>
    <w:rsid w:val="000C0A6A"/>
    <w:rsid w:val="000C0AB4"/>
    <w:rsid w:val="000C0B3F"/>
    <w:rsid w:val="000C0B40"/>
    <w:rsid w:val="000C0C06"/>
    <w:rsid w:val="000C0C18"/>
    <w:rsid w:val="000C0C2D"/>
    <w:rsid w:val="000C0C5D"/>
    <w:rsid w:val="000C0C60"/>
    <w:rsid w:val="000C0D3F"/>
    <w:rsid w:val="000C0D4F"/>
    <w:rsid w:val="000C0DD7"/>
    <w:rsid w:val="000C0E38"/>
    <w:rsid w:val="000C0F5A"/>
    <w:rsid w:val="000C0F7A"/>
    <w:rsid w:val="000C0F85"/>
    <w:rsid w:val="000C0F98"/>
    <w:rsid w:val="000C0FF1"/>
    <w:rsid w:val="000C0FF8"/>
    <w:rsid w:val="000C1129"/>
    <w:rsid w:val="000C1167"/>
    <w:rsid w:val="000C11FE"/>
    <w:rsid w:val="000C1277"/>
    <w:rsid w:val="000C12C4"/>
    <w:rsid w:val="000C1353"/>
    <w:rsid w:val="000C138C"/>
    <w:rsid w:val="000C142A"/>
    <w:rsid w:val="000C154C"/>
    <w:rsid w:val="000C15C3"/>
    <w:rsid w:val="000C15CD"/>
    <w:rsid w:val="000C15F2"/>
    <w:rsid w:val="000C15FA"/>
    <w:rsid w:val="000C1640"/>
    <w:rsid w:val="000C175F"/>
    <w:rsid w:val="000C178F"/>
    <w:rsid w:val="000C17B5"/>
    <w:rsid w:val="000C17E7"/>
    <w:rsid w:val="000C1837"/>
    <w:rsid w:val="000C18D9"/>
    <w:rsid w:val="000C190D"/>
    <w:rsid w:val="000C1911"/>
    <w:rsid w:val="000C191A"/>
    <w:rsid w:val="000C19CC"/>
    <w:rsid w:val="000C1A94"/>
    <w:rsid w:val="000C1ABF"/>
    <w:rsid w:val="000C1B5C"/>
    <w:rsid w:val="000C1B6A"/>
    <w:rsid w:val="000C1B81"/>
    <w:rsid w:val="000C1BAD"/>
    <w:rsid w:val="000C1BBA"/>
    <w:rsid w:val="000C1BC3"/>
    <w:rsid w:val="000C1BEB"/>
    <w:rsid w:val="000C1D10"/>
    <w:rsid w:val="000C1D1D"/>
    <w:rsid w:val="000C1D1F"/>
    <w:rsid w:val="000C1D70"/>
    <w:rsid w:val="000C1E43"/>
    <w:rsid w:val="000C1E5E"/>
    <w:rsid w:val="000C1E9E"/>
    <w:rsid w:val="000C1ECD"/>
    <w:rsid w:val="000C1EEA"/>
    <w:rsid w:val="000C1EED"/>
    <w:rsid w:val="000C1F7E"/>
    <w:rsid w:val="000C1FD7"/>
    <w:rsid w:val="000C1FD8"/>
    <w:rsid w:val="000C201A"/>
    <w:rsid w:val="000C2064"/>
    <w:rsid w:val="000C20B6"/>
    <w:rsid w:val="000C2148"/>
    <w:rsid w:val="000C214B"/>
    <w:rsid w:val="000C2189"/>
    <w:rsid w:val="000C21B8"/>
    <w:rsid w:val="000C220F"/>
    <w:rsid w:val="000C22E9"/>
    <w:rsid w:val="000C2305"/>
    <w:rsid w:val="000C2351"/>
    <w:rsid w:val="000C23AC"/>
    <w:rsid w:val="000C2450"/>
    <w:rsid w:val="000C2566"/>
    <w:rsid w:val="000C2626"/>
    <w:rsid w:val="000C262B"/>
    <w:rsid w:val="000C2658"/>
    <w:rsid w:val="000C26EF"/>
    <w:rsid w:val="000C26FA"/>
    <w:rsid w:val="000C2700"/>
    <w:rsid w:val="000C2702"/>
    <w:rsid w:val="000C27D9"/>
    <w:rsid w:val="000C27E0"/>
    <w:rsid w:val="000C27E6"/>
    <w:rsid w:val="000C28B6"/>
    <w:rsid w:val="000C2929"/>
    <w:rsid w:val="000C2A18"/>
    <w:rsid w:val="000C2A57"/>
    <w:rsid w:val="000C2A8E"/>
    <w:rsid w:val="000C2AB4"/>
    <w:rsid w:val="000C2B7A"/>
    <w:rsid w:val="000C2B80"/>
    <w:rsid w:val="000C2CAC"/>
    <w:rsid w:val="000C2CAD"/>
    <w:rsid w:val="000C2D3B"/>
    <w:rsid w:val="000C2E43"/>
    <w:rsid w:val="000C2E7B"/>
    <w:rsid w:val="000C2EA1"/>
    <w:rsid w:val="000C2EBC"/>
    <w:rsid w:val="000C3063"/>
    <w:rsid w:val="000C30B1"/>
    <w:rsid w:val="000C30EB"/>
    <w:rsid w:val="000C311D"/>
    <w:rsid w:val="000C311E"/>
    <w:rsid w:val="000C3144"/>
    <w:rsid w:val="000C316B"/>
    <w:rsid w:val="000C32BD"/>
    <w:rsid w:val="000C3307"/>
    <w:rsid w:val="000C3324"/>
    <w:rsid w:val="000C34B1"/>
    <w:rsid w:val="000C34B5"/>
    <w:rsid w:val="000C3528"/>
    <w:rsid w:val="000C354E"/>
    <w:rsid w:val="000C3595"/>
    <w:rsid w:val="000C361E"/>
    <w:rsid w:val="000C3747"/>
    <w:rsid w:val="000C37D0"/>
    <w:rsid w:val="000C37EF"/>
    <w:rsid w:val="000C3808"/>
    <w:rsid w:val="000C385F"/>
    <w:rsid w:val="000C3888"/>
    <w:rsid w:val="000C390D"/>
    <w:rsid w:val="000C3951"/>
    <w:rsid w:val="000C398A"/>
    <w:rsid w:val="000C3995"/>
    <w:rsid w:val="000C3A31"/>
    <w:rsid w:val="000C3A63"/>
    <w:rsid w:val="000C3A67"/>
    <w:rsid w:val="000C3A76"/>
    <w:rsid w:val="000C3B02"/>
    <w:rsid w:val="000C3BC9"/>
    <w:rsid w:val="000C3BD3"/>
    <w:rsid w:val="000C3BFF"/>
    <w:rsid w:val="000C3C00"/>
    <w:rsid w:val="000C3C58"/>
    <w:rsid w:val="000C3C5C"/>
    <w:rsid w:val="000C3C92"/>
    <w:rsid w:val="000C3CD5"/>
    <w:rsid w:val="000C3D00"/>
    <w:rsid w:val="000C3D64"/>
    <w:rsid w:val="000C3DED"/>
    <w:rsid w:val="000C3E15"/>
    <w:rsid w:val="000C3F00"/>
    <w:rsid w:val="000C3F09"/>
    <w:rsid w:val="000C3F69"/>
    <w:rsid w:val="000C3F81"/>
    <w:rsid w:val="000C3FDC"/>
    <w:rsid w:val="000C405A"/>
    <w:rsid w:val="000C4166"/>
    <w:rsid w:val="000C416F"/>
    <w:rsid w:val="000C4174"/>
    <w:rsid w:val="000C4228"/>
    <w:rsid w:val="000C4233"/>
    <w:rsid w:val="000C4286"/>
    <w:rsid w:val="000C42BD"/>
    <w:rsid w:val="000C42E7"/>
    <w:rsid w:val="000C42F6"/>
    <w:rsid w:val="000C4343"/>
    <w:rsid w:val="000C4364"/>
    <w:rsid w:val="000C4452"/>
    <w:rsid w:val="000C446D"/>
    <w:rsid w:val="000C44CA"/>
    <w:rsid w:val="000C455F"/>
    <w:rsid w:val="000C45BE"/>
    <w:rsid w:val="000C4685"/>
    <w:rsid w:val="000C4727"/>
    <w:rsid w:val="000C4728"/>
    <w:rsid w:val="000C47A6"/>
    <w:rsid w:val="000C48C1"/>
    <w:rsid w:val="000C49D0"/>
    <w:rsid w:val="000C49FB"/>
    <w:rsid w:val="000C4BEE"/>
    <w:rsid w:val="000C4D7E"/>
    <w:rsid w:val="000C4DDB"/>
    <w:rsid w:val="000C4F01"/>
    <w:rsid w:val="000C4FAF"/>
    <w:rsid w:val="000C5024"/>
    <w:rsid w:val="000C5045"/>
    <w:rsid w:val="000C5083"/>
    <w:rsid w:val="000C508E"/>
    <w:rsid w:val="000C5186"/>
    <w:rsid w:val="000C521C"/>
    <w:rsid w:val="000C5257"/>
    <w:rsid w:val="000C52B8"/>
    <w:rsid w:val="000C5336"/>
    <w:rsid w:val="000C5418"/>
    <w:rsid w:val="000C5505"/>
    <w:rsid w:val="000C55D9"/>
    <w:rsid w:val="000C568D"/>
    <w:rsid w:val="000C5734"/>
    <w:rsid w:val="000C57EF"/>
    <w:rsid w:val="000C5847"/>
    <w:rsid w:val="000C5922"/>
    <w:rsid w:val="000C59C5"/>
    <w:rsid w:val="000C59F4"/>
    <w:rsid w:val="000C5A55"/>
    <w:rsid w:val="000C5ADD"/>
    <w:rsid w:val="000C5B14"/>
    <w:rsid w:val="000C5B17"/>
    <w:rsid w:val="000C5B67"/>
    <w:rsid w:val="000C5BF1"/>
    <w:rsid w:val="000C5C19"/>
    <w:rsid w:val="000C5C8D"/>
    <w:rsid w:val="000C5CF6"/>
    <w:rsid w:val="000C5D07"/>
    <w:rsid w:val="000C5D2A"/>
    <w:rsid w:val="000C5D5B"/>
    <w:rsid w:val="000C5D98"/>
    <w:rsid w:val="000C5DC6"/>
    <w:rsid w:val="000C5DFE"/>
    <w:rsid w:val="000C5E5F"/>
    <w:rsid w:val="000C5E9C"/>
    <w:rsid w:val="000C5F0B"/>
    <w:rsid w:val="000C5F3E"/>
    <w:rsid w:val="000C5F8E"/>
    <w:rsid w:val="000C5FA2"/>
    <w:rsid w:val="000C60C2"/>
    <w:rsid w:val="000C60E3"/>
    <w:rsid w:val="000C612D"/>
    <w:rsid w:val="000C6156"/>
    <w:rsid w:val="000C6351"/>
    <w:rsid w:val="000C6380"/>
    <w:rsid w:val="000C63AC"/>
    <w:rsid w:val="000C63C7"/>
    <w:rsid w:val="000C6442"/>
    <w:rsid w:val="000C644D"/>
    <w:rsid w:val="000C64DF"/>
    <w:rsid w:val="000C6569"/>
    <w:rsid w:val="000C660A"/>
    <w:rsid w:val="000C6765"/>
    <w:rsid w:val="000C678E"/>
    <w:rsid w:val="000C6797"/>
    <w:rsid w:val="000C67A4"/>
    <w:rsid w:val="000C6803"/>
    <w:rsid w:val="000C6875"/>
    <w:rsid w:val="000C6891"/>
    <w:rsid w:val="000C6A55"/>
    <w:rsid w:val="000C6A79"/>
    <w:rsid w:val="000C6ABB"/>
    <w:rsid w:val="000C6ADE"/>
    <w:rsid w:val="000C6AEF"/>
    <w:rsid w:val="000C6B6F"/>
    <w:rsid w:val="000C6BE6"/>
    <w:rsid w:val="000C6C4A"/>
    <w:rsid w:val="000C6D11"/>
    <w:rsid w:val="000C6D16"/>
    <w:rsid w:val="000C6D58"/>
    <w:rsid w:val="000C6DE0"/>
    <w:rsid w:val="000C6EB7"/>
    <w:rsid w:val="000C6EFC"/>
    <w:rsid w:val="000C6F19"/>
    <w:rsid w:val="000C6F1F"/>
    <w:rsid w:val="000C6F30"/>
    <w:rsid w:val="000C6F56"/>
    <w:rsid w:val="000C7015"/>
    <w:rsid w:val="000C70C8"/>
    <w:rsid w:val="000C7113"/>
    <w:rsid w:val="000C7136"/>
    <w:rsid w:val="000C7185"/>
    <w:rsid w:val="000C719C"/>
    <w:rsid w:val="000C71C5"/>
    <w:rsid w:val="000C725A"/>
    <w:rsid w:val="000C734A"/>
    <w:rsid w:val="000C7418"/>
    <w:rsid w:val="000C75B2"/>
    <w:rsid w:val="000C7608"/>
    <w:rsid w:val="000C7665"/>
    <w:rsid w:val="000C775A"/>
    <w:rsid w:val="000C78AD"/>
    <w:rsid w:val="000C7903"/>
    <w:rsid w:val="000C7944"/>
    <w:rsid w:val="000C797D"/>
    <w:rsid w:val="000C799D"/>
    <w:rsid w:val="000C79C4"/>
    <w:rsid w:val="000C79FE"/>
    <w:rsid w:val="000C7A0F"/>
    <w:rsid w:val="000C7ADB"/>
    <w:rsid w:val="000C7AEE"/>
    <w:rsid w:val="000C7C79"/>
    <w:rsid w:val="000C7C99"/>
    <w:rsid w:val="000C7CD3"/>
    <w:rsid w:val="000C7D12"/>
    <w:rsid w:val="000C7D42"/>
    <w:rsid w:val="000C7D55"/>
    <w:rsid w:val="000C7E7C"/>
    <w:rsid w:val="000C7E8E"/>
    <w:rsid w:val="000C7E90"/>
    <w:rsid w:val="000C7E9A"/>
    <w:rsid w:val="000C7EC0"/>
    <w:rsid w:val="000C7FA6"/>
    <w:rsid w:val="000D0001"/>
    <w:rsid w:val="000D0006"/>
    <w:rsid w:val="000D001C"/>
    <w:rsid w:val="000D0096"/>
    <w:rsid w:val="000D0124"/>
    <w:rsid w:val="000D018C"/>
    <w:rsid w:val="000D0237"/>
    <w:rsid w:val="000D02A6"/>
    <w:rsid w:val="000D03AF"/>
    <w:rsid w:val="000D03C5"/>
    <w:rsid w:val="000D03F9"/>
    <w:rsid w:val="000D04DF"/>
    <w:rsid w:val="000D0532"/>
    <w:rsid w:val="000D058C"/>
    <w:rsid w:val="000D05DA"/>
    <w:rsid w:val="000D0655"/>
    <w:rsid w:val="000D06D0"/>
    <w:rsid w:val="000D07AC"/>
    <w:rsid w:val="000D0856"/>
    <w:rsid w:val="000D08C9"/>
    <w:rsid w:val="000D0916"/>
    <w:rsid w:val="000D099B"/>
    <w:rsid w:val="000D0A15"/>
    <w:rsid w:val="000D0A29"/>
    <w:rsid w:val="000D0A32"/>
    <w:rsid w:val="000D0A77"/>
    <w:rsid w:val="000D0AA7"/>
    <w:rsid w:val="000D0B5B"/>
    <w:rsid w:val="000D0BF9"/>
    <w:rsid w:val="000D0C72"/>
    <w:rsid w:val="000D0D48"/>
    <w:rsid w:val="000D0E28"/>
    <w:rsid w:val="000D0F05"/>
    <w:rsid w:val="000D0F19"/>
    <w:rsid w:val="000D0F9A"/>
    <w:rsid w:val="000D0FB3"/>
    <w:rsid w:val="000D100C"/>
    <w:rsid w:val="000D101E"/>
    <w:rsid w:val="000D1052"/>
    <w:rsid w:val="000D1210"/>
    <w:rsid w:val="000D124A"/>
    <w:rsid w:val="000D1330"/>
    <w:rsid w:val="000D138C"/>
    <w:rsid w:val="000D140A"/>
    <w:rsid w:val="000D141A"/>
    <w:rsid w:val="000D145D"/>
    <w:rsid w:val="000D15AC"/>
    <w:rsid w:val="000D15C3"/>
    <w:rsid w:val="000D16CD"/>
    <w:rsid w:val="000D172A"/>
    <w:rsid w:val="000D175A"/>
    <w:rsid w:val="000D176C"/>
    <w:rsid w:val="000D1786"/>
    <w:rsid w:val="000D17A7"/>
    <w:rsid w:val="000D18B1"/>
    <w:rsid w:val="000D197C"/>
    <w:rsid w:val="000D1B6C"/>
    <w:rsid w:val="000D1BA2"/>
    <w:rsid w:val="000D1C03"/>
    <w:rsid w:val="000D1CE1"/>
    <w:rsid w:val="000D1D8B"/>
    <w:rsid w:val="000D1DC2"/>
    <w:rsid w:val="000D1F00"/>
    <w:rsid w:val="000D1F1C"/>
    <w:rsid w:val="000D1FC7"/>
    <w:rsid w:val="000D1FE1"/>
    <w:rsid w:val="000D2038"/>
    <w:rsid w:val="000D204C"/>
    <w:rsid w:val="000D2051"/>
    <w:rsid w:val="000D20A9"/>
    <w:rsid w:val="000D2101"/>
    <w:rsid w:val="000D21BC"/>
    <w:rsid w:val="000D21BF"/>
    <w:rsid w:val="000D21CC"/>
    <w:rsid w:val="000D21E7"/>
    <w:rsid w:val="000D223B"/>
    <w:rsid w:val="000D2264"/>
    <w:rsid w:val="000D244A"/>
    <w:rsid w:val="000D2485"/>
    <w:rsid w:val="000D24A8"/>
    <w:rsid w:val="000D251F"/>
    <w:rsid w:val="000D25A5"/>
    <w:rsid w:val="000D25FE"/>
    <w:rsid w:val="000D2630"/>
    <w:rsid w:val="000D26A4"/>
    <w:rsid w:val="000D26AA"/>
    <w:rsid w:val="000D26CD"/>
    <w:rsid w:val="000D26F4"/>
    <w:rsid w:val="000D277D"/>
    <w:rsid w:val="000D27AD"/>
    <w:rsid w:val="000D27DC"/>
    <w:rsid w:val="000D2817"/>
    <w:rsid w:val="000D2876"/>
    <w:rsid w:val="000D28BB"/>
    <w:rsid w:val="000D28F6"/>
    <w:rsid w:val="000D2951"/>
    <w:rsid w:val="000D2997"/>
    <w:rsid w:val="000D29CF"/>
    <w:rsid w:val="000D29DD"/>
    <w:rsid w:val="000D2A1E"/>
    <w:rsid w:val="000D2A5C"/>
    <w:rsid w:val="000D2AD3"/>
    <w:rsid w:val="000D2AE4"/>
    <w:rsid w:val="000D2B09"/>
    <w:rsid w:val="000D2B35"/>
    <w:rsid w:val="000D2BAF"/>
    <w:rsid w:val="000D2BD7"/>
    <w:rsid w:val="000D2C80"/>
    <w:rsid w:val="000D2D12"/>
    <w:rsid w:val="000D2D4A"/>
    <w:rsid w:val="000D2DB9"/>
    <w:rsid w:val="000D2DBA"/>
    <w:rsid w:val="000D2DE3"/>
    <w:rsid w:val="000D2EC5"/>
    <w:rsid w:val="000D30E9"/>
    <w:rsid w:val="000D30FB"/>
    <w:rsid w:val="000D3102"/>
    <w:rsid w:val="000D314E"/>
    <w:rsid w:val="000D31A6"/>
    <w:rsid w:val="000D31C4"/>
    <w:rsid w:val="000D3225"/>
    <w:rsid w:val="000D325F"/>
    <w:rsid w:val="000D32A0"/>
    <w:rsid w:val="000D32D9"/>
    <w:rsid w:val="000D32E0"/>
    <w:rsid w:val="000D3308"/>
    <w:rsid w:val="000D33A9"/>
    <w:rsid w:val="000D33D5"/>
    <w:rsid w:val="000D3468"/>
    <w:rsid w:val="000D3781"/>
    <w:rsid w:val="000D3829"/>
    <w:rsid w:val="000D383F"/>
    <w:rsid w:val="000D3A63"/>
    <w:rsid w:val="000D3B70"/>
    <w:rsid w:val="000D3BBD"/>
    <w:rsid w:val="000D3CFF"/>
    <w:rsid w:val="000D3D06"/>
    <w:rsid w:val="000D3D19"/>
    <w:rsid w:val="000D3D90"/>
    <w:rsid w:val="000D3DCA"/>
    <w:rsid w:val="000D3E9E"/>
    <w:rsid w:val="000D3EF3"/>
    <w:rsid w:val="000D3F21"/>
    <w:rsid w:val="000D3F32"/>
    <w:rsid w:val="000D3F62"/>
    <w:rsid w:val="000D3FF4"/>
    <w:rsid w:val="000D400B"/>
    <w:rsid w:val="000D406C"/>
    <w:rsid w:val="000D423D"/>
    <w:rsid w:val="000D4262"/>
    <w:rsid w:val="000D432E"/>
    <w:rsid w:val="000D4379"/>
    <w:rsid w:val="000D4407"/>
    <w:rsid w:val="000D4474"/>
    <w:rsid w:val="000D44BC"/>
    <w:rsid w:val="000D450D"/>
    <w:rsid w:val="000D456F"/>
    <w:rsid w:val="000D459C"/>
    <w:rsid w:val="000D46FF"/>
    <w:rsid w:val="000D4730"/>
    <w:rsid w:val="000D4797"/>
    <w:rsid w:val="000D47C7"/>
    <w:rsid w:val="000D47D0"/>
    <w:rsid w:val="000D4867"/>
    <w:rsid w:val="000D48FE"/>
    <w:rsid w:val="000D494B"/>
    <w:rsid w:val="000D4981"/>
    <w:rsid w:val="000D4982"/>
    <w:rsid w:val="000D49C1"/>
    <w:rsid w:val="000D49C4"/>
    <w:rsid w:val="000D4A8D"/>
    <w:rsid w:val="000D4AA1"/>
    <w:rsid w:val="000D4C3B"/>
    <w:rsid w:val="000D4C51"/>
    <w:rsid w:val="000D4D5F"/>
    <w:rsid w:val="000D4DC8"/>
    <w:rsid w:val="000D4DDC"/>
    <w:rsid w:val="000D4E17"/>
    <w:rsid w:val="000D4E9C"/>
    <w:rsid w:val="000D4EFF"/>
    <w:rsid w:val="000D4F2C"/>
    <w:rsid w:val="000D4F51"/>
    <w:rsid w:val="000D4F94"/>
    <w:rsid w:val="000D4FAB"/>
    <w:rsid w:val="000D5005"/>
    <w:rsid w:val="000D5066"/>
    <w:rsid w:val="000D509E"/>
    <w:rsid w:val="000D50A9"/>
    <w:rsid w:val="000D5110"/>
    <w:rsid w:val="000D5142"/>
    <w:rsid w:val="000D51C3"/>
    <w:rsid w:val="000D5232"/>
    <w:rsid w:val="000D524F"/>
    <w:rsid w:val="000D528E"/>
    <w:rsid w:val="000D5327"/>
    <w:rsid w:val="000D5403"/>
    <w:rsid w:val="000D548D"/>
    <w:rsid w:val="000D5529"/>
    <w:rsid w:val="000D5627"/>
    <w:rsid w:val="000D5686"/>
    <w:rsid w:val="000D5695"/>
    <w:rsid w:val="000D56AB"/>
    <w:rsid w:val="000D56CA"/>
    <w:rsid w:val="000D56DA"/>
    <w:rsid w:val="000D5725"/>
    <w:rsid w:val="000D5795"/>
    <w:rsid w:val="000D579D"/>
    <w:rsid w:val="000D5878"/>
    <w:rsid w:val="000D5881"/>
    <w:rsid w:val="000D5898"/>
    <w:rsid w:val="000D5948"/>
    <w:rsid w:val="000D5950"/>
    <w:rsid w:val="000D59BC"/>
    <w:rsid w:val="000D5A79"/>
    <w:rsid w:val="000D5AE1"/>
    <w:rsid w:val="000D5BFE"/>
    <w:rsid w:val="000D5C7D"/>
    <w:rsid w:val="000D5CE2"/>
    <w:rsid w:val="000D5CE7"/>
    <w:rsid w:val="000D5DC0"/>
    <w:rsid w:val="000D5DF2"/>
    <w:rsid w:val="000D5DFA"/>
    <w:rsid w:val="000D5E16"/>
    <w:rsid w:val="000D5E27"/>
    <w:rsid w:val="000D5E3E"/>
    <w:rsid w:val="000D5EC7"/>
    <w:rsid w:val="000D5EED"/>
    <w:rsid w:val="000D5F1C"/>
    <w:rsid w:val="000D5F77"/>
    <w:rsid w:val="000D5F82"/>
    <w:rsid w:val="000D5FB4"/>
    <w:rsid w:val="000D5FD9"/>
    <w:rsid w:val="000D6089"/>
    <w:rsid w:val="000D60B9"/>
    <w:rsid w:val="000D612D"/>
    <w:rsid w:val="000D6196"/>
    <w:rsid w:val="000D6200"/>
    <w:rsid w:val="000D6222"/>
    <w:rsid w:val="000D62A3"/>
    <w:rsid w:val="000D630B"/>
    <w:rsid w:val="000D636F"/>
    <w:rsid w:val="000D63A9"/>
    <w:rsid w:val="000D6482"/>
    <w:rsid w:val="000D6540"/>
    <w:rsid w:val="000D65EB"/>
    <w:rsid w:val="000D660D"/>
    <w:rsid w:val="000D6634"/>
    <w:rsid w:val="000D6661"/>
    <w:rsid w:val="000D6692"/>
    <w:rsid w:val="000D66B1"/>
    <w:rsid w:val="000D66FC"/>
    <w:rsid w:val="000D678B"/>
    <w:rsid w:val="000D67A3"/>
    <w:rsid w:val="000D67A4"/>
    <w:rsid w:val="000D6887"/>
    <w:rsid w:val="000D689C"/>
    <w:rsid w:val="000D6987"/>
    <w:rsid w:val="000D6991"/>
    <w:rsid w:val="000D69D6"/>
    <w:rsid w:val="000D6A79"/>
    <w:rsid w:val="000D6B04"/>
    <w:rsid w:val="000D6B0D"/>
    <w:rsid w:val="000D6B7C"/>
    <w:rsid w:val="000D6B97"/>
    <w:rsid w:val="000D6C1C"/>
    <w:rsid w:val="000D6C51"/>
    <w:rsid w:val="000D6CC2"/>
    <w:rsid w:val="000D6D36"/>
    <w:rsid w:val="000D6D3D"/>
    <w:rsid w:val="000D6DA0"/>
    <w:rsid w:val="000D6DB5"/>
    <w:rsid w:val="000D6DC4"/>
    <w:rsid w:val="000D6DEE"/>
    <w:rsid w:val="000D6E21"/>
    <w:rsid w:val="000D6E40"/>
    <w:rsid w:val="000D6E56"/>
    <w:rsid w:val="000D6E77"/>
    <w:rsid w:val="000D6EC9"/>
    <w:rsid w:val="000D6F27"/>
    <w:rsid w:val="000D6F7E"/>
    <w:rsid w:val="000D707B"/>
    <w:rsid w:val="000D70D3"/>
    <w:rsid w:val="000D70EC"/>
    <w:rsid w:val="000D7182"/>
    <w:rsid w:val="000D71E6"/>
    <w:rsid w:val="000D724B"/>
    <w:rsid w:val="000D7258"/>
    <w:rsid w:val="000D7349"/>
    <w:rsid w:val="000D737C"/>
    <w:rsid w:val="000D7517"/>
    <w:rsid w:val="000D75AA"/>
    <w:rsid w:val="000D75E8"/>
    <w:rsid w:val="000D76EC"/>
    <w:rsid w:val="000D774E"/>
    <w:rsid w:val="000D77B7"/>
    <w:rsid w:val="000D781D"/>
    <w:rsid w:val="000D781F"/>
    <w:rsid w:val="000D7833"/>
    <w:rsid w:val="000D788F"/>
    <w:rsid w:val="000D78DF"/>
    <w:rsid w:val="000D7977"/>
    <w:rsid w:val="000D79D1"/>
    <w:rsid w:val="000D79D6"/>
    <w:rsid w:val="000D79FB"/>
    <w:rsid w:val="000D7A10"/>
    <w:rsid w:val="000D7A5A"/>
    <w:rsid w:val="000D7A5C"/>
    <w:rsid w:val="000D7A70"/>
    <w:rsid w:val="000D7ACC"/>
    <w:rsid w:val="000D7B84"/>
    <w:rsid w:val="000D7C3F"/>
    <w:rsid w:val="000D7C5A"/>
    <w:rsid w:val="000D7D3F"/>
    <w:rsid w:val="000D7D9D"/>
    <w:rsid w:val="000D7DA3"/>
    <w:rsid w:val="000D7E20"/>
    <w:rsid w:val="000D7E48"/>
    <w:rsid w:val="000D7F6D"/>
    <w:rsid w:val="000E00CE"/>
    <w:rsid w:val="000E00DB"/>
    <w:rsid w:val="000E00DD"/>
    <w:rsid w:val="000E010F"/>
    <w:rsid w:val="000E0124"/>
    <w:rsid w:val="000E0196"/>
    <w:rsid w:val="000E02E1"/>
    <w:rsid w:val="000E02EF"/>
    <w:rsid w:val="000E039D"/>
    <w:rsid w:val="000E041B"/>
    <w:rsid w:val="000E0440"/>
    <w:rsid w:val="000E04AA"/>
    <w:rsid w:val="000E0563"/>
    <w:rsid w:val="000E05A8"/>
    <w:rsid w:val="000E068B"/>
    <w:rsid w:val="000E0690"/>
    <w:rsid w:val="000E0821"/>
    <w:rsid w:val="000E0822"/>
    <w:rsid w:val="000E084C"/>
    <w:rsid w:val="000E08BD"/>
    <w:rsid w:val="000E09C3"/>
    <w:rsid w:val="000E0AA1"/>
    <w:rsid w:val="000E0B47"/>
    <w:rsid w:val="000E0B53"/>
    <w:rsid w:val="000E0B98"/>
    <w:rsid w:val="000E0BF6"/>
    <w:rsid w:val="000E0BFE"/>
    <w:rsid w:val="000E0C8E"/>
    <w:rsid w:val="000E0CF0"/>
    <w:rsid w:val="000E0D53"/>
    <w:rsid w:val="000E0E01"/>
    <w:rsid w:val="000E0EAB"/>
    <w:rsid w:val="000E0F56"/>
    <w:rsid w:val="000E0FAB"/>
    <w:rsid w:val="000E0FFD"/>
    <w:rsid w:val="000E1076"/>
    <w:rsid w:val="000E10D1"/>
    <w:rsid w:val="000E10FB"/>
    <w:rsid w:val="000E1122"/>
    <w:rsid w:val="000E1135"/>
    <w:rsid w:val="000E116E"/>
    <w:rsid w:val="000E11DE"/>
    <w:rsid w:val="000E1320"/>
    <w:rsid w:val="000E1329"/>
    <w:rsid w:val="000E13CA"/>
    <w:rsid w:val="000E141D"/>
    <w:rsid w:val="000E141E"/>
    <w:rsid w:val="000E1435"/>
    <w:rsid w:val="000E14C4"/>
    <w:rsid w:val="000E14CB"/>
    <w:rsid w:val="000E14E7"/>
    <w:rsid w:val="000E150A"/>
    <w:rsid w:val="000E1527"/>
    <w:rsid w:val="000E1555"/>
    <w:rsid w:val="000E1563"/>
    <w:rsid w:val="000E15AC"/>
    <w:rsid w:val="000E16DE"/>
    <w:rsid w:val="000E176B"/>
    <w:rsid w:val="000E18B9"/>
    <w:rsid w:val="000E18D2"/>
    <w:rsid w:val="000E18FE"/>
    <w:rsid w:val="000E19AE"/>
    <w:rsid w:val="000E1AC6"/>
    <w:rsid w:val="000E1AD9"/>
    <w:rsid w:val="000E1B1F"/>
    <w:rsid w:val="000E1C24"/>
    <w:rsid w:val="000E1CB9"/>
    <w:rsid w:val="000E1CC5"/>
    <w:rsid w:val="000E1D2D"/>
    <w:rsid w:val="000E1D37"/>
    <w:rsid w:val="000E1D4D"/>
    <w:rsid w:val="000E1D5D"/>
    <w:rsid w:val="000E1DFA"/>
    <w:rsid w:val="000E1E68"/>
    <w:rsid w:val="000E1E74"/>
    <w:rsid w:val="000E1E7A"/>
    <w:rsid w:val="000E1EA4"/>
    <w:rsid w:val="000E1F08"/>
    <w:rsid w:val="000E1F3F"/>
    <w:rsid w:val="000E1FFD"/>
    <w:rsid w:val="000E20B6"/>
    <w:rsid w:val="000E2132"/>
    <w:rsid w:val="000E218A"/>
    <w:rsid w:val="000E2262"/>
    <w:rsid w:val="000E22B5"/>
    <w:rsid w:val="000E236B"/>
    <w:rsid w:val="000E2430"/>
    <w:rsid w:val="000E24FF"/>
    <w:rsid w:val="000E2512"/>
    <w:rsid w:val="000E251F"/>
    <w:rsid w:val="000E257B"/>
    <w:rsid w:val="000E262D"/>
    <w:rsid w:val="000E263D"/>
    <w:rsid w:val="000E265E"/>
    <w:rsid w:val="000E269F"/>
    <w:rsid w:val="000E26AC"/>
    <w:rsid w:val="000E2746"/>
    <w:rsid w:val="000E286E"/>
    <w:rsid w:val="000E28AA"/>
    <w:rsid w:val="000E290A"/>
    <w:rsid w:val="000E291F"/>
    <w:rsid w:val="000E297C"/>
    <w:rsid w:val="000E29AC"/>
    <w:rsid w:val="000E2A08"/>
    <w:rsid w:val="000E2A59"/>
    <w:rsid w:val="000E2A68"/>
    <w:rsid w:val="000E2A6D"/>
    <w:rsid w:val="000E2A7C"/>
    <w:rsid w:val="000E2AEE"/>
    <w:rsid w:val="000E2B35"/>
    <w:rsid w:val="000E2B45"/>
    <w:rsid w:val="000E2BFC"/>
    <w:rsid w:val="000E2C7B"/>
    <w:rsid w:val="000E2CAE"/>
    <w:rsid w:val="000E2D59"/>
    <w:rsid w:val="000E2D90"/>
    <w:rsid w:val="000E2EF2"/>
    <w:rsid w:val="000E2F4A"/>
    <w:rsid w:val="000E3034"/>
    <w:rsid w:val="000E3056"/>
    <w:rsid w:val="000E3059"/>
    <w:rsid w:val="000E30A3"/>
    <w:rsid w:val="000E3130"/>
    <w:rsid w:val="000E31AC"/>
    <w:rsid w:val="000E31B4"/>
    <w:rsid w:val="000E31EC"/>
    <w:rsid w:val="000E3227"/>
    <w:rsid w:val="000E3282"/>
    <w:rsid w:val="000E32A9"/>
    <w:rsid w:val="000E32AB"/>
    <w:rsid w:val="000E32ED"/>
    <w:rsid w:val="000E3354"/>
    <w:rsid w:val="000E3362"/>
    <w:rsid w:val="000E33A6"/>
    <w:rsid w:val="000E33F0"/>
    <w:rsid w:val="000E34A3"/>
    <w:rsid w:val="000E34EA"/>
    <w:rsid w:val="000E3522"/>
    <w:rsid w:val="000E352D"/>
    <w:rsid w:val="000E3571"/>
    <w:rsid w:val="000E358A"/>
    <w:rsid w:val="000E358D"/>
    <w:rsid w:val="000E3596"/>
    <w:rsid w:val="000E35A7"/>
    <w:rsid w:val="000E35EA"/>
    <w:rsid w:val="000E3606"/>
    <w:rsid w:val="000E365C"/>
    <w:rsid w:val="000E36BC"/>
    <w:rsid w:val="000E370F"/>
    <w:rsid w:val="000E384E"/>
    <w:rsid w:val="000E3886"/>
    <w:rsid w:val="000E38B5"/>
    <w:rsid w:val="000E392B"/>
    <w:rsid w:val="000E3957"/>
    <w:rsid w:val="000E39AA"/>
    <w:rsid w:val="000E3A46"/>
    <w:rsid w:val="000E3A6B"/>
    <w:rsid w:val="000E3A72"/>
    <w:rsid w:val="000E3AD4"/>
    <w:rsid w:val="000E3B05"/>
    <w:rsid w:val="000E3BF0"/>
    <w:rsid w:val="000E3C41"/>
    <w:rsid w:val="000E3C9C"/>
    <w:rsid w:val="000E3D18"/>
    <w:rsid w:val="000E3D29"/>
    <w:rsid w:val="000E3E7B"/>
    <w:rsid w:val="000E3E94"/>
    <w:rsid w:val="000E3F21"/>
    <w:rsid w:val="000E3F5E"/>
    <w:rsid w:val="000E3F98"/>
    <w:rsid w:val="000E3F99"/>
    <w:rsid w:val="000E4034"/>
    <w:rsid w:val="000E40ED"/>
    <w:rsid w:val="000E415B"/>
    <w:rsid w:val="000E416D"/>
    <w:rsid w:val="000E42D6"/>
    <w:rsid w:val="000E44C0"/>
    <w:rsid w:val="000E4520"/>
    <w:rsid w:val="000E4555"/>
    <w:rsid w:val="000E4563"/>
    <w:rsid w:val="000E468D"/>
    <w:rsid w:val="000E4696"/>
    <w:rsid w:val="000E46E1"/>
    <w:rsid w:val="000E47D1"/>
    <w:rsid w:val="000E4961"/>
    <w:rsid w:val="000E4A37"/>
    <w:rsid w:val="000E4A50"/>
    <w:rsid w:val="000E4AB9"/>
    <w:rsid w:val="000E4B83"/>
    <w:rsid w:val="000E4BC0"/>
    <w:rsid w:val="000E4C06"/>
    <w:rsid w:val="000E4D20"/>
    <w:rsid w:val="000E4E2F"/>
    <w:rsid w:val="000E4E9B"/>
    <w:rsid w:val="000E4EAA"/>
    <w:rsid w:val="000E4EFB"/>
    <w:rsid w:val="000E4F26"/>
    <w:rsid w:val="000E4F44"/>
    <w:rsid w:val="000E4F47"/>
    <w:rsid w:val="000E4F49"/>
    <w:rsid w:val="000E4F5F"/>
    <w:rsid w:val="000E4F85"/>
    <w:rsid w:val="000E4F90"/>
    <w:rsid w:val="000E503B"/>
    <w:rsid w:val="000E5157"/>
    <w:rsid w:val="000E5302"/>
    <w:rsid w:val="000E5355"/>
    <w:rsid w:val="000E5358"/>
    <w:rsid w:val="000E53C2"/>
    <w:rsid w:val="000E53E7"/>
    <w:rsid w:val="000E540A"/>
    <w:rsid w:val="000E5475"/>
    <w:rsid w:val="000E549B"/>
    <w:rsid w:val="000E54AC"/>
    <w:rsid w:val="000E5553"/>
    <w:rsid w:val="000E5560"/>
    <w:rsid w:val="000E5608"/>
    <w:rsid w:val="000E5671"/>
    <w:rsid w:val="000E56E2"/>
    <w:rsid w:val="000E56F9"/>
    <w:rsid w:val="000E5701"/>
    <w:rsid w:val="000E5723"/>
    <w:rsid w:val="000E580B"/>
    <w:rsid w:val="000E5814"/>
    <w:rsid w:val="000E5824"/>
    <w:rsid w:val="000E5867"/>
    <w:rsid w:val="000E589E"/>
    <w:rsid w:val="000E5944"/>
    <w:rsid w:val="000E594A"/>
    <w:rsid w:val="000E5952"/>
    <w:rsid w:val="000E598A"/>
    <w:rsid w:val="000E59EC"/>
    <w:rsid w:val="000E5AA6"/>
    <w:rsid w:val="000E5AF2"/>
    <w:rsid w:val="000E5AF3"/>
    <w:rsid w:val="000E5B7C"/>
    <w:rsid w:val="000E5BDF"/>
    <w:rsid w:val="000E5C0D"/>
    <w:rsid w:val="000E5C49"/>
    <w:rsid w:val="000E5D12"/>
    <w:rsid w:val="000E5D52"/>
    <w:rsid w:val="000E5D5B"/>
    <w:rsid w:val="000E5EDC"/>
    <w:rsid w:val="000E5F24"/>
    <w:rsid w:val="000E5F61"/>
    <w:rsid w:val="000E6192"/>
    <w:rsid w:val="000E6280"/>
    <w:rsid w:val="000E62AD"/>
    <w:rsid w:val="000E637D"/>
    <w:rsid w:val="000E63F5"/>
    <w:rsid w:val="000E6468"/>
    <w:rsid w:val="000E64DB"/>
    <w:rsid w:val="000E652F"/>
    <w:rsid w:val="000E6544"/>
    <w:rsid w:val="000E65B2"/>
    <w:rsid w:val="000E65CF"/>
    <w:rsid w:val="000E6600"/>
    <w:rsid w:val="000E66AD"/>
    <w:rsid w:val="000E66DD"/>
    <w:rsid w:val="000E66F1"/>
    <w:rsid w:val="000E66F5"/>
    <w:rsid w:val="000E6710"/>
    <w:rsid w:val="000E677F"/>
    <w:rsid w:val="000E67B8"/>
    <w:rsid w:val="000E6836"/>
    <w:rsid w:val="000E6852"/>
    <w:rsid w:val="000E686B"/>
    <w:rsid w:val="000E688C"/>
    <w:rsid w:val="000E6920"/>
    <w:rsid w:val="000E695F"/>
    <w:rsid w:val="000E6971"/>
    <w:rsid w:val="000E69E4"/>
    <w:rsid w:val="000E69F7"/>
    <w:rsid w:val="000E6A30"/>
    <w:rsid w:val="000E6A91"/>
    <w:rsid w:val="000E6AFB"/>
    <w:rsid w:val="000E6B75"/>
    <w:rsid w:val="000E6BDF"/>
    <w:rsid w:val="000E6C07"/>
    <w:rsid w:val="000E6C4D"/>
    <w:rsid w:val="000E6CF4"/>
    <w:rsid w:val="000E6D12"/>
    <w:rsid w:val="000E6D4E"/>
    <w:rsid w:val="000E6DB1"/>
    <w:rsid w:val="000E6DF7"/>
    <w:rsid w:val="000E6F0B"/>
    <w:rsid w:val="000E7021"/>
    <w:rsid w:val="000E7059"/>
    <w:rsid w:val="000E709B"/>
    <w:rsid w:val="000E716D"/>
    <w:rsid w:val="000E7170"/>
    <w:rsid w:val="000E71F2"/>
    <w:rsid w:val="000E71FA"/>
    <w:rsid w:val="000E7283"/>
    <w:rsid w:val="000E7284"/>
    <w:rsid w:val="000E7337"/>
    <w:rsid w:val="000E7341"/>
    <w:rsid w:val="000E73DB"/>
    <w:rsid w:val="000E744F"/>
    <w:rsid w:val="000E74A3"/>
    <w:rsid w:val="000E7520"/>
    <w:rsid w:val="000E7537"/>
    <w:rsid w:val="000E7554"/>
    <w:rsid w:val="000E778E"/>
    <w:rsid w:val="000E782A"/>
    <w:rsid w:val="000E7851"/>
    <w:rsid w:val="000E78BB"/>
    <w:rsid w:val="000E7922"/>
    <w:rsid w:val="000E7947"/>
    <w:rsid w:val="000E79D1"/>
    <w:rsid w:val="000E79D9"/>
    <w:rsid w:val="000E7A1C"/>
    <w:rsid w:val="000E7A66"/>
    <w:rsid w:val="000E7A83"/>
    <w:rsid w:val="000E7AAE"/>
    <w:rsid w:val="000E7B0D"/>
    <w:rsid w:val="000E7B24"/>
    <w:rsid w:val="000E7BE8"/>
    <w:rsid w:val="000E7BEE"/>
    <w:rsid w:val="000E7C0F"/>
    <w:rsid w:val="000E7C17"/>
    <w:rsid w:val="000E7C1C"/>
    <w:rsid w:val="000E7C9E"/>
    <w:rsid w:val="000E7D33"/>
    <w:rsid w:val="000E7D74"/>
    <w:rsid w:val="000E7D99"/>
    <w:rsid w:val="000E7DE1"/>
    <w:rsid w:val="000E7DF9"/>
    <w:rsid w:val="000E7FC5"/>
    <w:rsid w:val="000F0020"/>
    <w:rsid w:val="000F01E8"/>
    <w:rsid w:val="000F0213"/>
    <w:rsid w:val="000F02BD"/>
    <w:rsid w:val="000F02CB"/>
    <w:rsid w:val="000F02F4"/>
    <w:rsid w:val="000F0358"/>
    <w:rsid w:val="000F036A"/>
    <w:rsid w:val="000F03BE"/>
    <w:rsid w:val="000F03F3"/>
    <w:rsid w:val="000F0406"/>
    <w:rsid w:val="000F042D"/>
    <w:rsid w:val="000F042E"/>
    <w:rsid w:val="000F0432"/>
    <w:rsid w:val="000F04C2"/>
    <w:rsid w:val="000F04C6"/>
    <w:rsid w:val="000F04D2"/>
    <w:rsid w:val="000F0505"/>
    <w:rsid w:val="000F0583"/>
    <w:rsid w:val="000F05A2"/>
    <w:rsid w:val="000F05DF"/>
    <w:rsid w:val="000F0702"/>
    <w:rsid w:val="000F0713"/>
    <w:rsid w:val="000F074B"/>
    <w:rsid w:val="000F0754"/>
    <w:rsid w:val="000F078D"/>
    <w:rsid w:val="000F07C6"/>
    <w:rsid w:val="000F080F"/>
    <w:rsid w:val="000F08A8"/>
    <w:rsid w:val="000F092A"/>
    <w:rsid w:val="000F0A33"/>
    <w:rsid w:val="000F0BB7"/>
    <w:rsid w:val="000F0C02"/>
    <w:rsid w:val="000F0C6B"/>
    <w:rsid w:val="000F0C73"/>
    <w:rsid w:val="000F0D24"/>
    <w:rsid w:val="000F0D89"/>
    <w:rsid w:val="000F0DBA"/>
    <w:rsid w:val="000F0E8F"/>
    <w:rsid w:val="000F0EA9"/>
    <w:rsid w:val="000F0ED6"/>
    <w:rsid w:val="000F0F86"/>
    <w:rsid w:val="000F114A"/>
    <w:rsid w:val="000F114C"/>
    <w:rsid w:val="000F118F"/>
    <w:rsid w:val="000F1192"/>
    <w:rsid w:val="000F1208"/>
    <w:rsid w:val="000F130B"/>
    <w:rsid w:val="000F132D"/>
    <w:rsid w:val="000F1477"/>
    <w:rsid w:val="000F1507"/>
    <w:rsid w:val="000F1583"/>
    <w:rsid w:val="000F15D5"/>
    <w:rsid w:val="000F1617"/>
    <w:rsid w:val="000F165D"/>
    <w:rsid w:val="000F168A"/>
    <w:rsid w:val="000F16C3"/>
    <w:rsid w:val="000F16E3"/>
    <w:rsid w:val="000F1739"/>
    <w:rsid w:val="000F176C"/>
    <w:rsid w:val="000F17E4"/>
    <w:rsid w:val="000F17E8"/>
    <w:rsid w:val="000F17F9"/>
    <w:rsid w:val="000F1805"/>
    <w:rsid w:val="000F1812"/>
    <w:rsid w:val="000F1847"/>
    <w:rsid w:val="000F187E"/>
    <w:rsid w:val="000F188B"/>
    <w:rsid w:val="000F1906"/>
    <w:rsid w:val="000F194F"/>
    <w:rsid w:val="000F1967"/>
    <w:rsid w:val="000F19B5"/>
    <w:rsid w:val="000F19F7"/>
    <w:rsid w:val="000F1A0B"/>
    <w:rsid w:val="000F1B4D"/>
    <w:rsid w:val="000F1BF2"/>
    <w:rsid w:val="000F1C46"/>
    <w:rsid w:val="000F1C8D"/>
    <w:rsid w:val="000F1C94"/>
    <w:rsid w:val="000F1D2D"/>
    <w:rsid w:val="000F1D86"/>
    <w:rsid w:val="000F1F27"/>
    <w:rsid w:val="000F1F43"/>
    <w:rsid w:val="000F1FE3"/>
    <w:rsid w:val="000F202B"/>
    <w:rsid w:val="000F2046"/>
    <w:rsid w:val="000F2197"/>
    <w:rsid w:val="000F22A3"/>
    <w:rsid w:val="000F237C"/>
    <w:rsid w:val="000F23DC"/>
    <w:rsid w:val="000F2455"/>
    <w:rsid w:val="000F2474"/>
    <w:rsid w:val="000F24A1"/>
    <w:rsid w:val="000F2520"/>
    <w:rsid w:val="000F2572"/>
    <w:rsid w:val="000F25FB"/>
    <w:rsid w:val="000F2677"/>
    <w:rsid w:val="000F2685"/>
    <w:rsid w:val="000F2694"/>
    <w:rsid w:val="000F26D5"/>
    <w:rsid w:val="000F276B"/>
    <w:rsid w:val="000F27E9"/>
    <w:rsid w:val="000F2831"/>
    <w:rsid w:val="000F2845"/>
    <w:rsid w:val="000F2897"/>
    <w:rsid w:val="000F28EB"/>
    <w:rsid w:val="000F2903"/>
    <w:rsid w:val="000F291D"/>
    <w:rsid w:val="000F294A"/>
    <w:rsid w:val="000F2A7B"/>
    <w:rsid w:val="000F2C08"/>
    <w:rsid w:val="000F2C15"/>
    <w:rsid w:val="000F2C43"/>
    <w:rsid w:val="000F2CC4"/>
    <w:rsid w:val="000F2DB0"/>
    <w:rsid w:val="000F2DD2"/>
    <w:rsid w:val="000F2DD8"/>
    <w:rsid w:val="000F2DEA"/>
    <w:rsid w:val="000F2E1F"/>
    <w:rsid w:val="000F2E4C"/>
    <w:rsid w:val="000F2E7D"/>
    <w:rsid w:val="000F2EDE"/>
    <w:rsid w:val="000F2F19"/>
    <w:rsid w:val="000F2F28"/>
    <w:rsid w:val="000F2F97"/>
    <w:rsid w:val="000F308C"/>
    <w:rsid w:val="000F30F3"/>
    <w:rsid w:val="000F30F7"/>
    <w:rsid w:val="000F314B"/>
    <w:rsid w:val="000F315D"/>
    <w:rsid w:val="000F339B"/>
    <w:rsid w:val="000F33C4"/>
    <w:rsid w:val="000F33D2"/>
    <w:rsid w:val="000F342A"/>
    <w:rsid w:val="000F3446"/>
    <w:rsid w:val="000F3451"/>
    <w:rsid w:val="000F35ED"/>
    <w:rsid w:val="000F35F4"/>
    <w:rsid w:val="000F3704"/>
    <w:rsid w:val="000F3721"/>
    <w:rsid w:val="000F373C"/>
    <w:rsid w:val="000F374C"/>
    <w:rsid w:val="000F376B"/>
    <w:rsid w:val="000F378B"/>
    <w:rsid w:val="000F378D"/>
    <w:rsid w:val="000F38E1"/>
    <w:rsid w:val="000F3900"/>
    <w:rsid w:val="000F3908"/>
    <w:rsid w:val="000F39FA"/>
    <w:rsid w:val="000F3A07"/>
    <w:rsid w:val="000F3AC8"/>
    <w:rsid w:val="000F3B68"/>
    <w:rsid w:val="000F3C68"/>
    <w:rsid w:val="000F3D1D"/>
    <w:rsid w:val="000F3D54"/>
    <w:rsid w:val="000F3D85"/>
    <w:rsid w:val="000F3D99"/>
    <w:rsid w:val="000F3E02"/>
    <w:rsid w:val="000F3E03"/>
    <w:rsid w:val="000F3EC8"/>
    <w:rsid w:val="000F3F24"/>
    <w:rsid w:val="000F3F5B"/>
    <w:rsid w:val="000F3F9A"/>
    <w:rsid w:val="000F40CF"/>
    <w:rsid w:val="000F40FA"/>
    <w:rsid w:val="000F4212"/>
    <w:rsid w:val="000F4372"/>
    <w:rsid w:val="000F43AE"/>
    <w:rsid w:val="000F43FF"/>
    <w:rsid w:val="000F4427"/>
    <w:rsid w:val="000F443B"/>
    <w:rsid w:val="000F4503"/>
    <w:rsid w:val="000F4540"/>
    <w:rsid w:val="000F45D6"/>
    <w:rsid w:val="000F467E"/>
    <w:rsid w:val="000F46ED"/>
    <w:rsid w:val="000F4796"/>
    <w:rsid w:val="000F47B6"/>
    <w:rsid w:val="000F47C8"/>
    <w:rsid w:val="000F481D"/>
    <w:rsid w:val="000F483E"/>
    <w:rsid w:val="000F486A"/>
    <w:rsid w:val="000F4909"/>
    <w:rsid w:val="000F490D"/>
    <w:rsid w:val="000F49E4"/>
    <w:rsid w:val="000F4A04"/>
    <w:rsid w:val="000F4AB2"/>
    <w:rsid w:val="000F4AB9"/>
    <w:rsid w:val="000F4AD2"/>
    <w:rsid w:val="000F4AE6"/>
    <w:rsid w:val="000F4B6C"/>
    <w:rsid w:val="000F4B98"/>
    <w:rsid w:val="000F4BCF"/>
    <w:rsid w:val="000F4BD0"/>
    <w:rsid w:val="000F4D3A"/>
    <w:rsid w:val="000F4D71"/>
    <w:rsid w:val="000F4D93"/>
    <w:rsid w:val="000F4DCA"/>
    <w:rsid w:val="000F4E5A"/>
    <w:rsid w:val="000F4E85"/>
    <w:rsid w:val="000F4ED4"/>
    <w:rsid w:val="000F4F23"/>
    <w:rsid w:val="000F4F28"/>
    <w:rsid w:val="000F508D"/>
    <w:rsid w:val="000F50A2"/>
    <w:rsid w:val="000F50CF"/>
    <w:rsid w:val="000F5128"/>
    <w:rsid w:val="000F5166"/>
    <w:rsid w:val="000F51B3"/>
    <w:rsid w:val="000F51F0"/>
    <w:rsid w:val="000F5221"/>
    <w:rsid w:val="000F526D"/>
    <w:rsid w:val="000F5280"/>
    <w:rsid w:val="000F545B"/>
    <w:rsid w:val="000F546C"/>
    <w:rsid w:val="000F5499"/>
    <w:rsid w:val="000F5569"/>
    <w:rsid w:val="000F55E2"/>
    <w:rsid w:val="000F565B"/>
    <w:rsid w:val="000F56F4"/>
    <w:rsid w:val="000F571C"/>
    <w:rsid w:val="000F577F"/>
    <w:rsid w:val="000F57D6"/>
    <w:rsid w:val="000F57F8"/>
    <w:rsid w:val="000F5826"/>
    <w:rsid w:val="000F58B5"/>
    <w:rsid w:val="000F58B6"/>
    <w:rsid w:val="000F58CF"/>
    <w:rsid w:val="000F5969"/>
    <w:rsid w:val="000F5A02"/>
    <w:rsid w:val="000F5A1B"/>
    <w:rsid w:val="000F5A99"/>
    <w:rsid w:val="000F5A9C"/>
    <w:rsid w:val="000F5B94"/>
    <w:rsid w:val="000F5C45"/>
    <w:rsid w:val="000F5C4B"/>
    <w:rsid w:val="000F5D28"/>
    <w:rsid w:val="000F5D72"/>
    <w:rsid w:val="000F5E05"/>
    <w:rsid w:val="000F5E6B"/>
    <w:rsid w:val="000F5E8C"/>
    <w:rsid w:val="000F5E9A"/>
    <w:rsid w:val="000F5F19"/>
    <w:rsid w:val="000F5F1D"/>
    <w:rsid w:val="000F5FC1"/>
    <w:rsid w:val="000F6023"/>
    <w:rsid w:val="000F605C"/>
    <w:rsid w:val="000F60B4"/>
    <w:rsid w:val="000F60BB"/>
    <w:rsid w:val="000F60F7"/>
    <w:rsid w:val="000F61DD"/>
    <w:rsid w:val="000F622D"/>
    <w:rsid w:val="000F6293"/>
    <w:rsid w:val="000F62FA"/>
    <w:rsid w:val="000F62FC"/>
    <w:rsid w:val="000F6314"/>
    <w:rsid w:val="000F633C"/>
    <w:rsid w:val="000F63B0"/>
    <w:rsid w:val="000F642B"/>
    <w:rsid w:val="000F6431"/>
    <w:rsid w:val="000F644A"/>
    <w:rsid w:val="000F6487"/>
    <w:rsid w:val="000F6586"/>
    <w:rsid w:val="000F65CC"/>
    <w:rsid w:val="000F6760"/>
    <w:rsid w:val="000F6779"/>
    <w:rsid w:val="000F6796"/>
    <w:rsid w:val="000F6819"/>
    <w:rsid w:val="000F686E"/>
    <w:rsid w:val="000F68CA"/>
    <w:rsid w:val="000F692B"/>
    <w:rsid w:val="000F697C"/>
    <w:rsid w:val="000F697F"/>
    <w:rsid w:val="000F6A2A"/>
    <w:rsid w:val="000F6A8B"/>
    <w:rsid w:val="000F6A91"/>
    <w:rsid w:val="000F6ABA"/>
    <w:rsid w:val="000F6ABC"/>
    <w:rsid w:val="000F6C5D"/>
    <w:rsid w:val="000F6D84"/>
    <w:rsid w:val="000F6E79"/>
    <w:rsid w:val="000F6EDD"/>
    <w:rsid w:val="000F6F50"/>
    <w:rsid w:val="000F6F97"/>
    <w:rsid w:val="000F6FCF"/>
    <w:rsid w:val="000F7009"/>
    <w:rsid w:val="000F70F0"/>
    <w:rsid w:val="000F7101"/>
    <w:rsid w:val="000F7173"/>
    <w:rsid w:val="000F71A5"/>
    <w:rsid w:val="000F71DB"/>
    <w:rsid w:val="000F726B"/>
    <w:rsid w:val="000F72E4"/>
    <w:rsid w:val="000F73DB"/>
    <w:rsid w:val="000F741A"/>
    <w:rsid w:val="000F741B"/>
    <w:rsid w:val="000F7434"/>
    <w:rsid w:val="000F74BE"/>
    <w:rsid w:val="000F7570"/>
    <w:rsid w:val="000F765A"/>
    <w:rsid w:val="000F7686"/>
    <w:rsid w:val="000F769E"/>
    <w:rsid w:val="000F76AF"/>
    <w:rsid w:val="000F76B2"/>
    <w:rsid w:val="000F781F"/>
    <w:rsid w:val="000F784C"/>
    <w:rsid w:val="000F78DF"/>
    <w:rsid w:val="000F78EE"/>
    <w:rsid w:val="000F7926"/>
    <w:rsid w:val="000F792D"/>
    <w:rsid w:val="000F799F"/>
    <w:rsid w:val="000F79B0"/>
    <w:rsid w:val="000F7AA6"/>
    <w:rsid w:val="000F7B01"/>
    <w:rsid w:val="000F7BE4"/>
    <w:rsid w:val="000F7C17"/>
    <w:rsid w:val="000F7C88"/>
    <w:rsid w:val="000F7CE2"/>
    <w:rsid w:val="000F7CE3"/>
    <w:rsid w:val="000F7DB9"/>
    <w:rsid w:val="000F7E3E"/>
    <w:rsid w:val="000F7EBE"/>
    <w:rsid w:val="000F7F41"/>
    <w:rsid w:val="000F7F6C"/>
    <w:rsid w:val="000F7F77"/>
    <w:rsid w:val="000F7F93"/>
    <w:rsid w:val="000F7FCF"/>
    <w:rsid w:val="00100016"/>
    <w:rsid w:val="0010008B"/>
    <w:rsid w:val="00100110"/>
    <w:rsid w:val="0010026F"/>
    <w:rsid w:val="00100270"/>
    <w:rsid w:val="001002E2"/>
    <w:rsid w:val="00100362"/>
    <w:rsid w:val="001003CC"/>
    <w:rsid w:val="0010042C"/>
    <w:rsid w:val="00100446"/>
    <w:rsid w:val="0010046F"/>
    <w:rsid w:val="00100617"/>
    <w:rsid w:val="001006A7"/>
    <w:rsid w:val="001006BC"/>
    <w:rsid w:val="0010085A"/>
    <w:rsid w:val="0010088F"/>
    <w:rsid w:val="00100938"/>
    <w:rsid w:val="00100980"/>
    <w:rsid w:val="00100A1B"/>
    <w:rsid w:val="00100A66"/>
    <w:rsid w:val="00100AC5"/>
    <w:rsid w:val="00100BAC"/>
    <w:rsid w:val="00100D71"/>
    <w:rsid w:val="00100E1A"/>
    <w:rsid w:val="00100E2D"/>
    <w:rsid w:val="00100E83"/>
    <w:rsid w:val="00100EC0"/>
    <w:rsid w:val="00101037"/>
    <w:rsid w:val="0010107F"/>
    <w:rsid w:val="0010111B"/>
    <w:rsid w:val="00101126"/>
    <w:rsid w:val="00101194"/>
    <w:rsid w:val="0010122E"/>
    <w:rsid w:val="0010123D"/>
    <w:rsid w:val="001012C5"/>
    <w:rsid w:val="001012E3"/>
    <w:rsid w:val="00101372"/>
    <w:rsid w:val="0010139E"/>
    <w:rsid w:val="001013A1"/>
    <w:rsid w:val="001013CB"/>
    <w:rsid w:val="0010143D"/>
    <w:rsid w:val="00101458"/>
    <w:rsid w:val="001014CA"/>
    <w:rsid w:val="00101607"/>
    <w:rsid w:val="00101632"/>
    <w:rsid w:val="00101655"/>
    <w:rsid w:val="0010168D"/>
    <w:rsid w:val="0010172E"/>
    <w:rsid w:val="0010180A"/>
    <w:rsid w:val="0010185B"/>
    <w:rsid w:val="0010185E"/>
    <w:rsid w:val="00101871"/>
    <w:rsid w:val="00101972"/>
    <w:rsid w:val="00101A0B"/>
    <w:rsid w:val="00101A77"/>
    <w:rsid w:val="00101BCC"/>
    <w:rsid w:val="00101BD7"/>
    <w:rsid w:val="00101BF7"/>
    <w:rsid w:val="00101C26"/>
    <w:rsid w:val="00101CDC"/>
    <w:rsid w:val="00101CEA"/>
    <w:rsid w:val="00101DC0"/>
    <w:rsid w:val="00101E20"/>
    <w:rsid w:val="00101E2E"/>
    <w:rsid w:val="00101E54"/>
    <w:rsid w:val="00101E78"/>
    <w:rsid w:val="00101E8E"/>
    <w:rsid w:val="00101E9F"/>
    <w:rsid w:val="00101F1C"/>
    <w:rsid w:val="00101F52"/>
    <w:rsid w:val="00101F54"/>
    <w:rsid w:val="00101F84"/>
    <w:rsid w:val="00101FAD"/>
    <w:rsid w:val="00101FB9"/>
    <w:rsid w:val="001020CE"/>
    <w:rsid w:val="0010219B"/>
    <w:rsid w:val="001021A3"/>
    <w:rsid w:val="0010232A"/>
    <w:rsid w:val="00102351"/>
    <w:rsid w:val="00102360"/>
    <w:rsid w:val="001023BB"/>
    <w:rsid w:val="0010240C"/>
    <w:rsid w:val="00102495"/>
    <w:rsid w:val="001024A9"/>
    <w:rsid w:val="001024C0"/>
    <w:rsid w:val="00102576"/>
    <w:rsid w:val="00102583"/>
    <w:rsid w:val="001026FA"/>
    <w:rsid w:val="00102701"/>
    <w:rsid w:val="00102874"/>
    <w:rsid w:val="00102981"/>
    <w:rsid w:val="00102A4C"/>
    <w:rsid w:val="00102A9B"/>
    <w:rsid w:val="00102B7C"/>
    <w:rsid w:val="00102B8F"/>
    <w:rsid w:val="00102C33"/>
    <w:rsid w:val="00102D06"/>
    <w:rsid w:val="00102D8A"/>
    <w:rsid w:val="00102DB4"/>
    <w:rsid w:val="00102DF5"/>
    <w:rsid w:val="00102E1D"/>
    <w:rsid w:val="00102E6E"/>
    <w:rsid w:val="00102E8B"/>
    <w:rsid w:val="00102F26"/>
    <w:rsid w:val="00102FE0"/>
    <w:rsid w:val="00102FEE"/>
    <w:rsid w:val="00103064"/>
    <w:rsid w:val="00103074"/>
    <w:rsid w:val="00103114"/>
    <w:rsid w:val="00103151"/>
    <w:rsid w:val="001031AA"/>
    <w:rsid w:val="001031DD"/>
    <w:rsid w:val="0010323E"/>
    <w:rsid w:val="00103241"/>
    <w:rsid w:val="001032D6"/>
    <w:rsid w:val="0010336E"/>
    <w:rsid w:val="00103436"/>
    <w:rsid w:val="001034B5"/>
    <w:rsid w:val="00103541"/>
    <w:rsid w:val="001035D4"/>
    <w:rsid w:val="0010361F"/>
    <w:rsid w:val="0010362C"/>
    <w:rsid w:val="001036C9"/>
    <w:rsid w:val="0010371C"/>
    <w:rsid w:val="00103760"/>
    <w:rsid w:val="001037AE"/>
    <w:rsid w:val="001037E8"/>
    <w:rsid w:val="001037EE"/>
    <w:rsid w:val="00103828"/>
    <w:rsid w:val="00103868"/>
    <w:rsid w:val="00103918"/>
    <w:rsid w:val="00103925"/>
    <w:rsid w:val="00103933"/>
    <w:rsid w:val="0010395C"/>
    <w:rsid w:val="0010398C"/>
    <w:rsid w:val="001039C7"/>
    <w:rsid w:val="00103B29"/>
    <w:rsid w:val="00103B96"/>
    <w:rsid w:val="00103BE6"/>
    <w:rsid w:val="00103C70"/>
    <w:rsid w:val="00103CAC"/>
    <w:rsid w:val="00103EA5"/>
    <w:rsid w:val="00103ED6"/>
    <w:rsid w:val="00103EFB"/>
    <w:rsid w:val="00103F83"/>
    <w:rsid w:val="00103F8A"/>
    <w:rsid w:val="00103F8B"/>
    <w:rsid w:val="00104034"/>
    <w:rsid w:val="00104061"/>
    <w:rsid w:val="001040CD"/>
    <w:rsid w:val="00104216"/>
    <w:rsid w:val="00104252"/>
    <w:rsid w:val="00104304"/>
    <w:rsid w:val="00104306"/>
    <w:rsid w:val="0010430E"/>
    <w:rsid w:val="001044C8"/>
    <w:rsid w:val="00104562"/>
    <w:rsid w:val="0010463B"/>
    <w:rsid w:val="0010471B"/>
    <w:rsid w:val="00104741"/>
    <w:rsid w:val="00104779"/>
    <w:rsid w:val="00104889"/>
    <w:rsid w:val="001048CC"/>
    <w:rsid w:val="001049F0"/>
    <w:rsid w:val="00104A36"/>
    <w:rsid w:val="00104A3F"/>
    <w:rsid w:val="00104ACC"/>
    <w:rsid w:val="00104CDF"/>
    <w:rsid w:val="00104E34"/>
    <w:rsid w:val="00104E5C"/>
    <w:rsid w:val="00104E6E"/>
    <w:rsid w:val="00104EAC"/>
    <w:rsid w:val="00104F81"/>
    <w:rsid w:val="00105132"/>
    <w:rsid w:val="0010513D"/>
    <w:rsid w:val="0010518D"/>
    <w:rsid w:val="001051DE"/>
    <w:rsid w:val="001052BF"/>
    <w:rsid w:val="001052CF"/>
    <w:rsid w:val="00105396"/>
    <w:rsid w:val="001053C2"/>
    <w:rsid w:val="001053E6"/>
    <w:rsid w:val="001053EF"/>
    <w:rsid w:val="0010549E"/>
    <w:rsid w:val="00105536"/>
    <w:rsid w:val="001055C2"/>
    <w:rsid w:val="0010562F"/>
    <w:rsid w:val="00105782"/>
    <w:rsid w:val="001057BA"/>
    <w:rsid w:val="0010582F"/>
    <w:rsid w:val="00105842"/>
    <w:rsid w:val="00105862"/>
    <w:rsid w:val="00105922"/>
    <w:rsid w:val="0010592B"/>
    <w:rsid w:val="00105A95"/>
    <w:rsid w:val="00105AA5"/>
    <w:rsid w:val="00105C06"/>
    <w:rsid w:val="00105C0B"/>
    <w:rsid w:val="00105C73"/>
    <w:rsid w:val="00105C90"/>
    <w:rsid w:val="00105CF6"/>
    <w:rsid w:val="00105D33"/>
    <w:rsid w:val="00105D76"/>
    <w:rsid w:val="00105E19"/>
    <w:rsid w:val="00105E4E"/>
    <w:rsid w:val="00105E60"/>
    <w:rsid w:val="00105E8E"/>
    <w:rsid w:val="00105F38"/>
    <w:rsid w:val="00105F72"/>
    <w:rsid w:val="00105FC3"/>
    <w:rsid w:val="00106008"/>
    <w:rsid w:val="00106042"/>
    <w:rsid w:val="00106090"/>
    <w:rsid w:val="001060C2"/>
    <w:rsid w:val="001060E2"/>
    <w:rsid w:val="001060FC"/>
    <w:rsid w:val="00106125"/>
    <w:rsid w:val="00106130"/>
    <w:rsid w:val="00106244"/>
    <w:rsid w:val="001063D1"/>
    <w:rsid w:val="001063F2"/>
    <w:rsid w:val="0010644B"/>
    <w:rsid w:val="00106459"/>
    <w:rsid w:val="00106478"/>
    <w:rsid w:val="0010648A"/>
    <w:rsid w:val="001064A8"/>
    <w:rsid w:val="00106571"/>
    <w:rsid w:val="001066A9"/>
    <w:rsid w:val="0010671C"/>
    <w:rsid w:val="001067B8"/>
    <w:rsid w:val="001067CE"/>
    <w:rsid w:val="0010694F"/>
    <w:rsid w:val="001069F1"/>
    <w:rsid w:val="001069F5"/>
    <w:rsid w:val="00106A33"/>
    <w:rsid w:val="00106A68"/>
    <w:rsid w:val="00106AC7"/>
    <w:rsid w:val="00106B03"/>
    <w:rsid w:val="00106C14"/>
    <w:rsid w:val="00106C22"/>
    <w:rsid w:val="00106C23"/>
    <w:rsid w:val="00106D93"/>
    <w:rsid w:val="00106DA7"/>
    <w:rsid w:val="00106E06"/>
    <w:rsid w:val="00106E1E"/>
    <w:rsid w:val="00106ED4"/>
    <w:rsid w:val="00106F84"/>
    <w:rsid w:val="0010711B"/>
    <w:rsid w:val="00107145"/>
    <w:rsid w:val="0010714F"/>
    <w:rsid w:val="00107176"/>
    <w:rsid w:val="001071E2"/>
    <w:rsid w:val="00107209"/>
    <w:rsid w:val="0010727D"/>
    <w:rsid w:val="001072A4"/>
    <w:rsid w:val="001072B5"/>
    <w:rsid w:val="001072BB"/>
    <w:rsid w:val="00107321"/>
    <w:rsid w:val="001073BB"/>
    <w:rsid w:val="0010743B"/>
    <w:rsid w:val="0010744B"/>
    <w:rsid w:val="001074CF"/>
    <w:rsid w:val="0010750C"/>
    <w:rsid w:val="00107537"/>
    <w:rsid w:val="00107694"/>
    <w:rsid w:val="001076D6"/>
    <w:rsid w:val="001076F1"/>
    <w:rsid w:val="001076FB"/>
    <w:rsid w:val="001077ED"/>
    <w:rsid w:val="00107844"/>
    <w:rsid w:val="0010786C"/>
    <w:rsid w:val="00107878"/>
    <w:rsid w:val="00107889"/>
    <w:rsid w:val="001078CA"/>
    <w:rsid w:val="001078E3"/>
    <w:rsid w:val="001078FC"/>
    <w:rsid w:val="001079EE"/>
    <w:rsid w:val="00107AEF"/>
    <w:rsid w:val="00107B84"/>
    <w:rsid w:val="00107BCE"/>
    <w:rsid w:val="00107C58"/>
    <w:rsid w:val="00107CC9"/>
    <w:rsid w:val="00107D5E"/>
    <w:rsid w:val="00107DD1"/>
    <w:rsid w:val="00107E2B"/>
    <w:rsid w:val="00107E48"/>
    <w:rsid w:val="00107E6A"/>
    <w:rsid w:val="00107FF2"/>
    <w:rsid w:val="00110011"/>
    <w:rsid w:val="00110015"/>
    <w:rsid w:val="0011003B"/>
    <w:rsid w:val="0011003C"/>
    <w:rsid w:val="00110070"/>
    <w:rsid w:val="00110098"/>
    <w:rsid w:val="001102D2"/>
    <w:rsid w:val="001102E9"/>
    <w:rsid w:val="001103CC"/>
    <w:rsid w:val="0011041B"/>
    <w:rsid w:val="00110444"/>
    <w:rsid w:val="00110448"/>
    <w:rsid w:val="001104B3"/>
    <w:rsid w:val="001104E6"/>
    <w:rsid w:val="001104E9"/>
    <w:rsid w:val="001104F9"/>
    <w:rsid w:val="00110528"/>
    <w:rsid w:val="00110649"/>
    <w:rsid w:val="001106BE"/>
    <w:rsid w:val="001107B1"/>
    <w:rsid w:val="00110875"/>
    <w:rsid w:val="00110975"/>
    <w:rsid w:val="00110977"/>
    <w:rsid w:val="001109C7"/>
    <w:rsid w:val="00110A67"/>
    <w:rsid w:val="00110A9C"/>
    <w:rsid w:val="00110AE7"/>
    <w:rsid w:val="00110B72"/>
    <w:rsid w:val="00110B77"/>
    <w:rsid w:val="00110BA5"/>
    <w:rsid w:val="00110BB3"/>
    <w:rsid w:val="00110C00"/>
    <w:rsid w:val="00110C31"/>
    <w:rsid w:val="00110CE4"/>
    <w:rsid w:val="00110D00"/>
    <w:rsid w:val="00110DF4"/>
    <w:rsid w:val="00110E00"/>
    <w:rsid w:val="00110E0B"/>
    <w:rsid w:val="00110E42"/>
    <w:rsid w:val="00110E92"/>
    <w:rsid w:val="00110FF8"/>
    <w:rsid w:val="0011100E"/>
    <w:rsid w:val="0011102B"/>
    <w:rsid w:val="00111043"/>
    <w:rsid w:val="00111063"/>
    <w:rsid w:val="001110FA"/>
    <w:rsid w:val="0011121F"/>
    <w:rsid w:val="00111252"/>
    <w:rsid w:val="00111260"/>
    <w:rsid w:val="00111296"/>
    <w:rsid w:val="00111358"/>
    <w:rsid w:val="00111367"/>
    <w:rsid w:val="001113B3"/>
    <w:rsid w:val="001113C4"/>
    <w:rsid w:val="00111461"/>
    <w:rsid w:val="00111465"/>
    <w:rsid w:val="001114D0"/>
    <w:rsid w:val="00111570"/>
    <w:rsid w:val="001115BD"/>
    <w:rsid w:val="001115CE"/>
    <w:rsid w:val="001115F5"/>
    <w:rsid w:val="00111629"/>
    <w:rsid w:val="001116B2"/>
    <w:rsid w:val="001116D6"/>
    <w:rsid w:val="0011170E"/>
    <w:rsid w:val="0011171A"/>
    <w:rsid w:val="00111745"/>
    <w:rsid w:val="0011175A"/>
    <w:rsid w:val="0011183F"/>
    <w:rsid w:val="001118BB"/>
    <w:rsid w:val="001118E4"/>
    <w:rsid w:val="0011194E"/>
    <w:rsid w:val="00111972"/>
    <w:rsid w:val="001119B1"/>
    <w:rsid w:val="00111A75"/>
    <w:rsid w:val="00111CDF"/>
    <w:rsid w:val="00111E76"/>
    <w:rsid w:val="00111E91"/>
    <w:rsid w:val="00111F6E"/>
    <w:rsid w:val="00111F94"/>
    <w:rsid w:val="00112069"/>
    <w:rsid w:val="0011209C"/>
    <w:rsid w:val="001120C8"/>
    <w:rsid w:val="0011212C"/>
    <w:rsid w:val="0011214F"/>
    <w:rsid w:val="001121A8"/>
    <w:rsid w:val="001121B7"/>
    <w:rsid w:val="001121BE"/>
    <w:rsid w:val="001123B2"/>
    <w:rsid w:val="00112483"/>
    <w:rsid w:val="00112547"/>
    <w:rsid w:val="00112586"/>
    <w:rsid w:val="001125BB"/>
    <w:rsid w:val="00112631"/>
    <w:rsid w:val="0011265B"/>
    <w:rsid w:val="001126F2"/>
    <w:rsid w:val="001126FC"/>
    <w:rsid w:val="00112704"/>
    <w:rsid w:val="00112709"/>
    <w:rsid w:val="0011286B"/>
    <w:rsid w:val="00112932"/>
    <w:rsid w:val="00112949"/>
    <w:rsid w:val="001129AF"/>
    <w:rsid w:val="001129DF"/>
    <w:rsid w:val="00112A69"/>
    <w:rsid w:val="00112A74"/>
    <w:rsid w:val="00112B1D"/>
    <w:rsid w:val="00112BFF"/>
    <w:rsid w:val="00112C2F"/>
    <w:rsid w:val="00112CF1"/>
    <w:rsid w:val="00112ED2"/>
    <w:rsid w:val="00112F5D"/>
    <w:rsid w:val="0011301A"/>
    <w:rsid w:val="001130EB"/>
    <w:rsid w:val="001131A1"/>
    <w:rsid w:val="001131E7"/>
    <w:rsid w:val="00113217"/>
    <w:rsid w:val="0011337D"/>
    <w:rsid w:val="0011340E"/>
    <w:rsid w:val="00113460"/>
    <w:rsid w:val="0011352A"/>
    <w:rsid w:val="0011357A"/>
    <w:rsid w:val="0011359B"/>
    <w:rsid w:val="00113655"/>
    <w:rsid w:val="00113666"/>
    <w:rsid w:val="001136C6"/>
    <w:rsid w:val="0011375B"/>
    <w:rsid w:val="001137BC"/>
    <w:rsid w:val="00113925"/>
    <w:rsid w:val="00113964"/>
    <w:rsid w:val="00113A80"/>
    <w:rsid w:val="00113AB2"/>
    <w:rsid w:val="00113B0F"/>
    <w:rsid w:val="00113BAA"/>
    <w:rsid w:val="00113C6E"/>
    <w:rsid w:val="00113CC1"/>
    <w:rsid w:val="00113D94"/>
    <w:rsid w:val="00113EAF"/>
    <w:rsid w:val="00113ECE"/>
    <w:rsid w:val="00113FC0"/>
    <w:rsid w:val="00113FF6"/>
    <w:rsid w:val="00114006"/>
    <w:rsid w:val="001140BE"/>
    <w:rsid w:val="001140E2"/>
    <w:rsid w:val="0011415A"/>
    <w:rsid w:val="00114161"/>
    <w:rsid w:val="0011420D"/>
    <w:rsid w:val="0011426E"/>
    <w:rsid w:val="00114282"/>
    <w:rsid w:val="001142C2"/>
    <w:rsid w:val="001142EC"/>
    <w:rsid w:val="001142F8"/>
    <w:rsid w:val="00114308"/>
    <w:rsid w:val="00114340"/>
    <w:rsid w:val="00114362"/>
    <w:rsid w:val="00114381"/>
    <w:rsid w:val="00114396"/>
    <w:rsid w:val="0011439E"/>
    <w:rsid w:val="00114420"/>
    <w:rsid w:val="0011448F"/>
    <w:rsid w:val="001144B5"/>
    <w:rsid w:val="00114525"/>
    <w:rsid w:val="00114567"/>
    <w:rsid w:val="00114588"/>
    <w:rsid w:val="0011472E"/>
    <w:rsid w:val="00114775"/>
    <w:rsid w:val="001147F2"/>
    <w:rsid w:val="001147F6"/>
    <w:rsid w:val="001147FA"/>
    <w:rsid w:val="001148AC"/>
    <w:rsid w:val="00114941"/>
    <w:rsid w:val="0011497B"/>
    <w:rsid w:val="001149FF"/>
    <w:rsid w:val="00114B0A"/>
    <w:rsid w:val="00114B19"/>
    <w:rsid w:val="00114B63"/>
    <w:rsid w:val="00114BDA"/>
    <w:rsid w:val="00114C94"/>
    <w:rsid w:val="00114CC8"/>
    <w:rsid w:val="00114D9C"/>
    <w:rsid w:val="00114DAC"/>
    <w:rsid w:val="00114E6D"/>
    <w:rsid w:val="00114EC5"/>
    <w:rsid w:val="00114ECB"/>
    <w:rsid w:val="00114F19"/>
    <w:rsid w:val="00115003"/>
    <w:rsid w:val="00115068"/>
    <w:rsid w:val="00115229"/>
    <w:rsid w:val="0011524B"/>
    <w:rsid w:val="001152F6"/>
    <w:rsid w:val="00115312"/>
    <w:rsid w:val="0011532E"/>
    <w:rsid w:val="00115336"/>
    <w:rsid w:val="00115372"/>
    <w:rsid w:val="00115380"/>
    <w:rsid w:val="00115391"/>
    <w:rsid w:val="0011539A"/>
    <w:rsid w:val="001154D7"/>
    <w:rsid w:val="00115516"/>
    <w:rsid w:val="001155CB"/>
    <w:rsid w:val="001155E8"/>
    <w:rsid w:val="00115664"/>
    <w:rsid w:val="0011576D"/>
    <w:rsid w:val="001157B9"/>
    <w:rsid w:val="00115809"/>
    <w:rsid w:val="00115A5A"/>
    <w:rsid w:val="00115B6A"/>
    <w:rsid w:val="00115B99"/>
    <w:rsid w:val="00115BBA"/>
    <w:rsid w:val="00115C2A"/>
    <w:rsid w:val="00115C2B"/>
    <w:rsid w:val="00115D6C"/>
    <w:rsid w:val="00115EE4"/>
    <w:rsid w:val="00115EF3"/>
    <w:rsid w:val="00115FDB"/>
    <w:rsid w:val="0011609E"/>
    <w:rsid w:val="001160AA"/>
    <w:rsid w:val="001160D9"/>
    <w:rsid w:val="00116151"/>
    <w:rsid w:val="00116167"/>
    <w:rsid w:val="001161CD"/>
    <w:rsid w:val="001162B2"/>
    <w:rsid w:val="001162CC"/>
    <w:rsid w:val="00116327"/>
    <w:rsid w:val="001163C2"/>
    <w:rsid w:val="001163CD"/>
    <w:rsid w:val="001164BD"/>
    <w:rsid w:val="0011653C"/>
    <w:rsid w:val="00116594"/>
    <w:rsid w:val="001165AB"/>
    <w:rsid w:val="001165CA"/>
    <w:rsid w:val="0011665F"/>
    <w:rsid w:val="001167AA"/>
    <w:rsid w:val="0011680D"/>
    <w:rsid w:val="00116910"/>
    <w:rsid w:val="00116934"/>
    <w:rsid w:val="00116956"/>
    <w:rsid w:val="001169CB"/>
    <w:rsid w:val="00116A07"/>
    <w:rsid w:val="00116A2E"/>
    <w:rsid w:val="00116AAA"/>
    <w:rsid w:val="00116B3C"/>
    <w:rsid w:val="00116B89"/>
    <w:rsid w:val="00116BB1"/>
    <w:rsid w:val="00116C65"/>
    <w:rsid w:val="00116D78"/>
    <w:rsid w:val="00116D86"/>
    <w:rsid w:val="00116DBB"/>
    <w:rsid w:val="00116E03"/>
    <w:rsid w:val="00116E2C"/>
    <w:rsid w:val="00116E30"/>
    <w:rsid w:val="00116E4C"/>
    <w:rsid w:val="00116EA9"/>
    <w:rsid w:val="00116FED"/>
    <w:rsid w:val="00116FF6"/>
    <w:rsid w:val="00116FF8"/>
    <w:rsid w:val="001170B0"/>
    <w:rsid w:val="00117135"/>
    <w:rsid w:val="00117156"/>
    <w:rsid w:val="001171E5"/>
    <w:rsid w:val="0011721B"/>
    <w:rsid w:val="00117240"/>
    <w:rsid w:val="00117284"/>
    <w:rsid w:val="0011728E"/>
    <w:rsid w:val="0011729D"/>
    <w:rsid w:val="00117310"/>
    <w:rsid w:val="00117350"/>
    <w:rsid w:val="001173E5"/>
    <w:rsid w:val="0011744C"/>
    <w:rsid w:val="001174A0"/>
    <w:rsid w:val="0011750D"/>
    <w:rsid w:val="00117538"/>
    <w:rsid w:val="00117575"/>
    <w:rsid w:val="0011762D"/>
    <w:rsid w:val="00117695"/>
    <w:rsid w:val="001176AE"/>
    <w:rsid w:val="00117741"/>
    <w:rsid w:val="001177DF"/>
    <w:rsid w:val="00117845"/>
    <w:rsid w:val="00117867"/>
    <w:rsid w:val="00117931"/>
    <w:rsid w:val="00117947"/>
    <w:rsid w:val="00117966"/>
    <w:rsid w:val="00117972"/>
    <w:rsid w:val="00117976"/>
    <w:rsid w:val="0011799D"/>
    <w:rsid w:val="00117B33"/>
    <w:rsid w:val="00117BE5"/>
    <w:rsid w:val="00117C45"/>
    <w:rsid w:val="00117CC8"/>
    <w:rsid w:val="00117CF9"/>
    <w:rsid w:val="00117DF4"/>
    <w:rsid w:val="00117DFA"/>
    <w:rsid w:val="00117E34"/>
    <w:rsid w:val="00117E7A"/>
    <w:rsid w:val="00117F65"/>
    <w:rsid w:val="00117F7C"/>
    <w:rsid w:val="00117FAA"/>
    <w:rsid w:val="00117FCE"/>
    <w:rsid w:val="00117FEC"/>
    <w:rsid w:val="00120010"/>
    <w:rsid w:val="00120048"/>
    <w:rsid w:val="00120108"/>
    <w:rsid w:val="001201A8"/>
    <w:rsid w:val="001201CD"/>
    <w:rsid w:val="00120246"/>
    <w:rsid w:val="0012027A"/>
    <w:rsid w:val="001202C3"/>
    <w:rsid w:val="001202CB"/>
    <w:rsid w:val="00120322"/>
    <w:rsid w:val="001203A9"/>
    <w:rsid w:val="00120491"/>
    <w:rsid w:val="001204D3"/>
    <w:rsid w:val="001205AA"/>
    <w:rsid w:val="001205D0"/>
    <w:rsid w:val="00120631"/>
    <w:rsid w:val="0012064D"/>
    <w:rsid w:val="00120818"/>
    <w:rsid w:val="00120854"/>
    <w:rsid w:val="00120860"/>
    <w:rsid w:val="001208B4"/>
    <w:rsid w:val="001208BC"/>
    <w:rsid w:val="00120976"/>
    <w:rsid w:val="00120A15"/>
    <w:rsid w:val="00120A5D"/>
    <w:rsid w:val="00120AEF"/>
    <w:rsid w:val="00120B35"/>
    <w:rsid w:val="00120B57"/>
    <w:rsid w:val="00120B9C"/>
    <w:rsid w:val="00120BE1"/>
    <w:rsid w:val="00120C9B"/>
    <w:rsid w:val="00120D01"/>
    <w:rsid w:val="00120D80"/>
    <w:rsid w:val="00120DC3"/>
    <w:rsid w:val="00120E6A"/>
    <w:rsid w:val="00120E91"/>
    <w:rsid w:val="00120EDD"/>
    <w:rsid w:val="00120FBB"/>
    <w:rsid w:val="00121059"/>
    <w:rsid w:val="00121110"/>
    <w:rsid w:val="00121162"/>
    <w:rsid w:val="001211AC"/>
    <w:rsid w:val="001211E6"/>
    <w:rsid w:val="00121269"/>
    <w:rsid w:val="0012129E"/>
    <w:rsid w:val="001212EB"/>
    <w:rsid w:val="001213FE"/>
    <w:rsid w:val="0012150A"/>
    <w:rsid w:val="0012153F"/>
    <w:rsid w:val="001215A9"/>
    <w:rsid w:val="001215F0"/>
    <w:rsid w:val="00121606"/>
    <w:rsid w:val="0012170D"/>
    <w:rsid w:val="001217AA"/>
    <w:rsid w:val="001217EF"/>
    <w:rsid w:val="0012187E"/>
    <w:rsid w:val="00121921"/>
    <w:rsid w:val="00121940"/>
    <w:rsid w:val="00121975"/>
    <w:rsid w:val="001219ED"/>
    <w:rsid w:val="00121A74"/>
    <w:rsid w:val="00121AD3"/>
    <w:rsid w:val="00121B07"/>
    <w:rsid w:val="00121B09"/>
    <w:rsid w:val="00121B7E"/>
    <w:rsid w:val="00121B8C"/>
    <w:rsid w:val="00121C6F"/>
    <w:rsid w:val="00121D4A"/>
    <w:rsid w:val="00121D83"/>
    <w:rsid w:val="00121EE7"/>
    <w:rsid w:val="00121F9C"/>
    <w:rsid w:val="00121FC6"/>
    <w:rsid w:val="00121FDB"/>
    <w:rsid w:val="0012205F"/>
    <w:rsid w:val="001220E6"/>
    <w:rsid w:val="00122117"/>
    <w:rsid w:val="00122127"/>
    <w:rsid w:val="001221D7"/>
    <w:rsid w:val="00122241"/>
    <w:rsid w:val="00122280"/>
    <w:rsid w:val="0012229A"/>
    <w:rsid w:val="001222CD"/>
    <w:rsid w:val="00122325"/>
    <w:rsid w:val="001223A7"/>
    <w:rsid w:val="001223B6"/>
    <w:rsid w:val="001223F7"/>
    <w:rsid w:val="0012245F"/>
    <w:rsid w:val="00122498"/>
    <w:rsid w:val="0012249C"/>
    <w:rsid w:val="00122511"/>
    <w:rsid w:val="00122524"/>
    <w:rsid w:val="0012253F"/>
    <w:rsid w:val="0012261E"/>
    <w:rsid w:val="00122637"/>
    <w:rsid w:val="0012270E"/>
    <w:rsid w:val="00122741"/>
    <w:rsid w:val="0012279E"/>
    <w:rsid w:val="00122859"/>
    <w:rsid w:val="00122865"/>
    <w:rsid w:val="001228A9"/>
    <w:rsid w:val="001228F2"/>
    <w:rsid w:val="0012295D"/>
    <w:rsid w:val="0012297F"/>
    <w:rsid w:val="00122996"/>
    <w:rsid w:val="001229B2"/>
    <w:rsid w:val="00122A9F"/>
    <w:rsid w:val="00122ADB"/>
    <w:rsid w:val="00122BA6"/>
    <w:rsid w:val="00122BD3"/>
    <w:rsid w:val="00122C19"/>
    <w:rsid w:val="00122CA8"/>
    <w:rsid w:val="00122D37"/>
    <w:rsid w:val="00122D59"/>
    <w:rsid w:val="00122E5A"/>
    <w:rsid w:val="00122E85"/>
    <w:rsid w:val="00122E87"/>
    <w:rsid w:val="00122F04"/>
    <w:rsid w:val="00122F94"/>
    <w:rsid w:val="00122FA2"/>
    <w:rsid w:val="00122FF1"/>
    <w:rsid w:val="001230AF"/>
    <w:rsid w:val="0012311E"/>
    <w:rsid w:val="00123164"/>
    <w:rsid w:val="00123174"/>
    <w:rsid w:val="001231C1"/>
    <w:rsid w:val="00123211"/>
    <w:rsid w:val="0012325F"/>
    <w:rsid w:val="001232CE"/>
    <w:rsid w:val="0012332D"/>
    <w:rsid w:val="0012355F"/>
    <w:rsid w:val="001235DE"/>
    <w:rsid w:val="001236D6"/>
    <w:rsid w:val="001236FF"/>
    <w:rsid w:val="00123704"/>
    <w:rsid w:val="0012374E"/>
    <w:rsid w:val="001237AC"/>
    <w:rsid w:val="00123842"/>
    <w:rsid w:val="00123860"/>
    <w:rsid w:val="0012386C"/>
    <w:rsid w:val="001238DC"/>
    <w:rsid w:val="00123932"/>
    <w:rsid w:val="001239E0"/>
    <w:rsid w:val="00123A9E"/>
    <w:rsid w:val="00123B31"/>
    <w:rsid w:val="00123B64"/>
    <w:rsid w:val="00123B72"/>
    <w:rsid w:val="00123BB9"/>
    <w:rsid w:val="00123C0A"/>
    <w:rsid w:val="00123C7D"/>
    <w:rsid w:val="00123C7F"/>
    <w:rsid w:val="00123CCA"/>
    <w:rsid w:val="00123CCC"/>
    <w:rsid w:val="00123D28"/>
    <w:rsid w:val="00123D90"/>
    <w:rsid w:val="00123DC8"/>
    <w:rsid w:val="00123DCB"/>
    <w:rsid w:val="00123E07"/>
    <w:rsid w:val="00123E0A"/>
    <w:rsid w:val="00123E1C"/>
    <w:rsid w:val="00123E88"/>
    <w:rsid w:val="00123E94"/>
    <w:rsid w:val="00123EC3"/>
    <w:rsid w:val="00123F42"/>
    <w:rsid w:val="00123F50"/>
    <w:rsid w:val="00123F79"/>
    <w:rsid w:val="00123F93"/>
    <w:rsid w:val="00123FE1"/>
    <w:rsid w:val="00124041"/>
    <w:rsid w:val="001240B7"/>
    <w:rsid w:val="001240C0"/>
    <w:rsid w:val="00124112"/>
    <w:rsid w:val="0012418C"/>
    <w:rsid w:val="0012429B"/>
    <w:rsid w:val="00124303"/>
    <w:rsid w:val="001243D2"/>
    <w:rsid w:val="001243FC"/>
    <w:rsid w:val="0012445B"/>
    <w:rsid w:val="0012457D"/>
    <w:rsid w:val="001245C4"/>
    <w:rsid w:val="00124676"/>
    <w:rsid w:val="001246D7"/>
    <w:rsid w:val="001246F6"/>
    <w:rsid w:val="001246F7"/>
    <w:rsid w:val="00124740"/>
    <w:rsid w:val="001247CF"/>
    <w:rsid w:val="0012484A"/>
    <w:rsid w:val="001248B2"/>
    <w:rsid w:val="001248CB"/>
    <w:rsid w:val="00124914"/>
    <w:rsid w:val="00124982"/>
    <w:rsid w:val="001249E0"/>
    <w:rsid w:val="00124A1F"/>
    <w:rsid w:val="00124ADC"/>
    <w:rsid w:val="00124B6C"/>
    <w:rsid w:val="00124BD1"/>
    <w:rsid w:val="00124BE9"/>
    <w:rsid w:val="00124CC7"/>
    <w:rsid w:val="00124CED"/>
    <w:rsid w:val="00124D42"/>
    <w:rsid w:val="00124D64"/>
    <w:rsid w:val="00124E3B"/>
    <w:rsid w:val="00124E81"/>
    <w:rsid w:val="00124EE6"/>
    <w:rsid w:val="00124F52"/>
    <w:rsid w:val="00124F98"/>
    <w:rsid w:val="00125005"/>
    <w:rsid w:val="00125093"/>
    <w:rsid w:val="001250BE"/>
    <w:rsid w:val="001250CC"/>
    <w:rsid w:val="00125142"/>
    <w:rsid w:val="00125174"/>
    <w:rsid w:val="001251AA"/>
    <w:rsid w:val="001251B7"/>
    <w:rsid w:val="0012528A"/>
    <w:rsid w:val="001252BE"/>
    <w:rsid w:val="00125302"/>
    <w:rsid w:val="00125308"/>
    <w:rsid w:val="001253CD"/>
    <w:rsid w:val="001253E7"/>
    <w:rsid w:val="0012543E"/>
    <w:rsid w:val="0012547E"/>
    <w:rsid w:val="00125491"/>
    <w:rsid w:val="001255E3"/>
    <w:rsid w:val="0012563E"/>
    <w:rsid w:val="001256E4"/>
    <w:rsid w:val="00125731"/>
    <w:rsid w:val="001257A7"/>
    <w:rsid w:val="001257FC"/>
    <w:rsid w:val="001258FF"/>
    <w:rsid w:val="00125920"/>
    <w:rsid w:val="0012594F"/>
    <w:rsid w:val="001259A8"/>
    <w:rsid w:val="001259FF"/>
    <w:rsid w:val="00125AD9"/>
    <w:rsid w:val="00125AF2"/>
    <w:rsid w:val="00125BED"/>
    <w:rsid w:val="00125C3A"/>
    <w:rsid w:val="00125C78"/>
    <w:rsid w:val="00125CA3"/>
    <w:rsid w:val="00125CAE"/>
    <w:rsid w:val="00125D69"/>
    <w:rsid w:val="00125D98"/>
    <w:rsid w:val="00125E30"/>
    <w:rsid w:val="00125F35"/>
    <w:rsid w:val="00125F6B"/>
    <w:rsid w:val="00125FE2"/>
    <w:rsid w:val="00126052"/>
    <w:rsid w:val="001260C5"/>
    <w:rsid w:val="001261B8"/>
    <w:rsid w:val="00126231"/>
    <w:rsid w:val="00126234"/>
    <w:rsid w:val="00126258"/>
    <w:rsid w:val="001262E6"/>
    <w:rsid w:val="001262F5"/>
    <w:rsid w:val="00126380"/>
    <w:rsid w:val="001263FC"/>
    <w:rsid w:val="00126448"/>
    <w:rsid w:val="00126497"/>
    <w:rsid w:val="001264A8"/>
    <w:rsid w:val="00126531"/>
    <w:rsid w:val="00126539"/>
    <w:rsid w:val="00126545"/>
    <w:rsid w:val="0012654E"/>
    <w:rsid w:val="00126671"/>
    <w:rsid w:val="001266A8"/>
    <w:rsid w:val="0012670E"/>
    <w:rsid w:val="00126711"/>
    <w:rsid w:val="00126742"/>
    <w:rsid w:val="0012675E"/>
    <w:rsid w:val="00126780"/>
    <w:rsid w:val="001267A7"/>
    <w:rsid w:val="001267D1"/>
    <w:rsid w:val="0012687F"/>
    <w:rsid w:val="001268A5"/>
    <w:rsid w:val="001268D5"/>
    <w:rsid w:val="001268DC"/>
    <w:rsid w:val="001268DE"/>
    <w:rsid w:val="001268F3"/>
    <w:rsid w:val="001268FF"/>
    <w:rsid w:val="00126A78"/>
    <w:rsid w:val="00126B83"/>
    <w:rsid w:val="00126C04"/>
    <w:rsid w:val="00126C44"/>
    <w:rsid w:val="00126D2B"/>
    <w:rsid w:val="00126DB6"/>
    <w:rsid w:val="00126E15"/>
    <w:rsid w:val="00126E3F"/>
    <w:rsid w:val="00126E92"/>
    <w:rsid w:val="00126F08"/>
    <w:rsid w:val="00126F37"/>
    <w:rsid w:val="00127061"/>
    <w:rsid w:val="001270C2"/>
    <w:rsid w:val="00127142"/>
    <w:rsid w:val="0012717F"/>
    <w:rsid w:val="0012718D"/>
    <w:rsid w:val="001271BB"/>
    <w:rsid w:val="001271ED"/>
    <w:rsid w:val="00127224"/>
    <w:rsid w:val="00127258"/>
    <w:rsid w:val="0012727A"/>
    <w:rsid w:val="00127298"/>
    <w:rsid w:val="00127423"/>
    <w:rsid w:val="00127464"/>
    <w:rsid w:val="00127482"/>
    <w:rsid w:val="0012752F"/>
    <w:rsid w:val="0012753B"/>
    <w:rsid w:val="0012778F"/>
    <w:rsid w:val="001277A5"/>
    <w:rsid w:val="00127830"/>
    <w:rsid w:val="00127999"/>
    <w:rsid w:val="00127A7E"/>
    <w:rsid w:val="00127ABB"/>
    <w:rsid w:val="00127B50"/>
    <w:rsid w:val="00127C05"/>
    <w:rsid w:val="00127C53"/>
    <w:rsid w:val="00127D10"/>
    <w:rsid w:val="00127D22"/>
    <w:rsid w:val="00127D34"/>
    <w:rsid w:val="00127D4E"/>
    <w:rsid w:val="00127EB0"/>
    <w:rsid w:val="00127ED9"/>
    <w:rsid w:val="00127F71"/>
    <w:rsid w:val="00127F9A"/>
    <w:rsid w:val="0013001E"/>
    <w:rsid w:val="00130032"/>
    <w:rsid w:val="00130076"/>
    <w:rsid w:val="001300B9"/>
    <w:rsid w:val="0013017E"/>
    <w:rsid w:val="001301CB"/>
    <w:rsid w:val="001302B0"/>
    <w:rsid w:val="0013031B"/>
    <w:rsid w:val="00130347"/>
    <w:rsid w:val="0013046D"/>
    <w:rsid w:val="00130477"/>
    <w:rsid w:val="0013047E"/>
    <w:rsid w:val="00130518"/>
    <w:rsid w:val="00130545"/>
    <w:rsid w:val="0013055F"/>
    <w:rsid w:val="001305FE"/>
    <w:rsid w:val="00130600"/>
    <w:rsid w:val="00130662"/>
    <w:rsid w:val="00130678"/>
    <w:rsid w:val="00130877"/>
    <w:rsid w:val="001308A3"/>
    <w:rsid w:val="001308B4"/>
    <w:rsid w:val="00130981"/>
    <w:rsid w:val="001309CE"/>
    <w:rsid w:val="00130A94"/>
    <w:rsid w:val="00130B51"/>
    <w:rsid w:val="00130C43"/>
    <w:rsid w:val="00130C59"/>
    <w:rsid w:val="00130DAD"/>
    <w:rsid w:val="00130DD2"/>
    <w:rsid w:val="00130DDB"/>
    <w:rsid w:val="00130E0E"/>
    <w:rsid w:val="00130E63"/>
    <w:rsid w:val="00130F05"/>
    <w:rsid w:val="00130FA6"/>
    <w:rsid w:val="00130FF4"/>
    <w:rsid w:val="00131090"/>
    <w:rsid w:val="0013111D"/>
    <w:rsid w:val="00131184"/>
    <w:rsid w:val="001311CB"/>
    <w:rsid w:val="00131203"/>
    <w:rsid w:val="00131255"/>
    <w:rsid w:val="00131302"/>
    <w:rsid w:val="0013132D"/>
    <w:rsid w:val="001313DA"/>
    <w:rsid w:val="0013143B"/>
    <w:rsid w:val="00131489"/>
    <w:rsid w:val="0013169C"/>
    <w:rsid w:val="00131701"/>
    <w:rsid w:val="0013172C"/>
    <w:rsid w:val="00131818"/>
    <w:rsid w:val="00131833"/>
    <w:rsid w:val="0013185A"/>
    <w:rsid w:val="001319C8"/>
    <w:rsid w:val="00131A21"/>
    <w:rsid w:val="00131B10"/>
    <w:rsid w:val="00131B2D"/>
    <w:rsid w:val="00131B80"/>
    <w:rsid w:val="00131BD4"/>
    <w:rsid w:val="00131C03"/>
    <w:rsid w:val="00131C58"/>
    <w:rsid w:val="00131D1C"/>
    <w:rsid w:val="00131D5B"/>
    <w:rsid w:val="00131E1C"/>
    <w:rsid w:val="00131E6B"/>
    <w:rsid w:val="00131ECA"/>
    <w:rsid w:val="00131FA8"/>
    <w:rsid w:val="0013207B"/>
    <w:rsid w:val="001320AD"/>
    <w:rsid w:val="001320CD"/>
    <w:rsid w:val="00132192"/>
    <w:rsid w:val="001322B3"/>
    <w:rsid w:val="00132304"/>
    <w:rsid w:val="0013235C"/>
    <w:rsid w:val="0013244E"/>
    <w:rsid w:val="00132533"/>
    <w:rsid w:val="00132553"/>
    <w:rsid w:val="0013256B"/>
    <w:rsid w:val="0013257D"/>
    <w:rsid w:val="001325CB"/>
    <w:rsid w:val="001325E2"/>
    <w:rsid w:val="001326DA"/>
    <w:rsid w:val="00132775"/>
    <w:rsid w:val="00132799"/>
    <w:rsid w:val="001327DC"/>
    <w:rsid w:val="001327F9"/>
    <w:rsid w:val="00132831"/>
    <w:rsid w:val="00132A34"/>
    <w:rsid w:val="00132A51"/>
    <w:rsid w:val="00132A61"/>
    <w:rsid w:val="00132ACB"/>
    <w:rsid w:val="00132BB7"/>
    <w:rsid w:val="00132BFE"/>
    <w:rsid w:val="00132C85"/>
    <w:rsid w:val="00132CCA"/>
    <w:rsid w:val="00132CD2"/>
    <w:rsid w:val="00132D4E"/>
    <w:rsid w:val="00132D5D"/>
    <w:rsid w:val="00132D61"/>
    <w:rsid w:val="00132D80"/>
    <w:rsid w:val="00132DEA"/>
    <w:rsid w:val="00132E08"/>
    <w:rsid w:val="00132ECE"/>
    <w:rsid w:val="00132F51"/>
    <w:rsid w:val="00133118"/>
    <w:rsid w:val="00133159"/>
    <w:rsid w:val="00133189"/>
    <w:rsid w:val="001331C6"/>
    <w:rsid w:val="00133221"/>
    <w:rsid w:val="00133275"/>
    <w:rsid w:val="00133289"/>
    <w:rsid w:val="001332A3"/>
    <w:rsid w:val="001332DE"/>
    <w:rsid w:val="001332FB"/>
    <w:rsid w:val="00133315"/>
    <w:rsid w:val="001334E2"/>
    <w:rsid w:val="00133528"/>
    <w:rsid w:val="001335CB"/>
    <w:rsid w:val="001335DE"/>
    <w:rsid w:val="00133636"/>
    <w:rsid w:val="00133680"/>
    <w:rsid w:val="001336AA"/>
    <w:rsid w:val="0013379F"/>
    <w:rsid w:val="0013388B"/>
    <w:rsid w:val="001338E4"/>
    <w:rsid w:val="00133942"/>
    <w:rsid w:val="00133967"/>
    <w:rsid w:val="00133A15"/>
    <w:rsid w:val="00133B95"/>
    <w:rsid w:val="00133C06"/>
    <w:rsid w:val="00133C27"/>
    <w:rsid w:val="00133C2F"/>
    <w:rsid w:val="00133C97"/>
    <w:rsid w:val="00133CA1"/>
    <w:rsid w:val="00133D61"/>
    <w:rsid w:val="00133DB6"/>
    <w:rsid w:val="00133E43"/>
    <w:rsid w:val="00133EFF"/>
    <w:rsid w:val="00133FDB"/>
    <w:rsid w:val="00134038"/>
    <w:rsid w:val="00134072"/>
    <w:rsid w:val="00134159"/>
    <w:rsid w:val="001341E0"/>
    <w:rsid w:val="00134230"/>
    <w:rsid w:val="00134280"/>
    <w:rsid w:val="001342A6"/>
    <w:rsid w:val="00134317"/>
    <w:rsid w:val="00134318"/>
    <w:rsid w:val="001343EF"/>
    <w:rsid w:val="001343F4"/>
    <w:rsid w:val="001343FA"/>
    <w:rsid w:val="001344A9"/>
    <w:rsid w:val="001344DF"/>
    <w:rsid w:val="001344F6"/>
    <w:rsid w:val="0013450E"/>
    <w:rsid w:val="00134595"/>
    <w:rsid w:val="00134625"/>
    <w:rsid w:val="001346A4"/>
    <w:rsid w:val="00134731"/>
    <w:rsid w:val="001347DA"/>
    <w:rsid w:val="00134843"/>
    <w:rsid w:val="00134852"/>
    <w:rsid w:val="0013487E"/>
    <w:rsid w:val="001348BF"/>
    <w:rsid w:val="001348E5"/>
    <w:rsid w:val="001348E6"/>
    <w:rsid w:val="00134915"/>
    <w:rsid w:val="0013492B"/>
    <w:rsid w:val="00134A53"/>
    <w:rsid w:val="00134B0D"/>
    <w:rsid w:val="00134B7F"/>
    <w:rsid w:val="00134BE1"/>
    <w:rsid w:val="00134D19"/>
    <w:rsid w:val="00134D74"/>
    <w:rsid w:val="00134DB1"/>
    <w:rsid w:val="00134E72"/>
    <w:rsid w:val="00134F0C"/>
    <w:rsid w:val="00134F8C"/>
    <w:rsid w:val="00134FC7"/>
    <w:rsid w:val="001350C4"/>
    <w:rsid w:val="00135171"/>
    <w:rsid w:val="001351BF"/>
    <w:rsid w:val="001351FA"/>
    <w:rsid w:val="0013520D"/>
    <w:rsid w:val="00135279"/>
    <w:rsid w:val="00135302"/>
    <w:rsid w:val="0013531F"/>
    <w:rsid w:val="00135340"/>
    <w:rsid w:val="0013535B"/>
    <w:rsid w:val="00135380"/>
    <w:rsid w:val="001353B3"/>
    <w:rsid w:val="00135420"/>
    <w:rsid w:val="00135424"/>
    <w:rsid w:val="0013547D"/>
    <w:rsid w:val="00135486"/>
    <w:rsid w:val="00135497"/>
    <w:rsid w:val="00135499"/>
    <w:rsid w:val="00135506"/>
    <w:rsid w:val="0013552A"/>
    <w:rsid w:val="00135538"/>
    <w:rsid w:val="00135574"/>
    <w:rsid w:val="001355AF"/>
    <w:rsid w:val="0013563D"/>
    <w:rsid w:val="0013568D"/>
    <w:rsid w:val="001356A8"/>
    <w:rsid w:val="001356B8"/>
    <w:rsid w:val="001356BA"/>
    <w:rsid w:val="00135711"/>
    <w:rsid w:val="0013574C"/>
    <w:rsid w:val="00135849"/>
    <w:rsid w:val="001358E1"/>
    <w:rsid w:val="001358EA"/>
    <w:rsid w:val="001359D0"/>
    <w:rsid w:val="00135A66"/>
    <w:rsid w:val="00135A81"/>
    <w:rsid w:val="00135ADF"/>
    <w:rsid w:val="00135B50"/>
    <w:rsid w:val="00135BC1"/>
    <w:rsid w:val="00135BEB"/>
    <w:rsid w:val="00135BF7"/>
    <w:rsid w:val="00135C02"/>
    <w:rsid w:val="00135C3A"/>
    <w:rsid w:val="00135C97"/>
    <w:rsid w:val="00135D23"/>
    <w:rsid w:val="00135D39"/>
    <w:rsid w:val="00135D44"/>
    <w:rsid w:val="00135D74"/>
    <w:rsid w:val="00135DC7"/>
    <w:rsid w:val="00135DE0"/>
    <w:rsid w:val="00135DF1"/>
    <w:rsid w:val="00135E04"/>
    <w:rsid w:val="00135E0C"/>
    <w:rsid w:val="00135EA8"/>
    <w:rsid w:val="00135F5D"/>
    <w:rsid w:val="00135F61"/>
    <w:rsid w:val="0013602A"/>
    <w:rsid w:val="00136073"/>
    <w:rsid w:val="0013614D"/>
    <w:rsid w:val="0013619D"/>
    <w:rsid w:val="001361F6"/>
    <w:rsid w:val="00136308"/>
    <w:rsid w:val="00136376"/>
    <w:rsid w:val="00136431"/>
    <w:rsid w:val="00136434"/>
    <w:rsid w:val="00136443"/>
    <w:rsid w:val="00136495"/>
    <w:rsid w:val="00136529"/>
    <w:rsid w:val="001365B9"/>
    <w:rsid w:val="00136615"/>
    <w:rsid w:val="001366A8"/>
    <w:rsid w:val="001367D6"/>
    <w:rsid w:val="0013680A"/>
    <w:rsid w:val="0013683A"/>
    <w:rsid w:val="00136860"/>
    <w:rsid w:val="001368DB"/>
    <w:rsid w:val="001369DC"/>
    <w:rsid w:val="00136A49"/>
    <w:rsid w:val="00136A50"/>
    <w:rsid w:val="00136AF4"/>
    <w:rsid w:val="00136BE0"/>
    <w:rsid w:val="00136C27"/>
    <w:rsid w:val="00136CA2"/>
    <w:rsid w:val="00136CE1"/>
    <w:rsid w:val="00136DAE"/>
    <w:rsid w:val="00136DD4"/>
    <w:rsid w:val="00136E14"/>
    <w:rsid w:val="00136E4A"/>
    <w:rsid w:val="00136EE6"/>
    <w:rsid w:val="00136F3A"/>
    <w:rsid w:val="00136FAE"/>
    <w:rsid w:val="00137002"/>
    <w:rsid w:val="0013702D"/>
    <w:rsid w:val="00137095"/>
    <w:rsid w:val="001370EC"/>
    <w:rsid w:val="00137102"/>
    <w:rsid w:val="00137121"/>
    <w:rsid w:val="0013716D"/>
    <w:rsid w:val="0013723A"/>
    <w:rsid w:val="00137326"/>
    <w:rsid w:val="001373FA"/>
    <w:rsid w:val="0013741E"/>
    <w:rsid w:val="00137454"/>
    <w:rsid w:val="001374A8"/>
    <w:rsid w:val="00137625"/>
    <w:rsid w:val="001377E6"/>
    <w:rsid w:val="0013782B"/>
    <w:rsid w:val="00137976"/>
    <w:rsid w:val="001379EE"/>
    <w:rsid w:val="00137B0F"/>
    <w:rsid w:val="00137B8C"/>
    <w:rsid w:val="00137BFD"/>
    <w:rsid w:val="00137C06"/>
    <w:rsid w:val="00137C37"/>
    <w:rsid w:val="00137C46"/>
    <w:rsid w:val="00137C6B"/>
    <w:rsid w:val="00137D79"/>
    <w:rsid w:val="00137D9D"/>
    <w:rsid w:val="00137E2F"/>
    <w:rsid w:val="00137EBB"/>
    <w:rsid w:val="00137EEA"/>
    <w:rsid w:val="00137EEF"/>
    <w:rsid w:val="00137F06"/>
    <w:rsid w:val="00140014"/>
    <w:rsid w:val="00140016"/>
    <w:rsid w:val="001400DD"/>
    <w:rsid w:val="00140119"/>
    <w:rsid w:val="001401BD"/>
    <w:rsid w:val="00140330"/>
    <w:rsid w:val="00140335"/>
    <w:rsid w:val="00140356"/>
    <w:rsid w:val="001403D9"/>
    <w:rsid w:val="00140450"/>
    <w:rsid w:val="00140467"/>
    <w:rsid w:val="001404AE"/>
    <w:rsid w:val="00140596"/>
    <w:rsid w:val="00140637"/>
    <w:rsid w:val="0014072B"/>
    <w:rsid w:val="00140745"/>
    <w:rsid w:val="001407D7"/>
    <w:rsid w:val="00140837"/>
    <w:rsid w:val="0014087F"/>
    <w:rsid w:val="001408C1"/>
    <w:rsid w:val="00140948"/>
    <w:rsid w:val="0014099C"/>
    <w:rsid w:val="00140A46"/>
    <w:rsid w:val="00140B6E"/>
    <w:rsid w:val="00140B94"/>
    <w:rsid w:val="00140BDD"/>
    <w:rsid w:val="00140CFF"/>
    <w:rsid w:val="00140D6C"/>
    <w:rsid w:val="00140E29"/>
    <w:rsid w:val="00140E2E"/>
    <w:rsid w:val="00140E37"/>
    <w:rsid w:val="00140EF7"/>
    <w:rsid w:val="00140F36"/>
    <w:rsid w:val="00140F62"/>
    <w:rsid w:val="00140F66"/>
    <w:rsid w:val="001410AD"/>
    <w:rsid w:val="001410BB"/>
    <w:rsid w:val="00141100"/>
    <w:rsid w:val="00141137"/>
    <w:rsid w:val="0014116A"/>
    <w:rsid w:val="001411AB"/>
    <w:rsid w:val="001411DE"/>
    <w:rsid w:val="0014129F"/>
    <w:rsid w:val="001412CF"/>
    <w:rsid w:val="00141303"/>
    <w:rsid w:val="001413A3"/>
    <w:rsid w:val="001413DB"/>
    <w:rsid w:val="00141459"/>
    <w:rsid w:val="00141461"/>
    <w:rsid w:val="001414A6"/>
    <w:rsid w:val="001414FA"/>
    <w:rsid w:val="0014154A"/>
    <w:rsid w:val="001415E3"/>
    <w:rsid w:val="00141673"/>
    <w:rsid w:val="00141695"/>
    <w:rsid w:val="001416A0"/>
    <w:rsid w:val="001416D1"/>
    <w:rsid w:val="0014170D"/>
    <w:rsid w:val="00141797"/>
    <w:rsid w:val="00141816"/>
    <w:rsid w:val="00141989"/>
    <w:rsid w:val="00141993"/>
    <w:rsid w:val="00141AF2"/>
    <w:rsid w:val="00141AF5"/>
    <w:rsid w:val="00141BA5"/>
    <w:rsid w:val="00141BAA"/>
    <w:rsid w:val="00141BF9"/>
    <w:rsid w:val="00141C93"/>
    <w:rsid w:val="00141D4E"/>
    <w:rsid w:val="00141D54"/>
    <w:rsid w:val="00141D9C"/>
    <w:rsid w:val="00141DCB"/>
    <w:rsid w:val="00141EEA"/>
    <w:rsid w:val="00141EEB"/>
    <w:rsid w:val="00142044"/>
    <w:rsid w:val="00142077"/>
    <w:rsid w:val="001420DD"/>
    <w:rsid w:val="001420F6"/>
    <w:rsid w:val="00142107"/>
    <w:rsid w:val="0014215C"/>
    <w:rsid w:val="001421CA"/>
    <w:rsid w:val="001421E9"/>
    <w:rsid w:val="00142232"/>
    <w:rsid w:val="0014223C"/>
    <w:rsid w:val="00142341"/>
    <w:rsid w:val="0014239C"/>
    <w:rsid w:val="001423A9"/>
    <w:rsid w:val="001423E1"/>
    <w:rsid w:val="00142473"/>
    <w:rsid w:val="001424A3"/>
    <w:rsid w:val="00142560"/>
    <w:rsid w:val="001425FE"/>
    <w:rsid w:val="001426E5"/>
    <w:rsid w:val="00142705"/>
    <w:rsid w:val="00142707"/>
    <w:rsid w:val="0014274B"/>
    <w:rsid w:val="00142750"/>
    <w:rsid w:val="00142785"/>
    <w:rsid w:val="001428D2"/>
    <w:rsid w:val="001429B6"/>
    <w:rsid w:val="001429D9"/>
    <w:rsid w:val="00142A46"/>
    <w:rsid w:val="00142AD4"/>
    <w:rsid w:val="00142B1E"/>
    <w:rsid w:val="00142B5C"/>
    <w:rsid w:val="00142B9E"/>
    <w:rsid w:val="00142BE8"/>
    <w:rsid w:val="00142C9D"/>
    <w:rsid w:val="00142CA0"/>
    <w:rsid w:val="00142CA3"/>
    <w:rsid w:val="00142CDC"/>
    <w:rsid w:val="00142D8E"/>
    <w:rsid w:val="00142E1E"/>
    <w:rsid w:val="00142E62"/>
    <w:rsid w:val="00142EFF"/>
    <w:rsid w:val="00142F0E"/>
    <w:rsid w:val="00142F64"/>
    <w:rsid w:val="00142F6B"/>
    <w:rsid w:val="00142FA0"/>
    <w:rsid w:val="00143007"/>
    <w:rsid w:val="00143023"/>
    <w:rsid w:val="00143139"/>
    <w:rsid w:val="00143158"/>
    <w:rsid w:val="00143170"/>
    <w:rsid w:val="00143186"/>
    <w:rsid w:val="0014320B"/>
    <w:rsid w:val="00143213"/>
    <w:rsid w:val="0014324E"/>
    <w:rsid w:val="001432B9"/>
    <w:rsid w:val="00143339"/>
    <w:rsid w:val="00143342"/>
    <w:rsid w:val="001433BE"/>
    <w:rsid w:val="00143505"/>
    <w:rsid w:val="00143537"/>
    <w:rsid w:val="00143570"/>
    <w:rsid w:val="00143580"/>
    <w:rsid w:val="001435E1"/>
    <w:rsid w:val="001435E2"/>
    <w:rsid w:val="001435FB"/>
    <w:rsid w:val="00143608"/>
    <w:rsid w:val="00143713"/>
    <w:rsid w:val="00143751"/>
    <w:rsid w:val="001437D3"/>
    <w:rsid w:val="001437E8"/>
    <w:rsid w:val="00143849"/>
    <w:rsid w:val="00143896"/>
    <w:rsid w:val="0014399B"/>
    <w:rsid w:val="001439C6"/>
    <w:rsid w:val="001439C8"/>
    <w:rsid w:val="00143A33"/>
    <w:rsid w:val="00143A34"/>
    <w:rsid w:val="00143B59"/>
    <w:rsid w:val="00143B60"/>
    <w:rsid w:val="00143BE8"/>
    <w:rsid w:val="00143BF2"/>
    <w:rsid w:val="00143C23"/>
    <w:rsid w:val="00143C29"/>
    <w:rsid w:val="00143C4A"/>
    <w:rsid w:val="00143C7F"/>
    <w:rsid w:val="00143D29"/>
    <w:rsid w:val="00143DAF"/>
    <w:rsid w:val="00143E2A"/>
    <w:rsid w:val="00143F14"/>
    <w:rsid w:val="00143F90"/>
    <w:rsid w:val="00144007"/>
    <w:rsid w:val="00144010"/>
    <w:rsid w:val="00144068"/>
    <w:rsid w:val="0014408A"/>
    <w:rsid w:val="0014410F"/>
    <w:rsid w:val="00144158"/>
    <w:rsid w:val="00144168"/>
    <w:rsid w:val="001441BD"/>
    <w:rsid w:val="001441F0"/>
    <w:rsid w:val="0014425F"/>
    <w:rsid w:val="00144265"/>
    <w:rsid w:val="001442C1"/>
    <w:rsid w:val="001442F3"/>
    <w:rsid w:val="0014430A"/>
    <w:rsid w:val="00144331"/>
    <w:rsid w:val="0014433C"/>
    <w:rsid w:val="0014436A"/>
    <w:rsid w:val="001443B4"/>
    <w:rsid w:val="001443C2"/>
    <w:rsid w:val="0014446D"/>
    <w:rsid w:val="001444E4"/>
    <w:rsid w:val="00144542"/>
    <w:rsid w:val="0014475E"/>
    <w:rsid w:val="0014487E"/>
    <w:rsid w:val="001448B1"/>
    <w:rsid w:val="00144A47"/>
    <w:rsid w:val="00144B44"/>
    <w:rsid w:val="00144BAE"/>
    <w:rsid w:val="00144C63"/>
    <w:rsid w:val="00144CC6"/>
    <w:rsid w:val="00144CD3"/>
    <w:rsid w:val="00144CE3"/>
    <w:rsid w:val="00144D47"/>
    <w:rsid w:val="00144D78"/>
    <w:rsid w:val="00144ED5"/>
    <w:rsid w:val="00144EFE"/>
    <w:rsid w:val="00144F51"/>
    <w:rsid w:val="001450F0"/>
    <w:rsid w:val="001450FF"/>
    <w:rsid w:val="0014513D"/>
    <w:rsid w:val="0014518E"/>
    <w:rsid w:val="001451B7"/>
    <w:rsid w:val="001451C8"/>
    <w:rsid w:val="0014521A"/>
    <w:rsid w:val="00145280"/>
    <w:rsid w:val="001452BF"/>
    <w:rsid w:val="001452DD"/>
    <w:rsid w:val="001454A9"/>
    <w:rsid w:val="001455BD"/>
    <w:rsid w:val="001455F2"/>
    <w:rsid w:val="001456E9"/>
    <w:rsid w:val="00145729"/>
    <w:rsid w:val="00145767"/>
    <w:rsid w:val="001457A4"/>
    <w:rsid w:val="00145818"/>
    <w:rsid w:val="0014587F"/>
    <w:rsid w:val="001458FE"/>
    <w:rsid w:val="00145931"/>
    <w:rsid w:val="00145A70"/>
    <w:rsid w:val="00145BC3"/>
    <w:rsid w:val="00145BDD"/>
    <w:rsid w:val="00145CBA"/>
    <w:rsid w:val="00145D19"/>
    <w:rsid w:val="00145D2B"/>
    <w:rsid w:val="00145D60"/>
    <w:rsid w:val="00145D9B"/>
    <w:rsid w:val="00145DA2"/>
    <w:rsid w:val="00145DCE"/>
    <w:rsid w:val="00145DE0"/>
    <w:rsid w:val="00145DFE"/>
    <w:rsid w:val="00145E2C"/>
    <w:rsid w:val="00145F57"/>
    <w:rsid w:val="001460AB"/>
    <w:rsid w:val="001460F6"/>
    <w:rsid w:val="0014618B"/>
    <w:rsid w:val="00146190"/>
    <w:rsid w:val="001461AD"/>
    <w:rsid w:val="001461DF"/>
    <w:rsid w:val="0014623E"/>
    <w:rsid w:val="0014625B"/>
    <w:rsid w:val="001462B1"/>
    <w:rsid w:val="00146344"/>
    <w:rsid w:val="001463B7"/>
    <w:rsid w:val="00146478"/>
    <w:rsid w:val="001464A1"/>
    <w:rsid w:val="001464BD"/>
    <w:rsid w:val="001464FC"/>
    <w:rsid w:val="00146546"/>
    <w:rsid w:val="0014664E"/>
    <w:rsid w:val="001466D7"/>
    <w:rsid w:val="00146734"/>
    <w:rsid w:val="00146757"/>
    <w:rsid w:val="00146825"/>
    <w:rsid w:val="00146890"/>
    <w:rsid w:val="00146947"/>
    <w:rsid w:val="00146976"/>
    <w:rsid w:val="001469B8"/>
    <w:rsid w:val="00146A43"/>
    <w:rsid w:val="00146B7B"/>
    <w:rsid w:val="00146B7E"/>
    <w:rsid w:val="00146BB1"/>
    <w:rsid w:val="00146BC0"/>
    <w:rsid w:val="00146C21"/>
    <w:rsid w:val="00146C5A"/>
    <w:rsid w:val="00146CDB"/>
    <w:rsid w:val="00146DB0"/>
    <w:rsid w:val="00146EDB"/>
    <w:rsid w:val="00147070"/>
    <w:rsid w:val="001470A8"/>
    <w:rsid w:val="001470DC"/>
    <w:rsid w:val="001470F7"/>
    <w:rsid w:val="00147147"/>
    <w:rsid w:val="0014719E"/>
    <w:rsid w:val="001471CE"/>
    <w:rsid w:val="001471D5"/>
    <w:rsid w:val="0014721C"/>
    <w:rsid w:val="00147300"/>
    <w:rsid w:val="0014731B"/>
    <w:rsid w:val="0014736A"/>
    <w:rsid w:val="0014738C"/>
    <w:rsid w:val="001473A5"/>
    <w:rsid w:val="00147457"/>
    <w:rsid w:val="00147459"/>
    <w:rsid w:val="0014749B"/>
    <w:rsid w:val="001475A4"/>
    <w:rsid w:val="001475FD"/>
    <w:rsid w:val="001476A2"/>
    <w:rsid w:val="001476B9"/>
    <w:rsid w:val="0014771F"/>
    <w:rsid w:val="00147734"/>
    <w:rsid w:val="0014779F"/>
    <w:rsid w:val="001477B1"/>
    <w:rsid w:val="001477DC"/>
    <w:rsid w:val="0014793A"/>
    <w:rsid w:val="001479D2"/>
    <w:rsid w:val="00147A4F"/>
    <w:rsid w:val="00147AA6"/>
    <w:rsid w:val="00147B01"/>
    <w:rsid w:val="00147B6F"/>
    <w:rsid w:val="00147BCD"/>
    <w:rsid w:val="00147C44"/>
    <w:rsid w:val="00147CCA"/>
    <w:rsid w:val="00147CFF"/>
    <w:rsid w:val="00147DAA"/>
    <w:rsid w:val="00147DFB"/>
    <w:rsid w:val="00147E02"/>
    <w:rsid w:val="00147EA6"/>
    <w:rsid w:val="00147F02"/>
    <w:rsid w:val="00147F10"/>
    <w:rsid w:val="00147F3E"/>
    <w:rsid w:val="00147F46"/>
    <w:rsid w:val="00147F5B"/>
    <w:rsid w:val="00147F8C"/>
    <w:rsid w:val="00147FB6"/>
    <w:rsid w:val="00147FC8"/>
    <w:rsid w:val="00150080"/>
    <w:rsid w:val="001500F3"/>
    <w:rsid w:val="0015012F"/>
    <w:rsid w:val="001501A2"/>
    <w:rsid w:val="001501FA"/>
    <w:rsid w:val="0015023F"/>
    <w:rsid w:val="0015037E"/>
    <w:rsid w:val="00150440"/>
    <w:rsid w:val="001504F5"/>
    <w:rsid w:val="0015055D"/>
    <w:rsid w:val="00150596"/>
    <w:rsid w:val="0015068E"/>
    <w:rsid w:val="001506A1"/>
    <w:rsid w:val="001506EB"/>
    <w:rsid w:val="001506F9"/>
    <w:rsid w:val="00150721"/>
    <w:rsid w:val="0015073E"/>
    <w:rsid w:val="00150744"/>
    <w:rsid w:val="00150778"/>
    <w:rsid w:val="001507AD"/>
    <w:rsid w:val="00150857"/>
    <w:rsid w:val="001508B3"/>
    <w:rsid w:val="001508D7"/>
    <w:rsid w:val="001508E9"/>
    <w:rsid w:val="00150939"/>
    <w:rsid w:val="00150943"/>
    <w:rsid w:val="001509E8"/>
    <w:rsid w:val="001509F4"/>
    <w:rsid w:val="00150AC7"/>
    <w:rsid w:val="00150B85"/>
    <w:rsid w:val="00150B98"/>
    <w:rsid w:val="00150C97"/>
    <w:rsid w:val="00150CA7"/>
    <w:rsid w:val="00150CDD"/>
    <w:rsid w:val="00150CF5"/>
    <w:rsid w:val="00150D6F"/>
    <w:rsid w:val="00150E60"/>
    <w:rsid w:val="00150FA2"/>
    <w:rsid w:val="00150FB0"/>
    <w:rsid w:val="00151071"/>
    <w:rsid w:val="001510AE"/>
    <w:rsid w:val="0015115D"/>
    <w:rsid w:val="00151265"/>
    <w:rsid w:val="0015135F"/>
    <w:rsid w:val="0015138E"/>
    <w:rsid w:val="0015139E"/>
    <w:rsid w:val="001513A3"/>
    <w:rsid w:val="00151443"/>
    <w:rsid w:val="001514A5"/>
    <w:rsid w:val="001514F5"/>
    <w:rsid w:val="00151522"/>
    <w:rsid w:val="00151541"/>
    <w:rsid w:val="00151618"/>
    <w:rsid w:val="001517D4"/>
    <w:rsid w:val="00151846"/>
    <w:rsid w:val="0015184C"/>
    <w:rsid w:val="001518AF"/>
    <w:rsid w:val="001518D0"/>
    <w:rsid w:val="00151A5C"/>
    <w:rsid w:val="00151A7C"/>
    <w:rsid w:val="00151AB9"/>
    <w:rsid w:val="00151B21"/>
    <w:rsid w:val="00151B3C"/>
    <w:rsid w:val="00151B51"/>
    <w:rsid w:val="00151B79"/>
    <w:rsid w:val="00151C7A"/>
    <w:rsid w:val="00151CE7"/>
    <w:rsid w:val="00151DA3"/>
    <w:rsid w:val="00151DBF"/>
    <w:rsid w:val="00151EB2"/>
    <w:rsid w:val="00151F70"/>
    <w:rsid w:val="00152003"/>
    <w:rsid w:val="0015214E"/>
    <w:rsid w:val="0015214F"/>
    <w:rsid w:val="001521D9"/>
    <w:rsid w:val="001521F0"/>
    <w:rsid w:val="001521F4"/>
    <w:rsid w:val="00152245"/>
    <w:rsid w:val="0015224A"/>
    <w:rsid w:val="00152257"/>
    <w:rsid w:val="0015232C"/>
    <w:rsid w:val="0015246B"/>
    <w:rsid w:val="00152593"/>
    <w:rsid w:val="001525EF"/>
    <w:rsid w:val="0015262C"/>
    <w:rsid w:val="00152661"/>
    <w:rsid w:val="00152744"/>
    <w:rsid w:val="00152821"/>
    <w:rsid w:val="00152943"/>
    <w:rsid w:val="001529DF"/>
    <w:rsid w:val="00152A20"/>
    <w:rsid w:val="00152A4F"/>
    <w:rsid w:val="00152ABA"/>
    <w:rsid w:val="00152AD3"/>
    <w:rsid w:val="00152C05"/>
    <w:rsid w:val="00152CEB"/>
    <w:rsid w:val="00152D4D"/>
    <w:rsid w:val="00152DF6"/>
    <w:rsid w:val="00152E2E"/>
    <w:rsid w:val="00152F8F"/>
    <w:rsid w:val="00152FBF"/>
    <w:rsid w:val="0015301B"/>
    <w:rsid w:val="00153090"/>
    <w:rsid w:val="001530E0"/>
    <w:rsid w:val="001530F4"/>
    <w:rsid w:val="00153128"/>
    <w:rsid w:val="0015317A"/>
    <w:rsid w:val="001531CD"/>
    <w:rsid w:val="0015330C"/>
    <w:rsid w:val="00153316"/>
    <w:rsid w:val="00153373"/>
    <w:rsid w:val="001533C0"/>
    <w:rsid w:val="00153465"/>
    <w:rsid w:val="0015347D"/>
    <w:rsid w:val="00153491"/>
    <w:rsid w:val="001534EF"/>
    <w:rsid w:val="00153504"/>
    <w:rsid w:val="00153579"/>
    <w:rsid w:val="00153581"/>
    <w:rsid w:val="0015359A"/>
    <w:rsid w:val="001535B8"/>
    <w:rsid w:val="0015364E"/>
    <w:rsid w:val="00153695"/>
    <w:rsid w:val="0015370F"/>
    <w:rsid w:val="00153724"/>
    <w:rsid w:val="00153776"/>
    <w:rsid w:val="00153793"/>
    <w:rsid w:val="001537EC"/>
    <w:rsid w:val="00153816"/>
    <w:rsid w:val="00153866"/>
    <w:rsid w:val="00153A5C"/>
    <w:rsid w:val="00153AA0"/>
    <w:rsid w:val="00153AE3"/>
    <w:rsid w:val="00153BCF"/>
    <w:rsid w:val="00153BDF"/>
    <w:rsid w:val="00153C08"/>
    <w:rsid w:val="00153C59"/>
    <w:rsid w:val="00153C82"/>
    <w:rsid w:val="00153CDD"/>
    <w:rsid w:val="00153D2F"/>
    <w:rsid w:val="00153DBB"/>
    <w:rsid w:val="00153E0D"/>
    <w:rsid w:val="00153F95"/>
    <w:rsid w:val="00154021"/>
    <w:rsid w:val="0015403A"/>
    <w:rsid w:val="001540A3"/>
    <w:rsid w:val="001540A6"/>
    <w:rsid w:val="001540AA"/>
    <w:rsid w:val="001540AB"/>
    <w:rsid w:val="00154137"/>
    <w:rsid w:val="001541D5"/>
    <w:rsid w:val="001541D7"/>
    <w:rsid w:val="001541DF"/>
    <w:rsid w:val="001541EE"/>
    <w:rsid w:val="00154228"/>
    <w:rsid w:val="0015422A"/>
    <w:rsid w:val="001542C2"/>
    <w:rsid w:val="0015433B"/>
    <w:rsid w:val="00154425"/>
    <w:rsid w:val="001544E5"/>
    <w:rsid w:val="00154543"/>
    <w:rsid w:val="0015461F"/>
    <w:rsid w:val="00154621"/>
    <w:rsid w:val="0015464B"/>
    <w:rsid w:val="0015467A"/>
    <w:rsid w:val="001546A9"/>
    <w:rsid w:val="001546AE"/>
    <w:rsid w:val="00154723"/>
    <w:rsid w:val="001548C2"/>
    <w:rsid w:val="00154AB3"/>
    <w:rsid w:val="00154B20"/>
    <w:rsid w:val="00154B66"/>
    <w:rsid w:val="00154BA8"/>
    <w:rsid w:val="00154C17"/>
    <w:rsid w:val="00154DA2"/>
    <w:rsid w:val="00154DD3"/>
    <w:rsid w:val="00154E10"/>
    <w:rsid w:val="00154E7C"/>
    <w:rsid w:val="00154F0B"/>
    <w:rsid w:val="00155064"/>
    <w:rsid w:val="001550B4"/>
    <w:rsid w:val="001550EF"/>
    <w:rsid w:val="00155174"/>
    <w:rsid w:val="001551C7"/>
    <w:rsid w:val="001551D8"/>
    <w:rsid w:val="001551E5"/>
    <w:rsid w:val="001551F3"/>
    <w:rsid w:val="00155210"/>
    <w:rsid w:val="0015525F"/>
    <w:rsid w:val="00155298"/>
    <w:rsid w:val="00155356"/>
    <w:rsid w:val="0015535C"/>
    <w:rsid w:val="00155415"/>
    <w:rsid w:val="00155430"/>
    <w:rsid w:val="00155496"/>
    <w:rsid w:val="001554D2"/>
    <w:rsid w:val="00155592"/>
    <w:rsid w:val="00155650"/>
    <w:rsid w:val="00155651"/>
    <w:rsid w:val="00155654"/>
    <w:rsid w:val="0015568B"/>
    <w:rsid w:val="00155695"/>
    <w:rsid w:val="00155731"/>
    <w:rsid w:val="0015589E"/>
    <w:rsid w:val="001558CF"/>
    <w:rsid w:val="00155904"/>
    <w:rsid w:val="00155A59"/>
    <w:rsid w:val="00155A92"/>
    <w:rsid w:val="00155ADA"/>
    <w:rsid w:val="00155ADE"/>
    <w:rsid w:val="00155B74"/>
    <w:rsid w:val="00155B78"/>
    <w:rsid w:val="00155B8E"/>
    <w:rsid w:val="00155BD0"/>
    <w:rsid w:val="00155C49"/>
    <w:rsid w:val="00155C7B"/>
    <w:rsid w:val="00155D03"/>
    <w:rsid w:val="00155EE9"/>
    <w:rsid w:val="00155FC3"/>
    <w:rsid w:val="00155FEB"/>
    <w:rsid w:val="001560D1"/>
    <w:rsid w:val="001560D9"/>
    <w:rsid w:val="00156101"/>
    <w:rsid w:val="00156154"/>
    <w:rsid w:val="001561F3"/>
    <w:rsid w:val="0015624D"/>
    <w:rsid w:val="00156374"/>
    <w:rsid w:val="001563A8"/>
    <w:rsid w:val="001563BA"/>
    <w:rsid w:val="001563C9"/>
    <w:rsid w:val="0015643A"/>
    <w:rsid w:val="0015643C"/>
    <w:rsid w:val="0015650E"/>
    <w:rsid w:val="00156574"/>
    <w:rsid w:val="001565F5"/>
    <w:rsid w:val="00156628"/>
    <w:rsid w:val="001566FE"/>
    <w:rsid w:val="00156859"/>
    <w:rsid w:val="0015688A"/>
    <w:rsid w:val="001568C1"/>
    <w:rsid w:val="00156A0D"/>
    <w:rsid w:val="00156B57"/>
    <w:rsid w:val="00156B58"/>
    <w:rsid w:val="00156B6E"/>
    <w:rsid w:val="00156BB6"/>
    <w:rsid w:val="00156BCF"/>
    <w:rsid w:val="00156BE6"/>
    <w:rsid w:val="00156C03"/>
    <w:rsid w:val="00156D70"/>
    <w:rsid w:val="00156D81"/>
    <w:rsid w:val="00156D91"/>
    <w:rsid w:val="00156D98"/>
    <w:rsid w:val="00156DCA"/>
    <w:rsid w:val="00156EAE"/>
    <w:rsid w:val="00156F57"/>
    <w:rsid w:val="00156F92"/>
    <w:rsid w:val="00157033"/>
    <w:rsid w:val="00157079"/>
    <w:rsid w:val="001570CD"/>
    <w:rsid w:val="001570FD"/>
    <w:rsid w:val="001571A1"/>
    <w:rsid w:val="00157205"/>
    <w:rsid w:val="00157263"/>
    <w:rsid w:val="0015727A"/>
    <w:rsid w:val="00157420"/>
    <w:rsid w:val="00157421"/>
    <w:rsid w:val="00157504"/>
    <w:rsid w:val="0015755F"/>
    <w:rsid w:val="0015756D"/>
    <w:rsid w:val="001575A2"/>
    <w:rsid w:val="001576E1"/>
    <w:rsid w:val="00157749"/>
    <w:rsid w:val="0015774C"/>
    <w:rsid w:val="0015789D"/>
    <w:rsid w:val="001578DF"/>
    <w:rsid w:val="00157938"/>
    <w:rsid w:val="00157981"/>
    <w:rsid w:val="001579A0"/>
    <w:rsid w:val="001579D1"/>
    <w:rsid w:val="00157AE3"/>
    <w:rsid w:val="00157B2F"/>
    <w:rsid w:val="00157BCB"/>
    <w:rsid w:val="00157C4D"/>
    <w:rsid w:val="00157D53"/>
    <w:rsid w:val="00157E1C"/>
    <w:rsid w:val="00157E57"/>
    <w:rsid w:val="00157E8C"/>
    <w:rsid w:val="00157E9E"/>
    <w:rsid w:val="00157EE5"/>
    <w:rsid w:val="00157EEE"/>
    <w:rsid w:val="00157F0E"/>
    <w:rsid w:val="00157F2F"/>
    <w:rsid w:val="00157F7D"/>
    <w:rsid w:val="0016009F"/>
    <w:rsid w:val="001600A0"/>
    <w:rsid w:val="001600A7"/>
    <w:rsid w:val="001600E1"/>
    <w:rsid w:val="00160122"/>
    <w:rsid w:val="00160212"/>
    <w:rsid w:val="00160279"/>
    <w:rsid w:val="00160283"/>
    <w:rsid w:val="001602B1"/>
    <w:rsid w:val="00160307"/>
    <w:rsid w:val="0016030B"/>
    <w:rsid w:val="00160387"/>
    <w:rsid w:val="00160417"/>
    <w:rsid w:val="00160553"/>
    <w:rsid w:val="0016056F"/>
    <w:rsid w:val="00160579"/>
    <w:rsid w:val="0016058F"/>
    <w:rsid w:val="0016063A"/>
    <w:rsid w:val="0016064C"/>
    <w:rsid w:val="001606AB"/>
    <w:rsid w:val="001606EB"/>
    <w:rsid w:val="00160768"/>
    <w:rsid w:val="001607F0"/>
    <w:rsid w:val="00160806"/>
    <w:rsid w:val="00160842"/>
    <w:rsid w:val="0016085B"/>
    <w:rsid w:val="001608A2"/>
    <w:rsid w:val="00160924"/>
    <w:rsid w:val="001609C5"/>
    <w:rsid w:val="00160A20"/>
    <w:rsid w:val="00160A9C"/>
    <w:rsid w:val="00160AE0"/>
    <w:rsid w:val="00160AF5"/>
    <w:rsid w:val="00160C15"/>
    <w:rsid w:val="00160C1A"/>
    <w:rsid w:val="00160C1E"/>
    <w:rsid w:val="00160C4C"/>
    <w:rsid w:val="00160C77"/>
    <w:rsid w:val="00160C9F"/>
    <w:rsid w:val="00160CA3"/>
    <w:rsid w:val="00160D63"/>
    <w:rsid w:val="00160EB6"/>
    <w:rsid w:val="00160F51"/>
    <w:rsid w:val="00160F95"/>
    <w:rsid w:val="00160F9F"/>
    <w:rsid w:val="0016110F"/>
    <w:rsid w:val="00161120"/>
    <w:rsid w:val="00161128"/>
    <w:rsid w:val="00161149"/>
    <w:rsid w:val="0016117D"/>
    <w:rsid w:val="0016129C"/>
    <w:rsid w:val="001612B3"/>
    <w:rsid w:val="00161325"/>
    <w:rsid w:val="001613A0"/>
    <w:rsid w:val="00161438"/>
    <w:rsid w:val="00161459"/>
    <w:rsid w:val="0016149D"/>
    <w:rsid w:val="0016153D"/>
    <w:rsid w:val="00161592"/>
    <w:rsid w:val="001615AE"/>
    <w:rsid w:val="001615FA"/>
    <w:rsid w:val="00161667"/>
    <w:rsid w:val="001616C5"/>
    <w:rsid w:val="0016170B"/>
    <w:rsid w:val="0016171D"/>
    <w:rsid w:val="00161727"/>
    <w:rsid w:val="0016179D"/>
    <w:rsid w:val="001617C1"/>
    <w:rsid w:val="00161822"/>
    <w:rsid w:val="0016182A"/>
    <w:rsid w:val="0016183C"/>
    <w:rsid w:val="001618F3"/>
    <w:rsid w:val="001618FB"/>
    <w:rsid w:val="001619E7"/>
    <w:rsid w:val="00161A56"/>
    <w:rsid w:val="00161A70"/>
    <w:rsid w:val="00161B02"/>
    <w:rsid w:val="00161B23"/>
    <w:rsid w:val="00161B8A"/>
    <w:rsid w:val="00161C1B"/>
    <w:rsid w:val="00161C49"/>
    <w:rsid w:val="00161CAB"/>
    <w:rsid w:val="00161D31"/>
    <w:rsid w:val="00161D67"/>
    <w:rsid w:val="00161DE8"/>
    <w:rsid w:val="00161E20"/>
    <w:rsid w:val="00161E77"/>
    <w:rsid w:val="00161F04"/>
    <w:rsid w:val="00161F2D"/>
    <w:rsid w:val="00161FFF"/>
    <w:rsid w:val="00162008"/>
    <w:rsid w:val="0016203D"/>
    <w:rsid w:val="0016205A"/>
    <w:rsid w:val="00162073"/>
    <w:rsid w:val="00162087"/>
    <w:rsid w:val="00162222"/>
    <w:rsid w:val="0016229C"/>
    <w:rsid w:val="0016232E"/>
    <w:rsid w:val="001624A1"/>
    <w:rsid w:val="001624E5"/>
    <w:rsid w:val="001624EA"/>
    <w:rsid w:val="0016271C"/>
    <w:rsid w:val="00162787"/>
    <w:rsid w:val="001627BF"/>
    <w:rsid w:val="001627FE"/>
    <w:rsid w:val="0016282B"/>
    <w:rsid w:val="0016285E"/>
    <w:rsid w:val="001628A9"/>
    <w:rsid w:val="0016293A"/>
    <w:rsid w:val="00162AE6"/>
    <w:rsid w:val="00162B61"/>
    <w:rsid w:val="00162C0D"/>
    <w:rsid w:val="00162C10"/>
    <w:rsid w:val="00162CB8"/>
    <w:rsid w:val="00162F44"/>
    <w:rsid w:val="00162F4D"/>
    <w:rsid w:val="00162F7C"/>
    <w:rsid w:val="001630C4"/>
    <w:rsid w:val="001630FB"/>
    <w:rsid w:val="0016310B"/>
    <w:rsid w:val="001631C7"/>
    <w:rsid w:val="001631DF"/>
    <w:rsid w:val="001631F6"/>
    <w:rsid w:val="00163246"/>
    <w:rsid w:val="00163282"/>
    <w:rsid w:val="001632AA"/>
    <w:rsid w:val="001632D0"/>
    <w:rsid w:val="00163314"/>
    <w:rsid w:val="00163331"/>
    <w:rsid w:val="001633DA"/>
    <w:rsid w:val="00163470"/>
    <w:rsid w:val="001634A2"/>
    <w:rsid w:val="001634C4"/>
    <w:rsid w:val="001634F0"/>
    <w:rsid w:val="001634F1"/>
    <w:rsid w:val="0016353E"/>
    <w:rsid w:val="00163580"/>
    <w:rsid w:val="00163898"/>
    <w:rsid w:val="00163903"/>
    <w:rsid w:val="001639EA"/>
    <w:rsid w:val="00163B11"/>
    <w:rsid w:val="00163B3E"/>
    <w:rsid w:val="00163B58"/>
    <w:rsid w:val="00163BA7"/>
    <w:rsid w:val="00163BD0"/>
    <w:rsid w:val="00163DE4"/>
    <w:rsid w:val="00163E82"/>
    <w:rsid w:val="00163F78"/>
    <w:rsid w:val="00163FA2"/>
    <w:rsid w:val="0016408A"/>
    <w:rsid w:val="00164179"/>
    <w:rsid w:val="001641B6"/>
    <w:rsid w:val="00164202"/>
    <w:rsid w:val="00164218"/>
    <w:rsid w:val="00164281"/>
    <w:rsid w:val="0016435E"/>
    <w:rsid w:val="001643BF"/>
    <w:rsid w:val="001643CC"/>
    <w:rsid w:val="0016446E"/>
    <w:rsid w:val="00164531"/>
    <w:rsid w:val="00164596"/>
    <w:rsid w:val="001646B7"/>
    <w:rsid w:val="001646D2"/>
    <w:rsid w:val="001646D6"/>
    <w:rsid w:val="00164708"/>
    <w:rsid w:val="00164756"/>
    <w:rsid w:val="00164771"/>
    <w:rsid w:val="001647F7"/>
    <w:rsid w:val="00164840"/>
    <w:rsid w:val="00164870"/>
    <w:rsid w:val="00164874"/>
    <w:rsid w:val="00164878"/>
    <w:rsid w:val="001648EF"/>
    <w:rsid w:val="00164922"/>
    <w:rsid w:val="00164A54"/>
    <w:rsid w:val="00164A8E"/>
    <w:rsid w:val="00164A94"/>
    <w:rsid w:val="00164AAD"/>
    <w:rsid w:val="00164ADB"/>
    <w:rsid w:val="00164B54"/>
    <w:rsid w:val="00164B55"/>
    <w:rsid w:val="00164BAA"/>
    <w:rsid w:val="00164C21"/>
    <w:rsid w:val="00164C99"/>
    <w:rsid w:val="00164CFA"/>
    <w:rsid w:val="00164D08"/>
    <w:rsid w:val="00164EF6"/>
    <w:rsid w:val="00164EFD"/>
    <w:rsid w:val="00164F38"/>
    <w:rsid w:val="00164F46"/>
    <w:rsid w:val="00164F4D"/>
    <w:rsid w:val="00164F4F"/>
    <w:rsid w:val="00164F72"/>
    <w:rsid w:val="0016505A"/>
    <w:rsid w:val="0016505B"/>
    <w:rsid w:val="001650FD"/>
    <w:rsid w:val="00165107"/>
    <w:rsid w:val="0016519C"/>
    <w:rsid w:val="00165211"/>
    <w:rsid w:val="0016523C"/>
    <w:rsid w:val="00165243"/>
    <w:rsid w:val="00165276"/>
    <w:rsid w:val="00165278"/>
    <w:rsid w:val="00165283"/>
    <w:rsid w:val="001652B2"/>
    <w:rsid w:val="001653D5"/>
    <w:rsid w:val="001653F3"/>
    <w:rsid w:val="00165401"/>
    <w:rsid w:val="00165409"/>
    <w:rsid w:val="00165430"/>
    <w:rsid w:val="0016548D"/>
    <w:rsid w:val="001654E7"/>
    <w:rsid w:val="00165507"/>
    <w:rsid w:val="00165512"/>
    <w:rsid w:val="00165593"/>
    <w:rsid w:val="00165613"/>
    <w:rsid w:val="00165663"/>
    <w:rsid w:val="00165856"/>
    <w:rsid w:val="00165857"/>
    <w:rsid w:val="001658B1"/>
    <w:rsid w:val="001658CB"/>
    <w:rsid w:val="00165971"/>
    <w:rsid w:val="001659B7"/>
    <w:rsid w:val="00165A05"/>
    <w:rsid w:val="00165A0D"/>
    <w:rsid w:val="00165A54"/>
    <w:rsid w:val="00165A70"/>
    <w:rsid w:val="00165A7D"/>
    <w:rsid w:val="00165B71"/>
    <w:rsid w:val="00165C74"/>
    <w:rsid w:val="00165C9C"/>
    <w:rsid w:val="00165CBE"/>
    <w:rsid w:val="00165D02"/>
    <w:rsid w:val="00165D32"/>
    <w:rsid w:val="00165D54"/>
    <w:rsid w:val="00165DB0"/>
    <w:rsid w:val="00165DE1"/>
    <w:rsid w:val="00165DF8"/>
    <w:rsid w:val="00165EE5"/>
    <w:rsid w:val="00165EF8"/>
    <w:rsid w:val="00165F83"/>
    <w:rsid w:val="00165FC5"/>
    <w:rsid w:val="0016603E"/>
    <w:rsid w:val="00166043"/>
    <w:rsid w:val="00166134"/>
    <w:rsid w:val="00166168"/>
    <w:rsid w:val="0016618B"/>
    <w:rsid w:val="00166224"/>
    <w:rsid w:val="001662A0"/>
    <w:rsid w:val="001662EC"/>
    <w:rsid w:val="0016632B"/>
    <w:rsid w:val="00166361"/>
    <w:rsid w:val="001663C8"/>
    <w:rsid w:val="001664FC"/>
    <w:rsid w:val="00166504"/>
    <w:rsid w:val="001665E4"/>
    <w:rsid w:val="00166669"/>
    <w:rsid w:val="0016668E"/>
    <w:rsid w:val="001666CC"/>
    <w:rsid w:val="001666F3"/>
    <w:rsid w:val="00166742"/>
    <w:rsid w:val="00166830"/>
    <w:rsid w:val="00166876"/>
    <w:rsid w:val="00166921"/>
    <w:rsid w:val="00166971"/>
    <w:rsid w:val="001669B3"/>
    <w:rsid w:val="001669E7"/>
    <w:rsid w:val="00166B5C"/>
    <w:rsid w:val="00166BF7"/>
    <w:rsid w:val="00166C48"/>
    <w:rsid w:val="00166C55"/>
    <w:rsid w:val="00166CB4"/>
    <w:rsid w:val="00166F07"/>
    <w:rsid w:val="00166F5C"/>
    <w:rsid w:val="00166F9B"/>
    <w:rsid w:val="00166FE0"/>
    <w:rsid w:val="00166FE2"/>
    <w:rsid w:val="0016706A"/>
    <w:rsid w:val="0016712E"/>
    <w:rsid w:val="001671E9"/>
    <w:rsid w:val="001671FF"/>
    <w:rsid w:val="0016724B"/>
    <w:rsid w:val="00167332"/>
    <w:rsid w:val="0016739E"/>
    <w:rsid w:val="00167404"/>
    <w:rsid w:val="00167415"/>
    <w:rsid w:val="0016742F"/>
    <w:rsid w:val="001674C3"/>
    <w:rsid w:val="0016756A"/>
    <w:rsid w:val="001676B2"/>
    <w:rsid w:val="001676B7"/>
    <w:rsid w:val="001676E8"/>
    <w:rsid w:val="00167739"/>
    <w:rsid w:val="00167818"/>
    <w:rsid w:val="00167834"/>
    <w:rsid w:val="00167866"/>
    <w:rsid w:val="001678AF"/>
    <w:rsid w:val="001678B6"/>
    <w:rsid w:val="001678BB"/>
    <w:rsid w:val="0016792D"/>
    <w:rsid w:val="00167AA9"/>
    <w:rsid w:val="00167B2F"/>
    <w:rsid w:val="00167B81"/>
    <w:rsid w:val="00167B9F"/>
    <w:rsid w:val="00167BD7"/>
    <w:rsid w:val="00167CD0"/>
    <w:rsid w:val="00167D78"/>
    <w:rsid w:val="00167E65"/>
    <w:rsid w:val="00167EFE"/>
    <w:rsid w:val="00167F25"/>
    <w:rsid w:val="00170040"/>
    <w:rsid w:val="00170096"/>
    <w:rsid w:val="00170108"/>
    <w:rsid w:val="0017016A"/>
    <w:rsid w:val="001701BF"/>
    <w:rsid w:val="001702CE"/>
    <w:rsid w:val="001702D7"/>
    <w:rsid w:val="00170345"/>
    <w:rsid w:val="00170455"/>
    <w:rsid w:val="001705E3"/>
    <w:rsid w:val="001705EA"/>
    <w:rsid w:val="00170605"/>
    <w:rsid w:val="00170727"/>
    <w:rsid w:val="00170735"/>
    <w:rsid w:val="00170805"/>
    <w:rsid w:val="00170867"/>
    <w:rsid w:val="001708B1"/>
    <w:rsid w:val="001708E8"/>
    <w:rsid w:val="00170952"/>
    <w:rsid w:val="00170965"/>
    <w:rsid w:val="00170A79"/>
    <w:rsid w:val="00170A9A"/>
    <w:rsid w:val="00170AA4"/>
    <w:rsid w:val="00170B60"/>
    <w:rsid w:val="00170B9E"/>
    <w:rsid w:val="00170BFF"/>
    <w:rsid w:val="00170C4F"/>
    <w:rsid w:val="00170D34"/>
    <w:rsid w:val="00170E03"/>
    <w:rsid w:val="00170E09"/>
    <w:rsid w:val="00170E3E"/>
    <w:rsid w:val="00170EE4"/>
    <w:rsid w:val="00170F7B"/>
    <w:rsid w:val="00170FF4"/>
    <w:rsid w:val="00170FF6"/>
    <w:rsid w:val="00170FFC"/>
    <w:rsid w:val="0017118B"/>
    <w:rsid w:val="0017119A"/>
    <w:rsid w:val="001711D0"/>
    <w:rsid w:val="001711EF"/>
    <w:rsid w:val="00171275"/>
    <w:rsid w:val="0017127D"/>
    <w:rsid w:val="00171356"/>
    <w:rsid w:val="0017145B"/>
    <w:rsid w:val="00171469"/>
    <w:rsid w:val="0017146B"/>
    <w:rsid w:val="00171474"/>
    <w:rsid w:val="001715CB"/>
    <w:rsid w:val="001715CF"/>
    <w:rsid w:val="001715FF"/>
    <w:rsid w:val="0017175B"/>
    <w:rsid w:val="0017186C"/>
    <w:rsid w:val="001718B2"/>
    <w:rsid w:val="001718BF"/>
    <w:rsid w:val="00171A07"/>
    <w:rsid w:val="00171A2F"/>
    <w:rsid w:val="00171B82"/>
    <w:rsid w:val="00171C39"/>
    <w:rsid w:val="00171C46"/>
    <w:rsid w:val="00171C98"/>
    <w:rsid w:val="00171CDD"/>
    <w:rsid w:val="00171D0B"/>
    <w:rsid w:val="00171D50"/>
    <w:rsid w:val="00171D6F"/>
    <w:rsid w:val="00171D71"/>
    <w:rsid w:val="00171DB5"/>
    <w:rsid w:val="00171E41"/>
    <w:rsid w:val="00171F6D"/>
    <w:rsid w:val="00171FA7"/>
    <w:rsid w:val="001720B5"/>
    <w:rsid w:val="001720CF"/>
    <w:rsid w:val="0017223C"/>
    <w:rsid w:val="0017229E"/>
    <w:rsid w:val="001722BA"/>
    <w:rsid w:val="001723E2"/>
    <w:rsid w:val="001724A5"/>
    <w:rsid w:val="001724E6"/>
    <w:rsid w:val="001724FE"/>
    <w:rsid w:val="00172546"/>
    <w:rsid w:val="0017257D"/>
    <w:rsid w:val="001725E1"/>
    <w:rsid w:val="001725ED"/>
    <w:rsid w:val="00172613"/>
    <w:rsid w:val="0017264A"/>
    <w:rsid w:val="00172710"/>
    <w:rsid w:val="0017277B"/>
    <w:rsid w:val="001728AE"/>
    <w:rsid w:val="001729C6"/>
    <w:rsid w:val="001729E9"/>
    <w:rsid w:val="00172A5E"/>
    <w:rsid w:val="00172AC6"/>
    <w:rsid w:val="00172B33"/>
    <w:rsid w:val="00172B5C"/>
    <w:rsid w:val="00172BC8"/>
    <w:rsid w:val="00172BF9"/>
    <w:rsid w:val="00172C00"/>
    <w:rsid w:val="00172CAF"/>
    <w:rsid w:val="00172CBE"/>
    <w:rsid w:val="00172D2C"/>
    <w:rsid w:val="00172D85"/>
    <w:rsid w:val="00172D9C"/>
    <w:rsid w:val="00172D9F"/>
    <w:rsid w:val="00172DA5"/>
    <w:rsid w:val="00172E84"/>
    <w:rsid w:val="00172F20"/>
    <w:rsid w:val="0017302C"/>
    <w:rsid w:val="00173063"/>
    <w:rsid w:val="0017308C"/>
    <w:rsid w:val="001730CE"/>
    <w:rsid w:val="001730EA"/>
    <w:rsid w:val="00173148"/>
    <w:rsid w:val="00173166"/>
    <w:rsid w:val="00173172"/>
    <w:rsid w:val="001731DD"/>
    <w:rsid w:val="0017321D"/>
    <w:rsid w:val="00173220"/>
    <w:rsid w:val="0017323E"/>
    <w:rsid w:val="001732A7"/>
    <w:rsid w:val="001732CD"/>
    <w:rsid w:val="0017341C"/>
    <w:rsid w:val="001735F8"/>
    <w:rsid w:val="00173653"/>
    <w:rsid w:val="00173690"/>
    <w:rsid w:val="0017371A"/>
    <w:rsid w:val="0017372A"/>
    <w:rsid w:val="0017372E"/>
    <w:rsid w:val="0017376D"/>
    <w:rsid w:val="001738AE"/>
    <w:rsid w:val="001739F7"/>
    <w:rsid w:val="00173A75"/>
    <w:rsid w:val="00173C8B"/>
    <w:rsid w:val="00173C8C"/>
    <w:rsid w:val="00173C9F"/>
    <w:rsid w:val="00173CBA"/>
    <w:rsid w:val="00173EA4"/>
    <w:rsid w:val="00173ECA"/>
    <w:rsid w:val="00173F0A"/>
    <w:rsid w:val="00173F4D"/>
    <w:rsid w:val="00173F7C"/>
    <w:rsid w:val="00173FD1"/>
    <w:rsid w:val="00173FF6"/>
    <w:rsid w:val="001740D0"/>
    <w:rsid w:val="001740F4"/>
    <w:rsid w:val="00174193"/>
    <w:rsid w:val="0017426E"/>
    <w:rsid w:val="001742A6"/>
    <w:rsid w:val="00174325"/>
    <w:rsid w:val="0017436F"/>
    <w:rsid w:val="001743AB"/>
    <w:rsid w:val="001743DE"/>
    <w:rsid w:val="0017446A"/>
    <w:rsid w:val="00174480"/>
    <w:rsid w:val="00174484"/>
    <w:rsid w:val="00174497"/>
    <w:rsid w:val="0017452F"/>
    <w:rsid w:val="00174531"/>
    <w:rsid w:val="00174545"/>
    <w:rsid w:val="00174596"/>
    <w:rsid w:val="0017459D"/>
    <w:rsid w:val="001745AD"/>
    <w:rsid w:val="00174602"/>
    <w:rsid w:val="0017467E"/>
    <w:rsid w:val="00174707"/>
    <w:rsid w:val="00174721"/>
    <w:rsid w:val="00174736"/>
    <w:rsid w:val="0017474C"/>
    <w:rsid w:val="0017476A"/>
    <w:rsid w:val="00174B08"/>
    <w:rsid w:val="00174BE1"/>
    <w:rsid w:val="00174CD0"/>
    <w:rsid w:val="00174D5C"/>
    <w:rsid w:val="00174D7A"/>
    <w:rsid w:val="00174D82"/>
    <w:rsid w:val="00174D84"/>
    <w:rsid w:val="00174E6C"/>
    <w:rsid w:val="00174E9E"/>
    <w:rsid w:val="00174EC1"/>
    <w:rsid w:val="0017501B"/>
    <w:rsid w:val="0017503B"/>
    <w:rsid w:val="00175061"/>
    <w:rsid w:val="0017506C"/>
    <w:rsid w:val="0017514D"/>
    <w:rsid w:val="0017515F"/>
    <w:rsid w:val="00175166"/>
    <w:rsid w:val="00175176"/>
    <w:rsid w:val="001751F3"/>
    <w:rsid w:val="0017528D"/>
    <w:rsid w:val="0017536B"/>
    <w:rsid w:val="001753A7"/>
    <w:rsid w:val="0017541A"/>
    <w:rsid w:val="0017542B"/>
    <w:rsid w:val="00175567"/>
    <w:rsid w:val="001755FC"/>
    <w:rsid w:val="00175614"/>
    <w:rsid w:val="00175667"/>
    <w:rsid w:val="0017568D"/>
    <w:rsid w:val="00175719"/>
    <w:rsid w:val="0017578A"/>
    <w:rsid w:val="00175804"/>
    <w:rsid w:val="0017586D"/>
    <w:rsid w:val="00175928"/>
    <w:rsid w:val="00175929"/>
    <w:rsid w:val="00175984"/>
    <w:rsid w:val="00175A00"/>
    <w:rsid w:val="00175A99"/>
    <w:rsid w:val="00175AA5"/>
    <w:rsid w:val="00175B9C"/>
    <w:rsid w:val="00175BEB"/>
    <w:rsid w:val="00175BFC"/>
    <w:rsid w:val="00175C05"/>
    <w:rsid w:val="00175C15"/>
    <w:rsid w:val="00175C66"/>
    <w:rsid w:val="00175D51"/>
    <w:rsid w:val="00175D79"/>
    <w:rsid w:val="00175E85"/>
    <w:rsid w:val="00175E9F"/>
    <w:rsid w:val="00175EE7"/>
    <w:rsid w:val="0017602E"/>
    <w:rsid w:val="0017607C"/>
    <w:rsid w:val="001760C6"/>
    <w:rsid w:val="00176139"/>
    <w:rsid w:val="00176186"/>
    <w:rsid w:val="0017618D"/>
    <w:rsid w:val="0017618E"/>
    <w:rsid w:val="0017627B"/>
    <w:rsid w:val="00176311"/>
    <w:rsid w:val="0017634C"/>
    <w:rsid w:val="0017636C"/>
    <w:rsid w:val="00176372"/>
    <w:rsid w:val="00176439"/>
    <w:rsid w:val="00176454"/>
    <w:rsid w:val="00176489"/>
    <w:rsid w:val="0017649F"/>
    <w:rsid w:val="001764E6"/>
    <w:rsid w:val="00176591"/>
    <w:rsid w:val="00176691"/>
    <w:rsid w:val="001766F0"/>
    <w:rsid w:val="0017671E"/>
    <w:rsid w:val="00176784"/>
    <w:rsid w:val="001767AD"/>
    <w:rsid w:val="00176848"/>
    <w:rsid w:val="0017686D"/>
    <w:rsid w:val="001768A1"/>
    <w:rsid w:val="0017690D"/>
    <w:rsid w:val="00176946"/>
    <w:rsid w:val="00176986"/>
    <w:rsid w:val="001769E1"/>
    <w:rsid w:val="00176A15"/>
    <w:rsid w:val="00176A80"/>
    <w:rsid w:val="00176B16"/>
    <w:rsid w:val="00176BC9"/>
    <w:rsid w:val="00176C55"/>
    <w:rsid w:val="00176C8B"/>
    <w:rsid w:val="00176D77"/>
    <w:rsid w:val="00176DC6"/>
    <w:rsid w:val="00176E01"/>
    <w:rsid w:val="00176E0C"/>
    <w:rsid w:val="00176E3F"/>
    <w:rsid w:val="00176EAB"/>
    <w:rsid w:val="00176EC2"/>
    <w:rsid w:val="00176F10"/>
    <w:rsid w:val="00176F4B"/>
    <w:rsid w:val="00176FBE"/>
    <w:rsid w:val="00177053"/>
    <w:rsid w:val="0017705F"/>
    <w:rsid w:val="001770AC"/>
    <w:rsid w:val="00177107"/>
    <w:rsid w:val="00177166"/>
    <w:rsid w:val="00177171"/>
    <w:rsid w:val="001771B9"/>
    <w:rsid w:val="00177258"/>
    <w:rsid w:val="001772B0"/>
    <w:rsid w:val="001772C6"/>
    <w:rsid w:val="001772F6"/>
    <w:rsid w:val="0017731B"/>
    <w:rsid w:val="00177346"/>
    <w:rsid w:val="0017735E"/>
    <w:rsid w:val="00177377"/>
    <w:rsid w:val="0017752F"/>
    <w:rsid w:val="001775AF"/>
    <w:rsid w:val="001776BC"/>
    <w:rsid w:val="00177740"/>
    <w:rsid w:val="0017775D"/>
    <w:rsid w:val="001777E4"/>
    <w:rsid w:val="0017786D"/>
    <w:rsid w:val="001778B2"/>
    <w:rsid w:val="001778CA"/>
    <w:rsid w:val="001778DF"/>
    <w:rsid w:val="001778FC"/>
    <w:rsid w:val="001779B2"/>
    <w:rsid w:val="00177A55"/>
    <w:rsid w:val="00177AB4"/>
    <w:rsid w:val="00177B53"/>
    <w:rsid w:val="00177BF7"/>
    <w:rsid w:val="00177C0C"/>
    <w:rsid w:val="00177C76"/>
    <w:rsid w:val="00177CB5"/>
    <w:rsid w:val="00177E85"/>
    <w:rsid w:val="00177F2B"/>
    <w:rsid w:val="00180085"/>
    <w:rsid w:val="00180117"/>
    <w:rsid w:val="0018017B"/>
    <w:rsid w:val="00180215"/>
    <w:rsid w:val="001802AA"/>
    <w:rsid w:val="00180363"/>
    <w:rsid w:val="00180365"/>
    <w:rsid w:val="00180386"/>
    <w:rsid w:val="001803D8"/>
    <w:rsid w:val="0018041E"/>
    <w:rsid w:val="0018043C"/>
    <w:rsid w:val="00180447"/>
    <w:rsid w:val="0018046D"/>
    <w:rsid w:val="001804A8"/>
    <w:rsid w:val="001804DC"/>
    <w:rsid w:val="001804E2"/>
    <w:rsid w:val="0018054E"/>
    <w:rsid w:val="001805CC"/>
    <w:rsid w:val="001805E6"/>
    <w:rsid w:val="00180610"/>
    <w:rsid w:val="001806B0"/>
    <w:rsid w:val="001806D1"/>
    <w:rsid w:val="001806D2"/>
    <w:rsid w:val="00180720"/>
    <w:rsid w:val="00180721"/>
    <w:rsid w:val="0018075E"/>
    <w:rsid w:val="00180778"/>
    <w:rsid w:val="0018077C"/>
    <w:rsid w:val="00180794"/>
    <w:rsid w:val="00180822"/>
    <w:rsid w:val="00180846"/>
    <w:rsid w:val="00180882"/>
    <w:rsid w:val="00180890"/>
    <w:rsid w:val="0018098E"/>
    <w:rsid w:val="001809B4"/>
    <w:rsid w:val="001809C6"/>
    <w:rsid w:val="00180A77"/>
    <w:rsid w:val="00180BD4"/>
    <w:rsid w:val="00180C9C"/>
    <w:rsid w:val="00180CB1"/>
    <w:rsid w:val="00180D65"/>
    <w:rsid w:val="00180D7D"/>
    <w:rsid w:val="00180E41"/>
    <w:rsid w:val="00180EBA"/>
    <w:rsid w:val="00180F77"/>
    <w:rsid w:val="00180F88"/>
    <w:rsid w:val="00180FA5"/>
    <w:rsid w:val="00180FE0"/>
    <w:rsid w:val="00180FF4"/>
    <w:rsid w:val="00181087"/>
    <w:rsid w:val="00181094"/>
    <w:rsid w:val="0018109E"/>
    <w:rsid w:val="001810DE"/>
    <w:rsid w:val="0018111E"/>
    <w:rsid w:val="001811D3"/>
    <w:rsid w:val="0018120D"/>
    <w:rsid w:val="0018121C"/>
    <w:rsid w:val="0018134A"/>
    <w:rsid w:val="00181380"/>
    <w:rsid w:val="001813D2"/>
    <w:rsid w:val="00181444"/>
    <w:rsid w:val="001815C4"/>
    <w:rsid w:val="001815FA"/>
    <w:rsid w:val="00181607"/>
    <w:rsid w:val="0018162E"/>
    <w:rsid w:val="00181630"/>
    <w:rsid w:val="0018167C"/>
    <w:rsid w:val="001816A1"/>
    <w:rsid w:val="001816C0"/>
    <w:rsid w:val="00181727"/>
    <w:rsid w:val="00181820"/>
    <w:rsid w:val="00181862"/>
    <w:rsid w:val="00181875"/>
    <w:rsid w:val="0018189D"/>
    <w:rsid w:val="00181912"/>
    <w:rsid w:val="00181968"/>
    <w:rsid w:val="00181A5B"/>
    <w:rsid w:val="00181A7E"/>
    <w:rsid w:val="00181B18"/>
    <w:rsid w:val="00181B2C"/>
    <w:rsid w:val="00181C12"/>
    <w:rsid w:val="00181D5D"/>
    <w:rsid w:val="00181DFF"/>
    <w:rsid w:val="00181E14"/>
    <w:rsid w:val="00181E7C"/>
    <w:rsid w:val="00181F68"/>
    <w:rsid w:val="00182027"/>
    <w:rsid w:val="00182099"/>
    <w:rsid w:val="001820E3"/>
    <w:rsid w:val="0018211E"/>
    <w:rsid w:val="001821B4"/>
    <w:rsid w:val="001821CC"/>
    <w:rsid w:val="00182239"/>
    <w:rsid w:val="0018224D"/>
    <w:rsid w:val="001822F4"/>
    <w:rsid w:val="00182390"/>
    <w:rsid w:val="001823AA"/>
    <w:rsid w:val="001826E0"/>
    <w:rsid w:val="001827C3"/>
    <w:rsid w:val="001827CD"/>
    <w:rsid w:val="001827D0"/>
    <w:rsid w:val="001827E2"/>
    <w:rsid w:val="00182861"/>
    <w:rsid w:val="001828A0"/>
    <w:rsid w:val="001828BF"/>
    <w:rsid w:val="001829BC"/>
    <w:rsid w:val="00182A36"/>
    <w:rsid w:val="00182A4C"/>
    <w:rsid w:val="00182A6F"/>
    <w:rsid w:val="00182B0D"/>
    <w:rsid w:val="00182C08"/>
    <w:rsid w:val="00182C69"/>
    <w:rsid w:val="00182D2B"/>
    <w:rsid w:val="00182E3E"/>
    <w:rsid w:val="00182EFE"/>
    <w:rsid w:val="00182FA5"/>
    <w:rsid w:val="00182FB4"/>
    <w:rsid w:val="0018303A"/>
    <w:rsid w:val="0018309B"/>
    <w:rsid w:val="001830AD"/>
    <w:rsid w:val="001830CA"/>
    <w:rsid w:val="001830E3"/>
    <w:rsid w:val="0018310B"/>
    <w:rsid w:val="00183280"/>
    <w:rsid w:val="00183281"/>
    <w:rsid w:val="001833EC"/>
    <w:rsid w:val="001833F6"/>
    <w:rsid w:val="0018353A"/>
    <w:rsid w:val="00183547"/>
    <w:rsid w:val="0018356B"/>
    <w:rsid w:val="0018356F"/>
    <w:rsid w:val="0018357B"/>
    <w:rsid w:val="00183629"/>
    <w:rsid w:val="00183685"/>
    <w:rsid w:val="00183738"/>
    <w:rsid w:val="00183741"/>
    <w:rsid w:val="00183742"/>
    <w:rsid w:val="0018376B"/>
    <w:rsid w:val="001837D3"/>
    <w:rsid w:val="00183801"/>
    <w:rsid w:val="00183848"/>
    <w:rsid w:val="001838FB"/>
    <w:rsid w:val="0018391D"/>
    <w:rsid w:val="00183937"/>
    <w:rsid w:val="001839BB"/>
    <w:rsid w:val="00183A04"/>
    <w:rsid w:val="00183AC7"/>
    <w:rsid w:val="00183B17"/>
    <w:rsid w:val="00183BD5"/>
    <w:rsid w:val="00183C59"/>
    <w:rsid w:val="00183D22"/>
    <w:rsid w:val="00183D94"/>
    <w:rsid w:val="00183E32"/>
    <w:rsid w:val="00183EE6"/>
    <w:rsid w:val="00183F21"/>
    <w:rsid w:val="00183F34"/>
    <w:rsid w:val="00183FB8"/>
    <w:rsid w:val="0018402D"/>
    <w:rsid w:val="00184045"/>
    <w:rsid w:val="0018409C"/>
    <w:rsid w:val="00184108"/>
    <w:rsid w:val="0018412D"/>
    <w:rsid w:val="001841A1"/>
    <w:rsid w:val="001841EC"/>
    <w:rsid w:val="0018425D"/>
    <w:rsid w:val="00184272"/>
    <w:rsid w:val="001843BF"/>
    <w:rsid w:val="00184429"/>
    <w:rsid w:val="00184481"/>
    <w:rsid w:val="0018454B"/>
    <w:rsid w:val="001845AB"/>
    <w:rsid w:val="001845BB"/>
    <w:rsid w:val="00184624"/>
    <w:rsid w:val="0018479C"/>
    <w:rsid w:val="001848D1"/>
    <w:rsid w:val="00184927"/>
    <w:rsid w:val="001849F4"/>
    <w:rsid w:val="00184A01"/>
    <w:rsid w:val="00184A15"/>
    <w:rsid w:val="00184A68"/>
    <w:rsid w:val="00184B8F"/>
    <w:rsid w:val="00184BC9"/>
    <w:rsid w:val="00184D20"/>
    <w:rsid w:val="00184D84"/>
    <w:rsid w:val="00184D9A"/>
    <w:rsid w:val="00184DA4"/>
    <w:rsid w:val="00184E30"/>
    <w:rsid w:val="00184F15"/>
    <w:rsid w:val="00184FD1"/>
    <w:rsid w:val="00185068"/>
    <w:rsid w:val="001850C7"/>
    <w:rsid w:val="0018516C"/>
    <w:rsid w:val="00185308"/>
    <w:rsid w:val="00185364"/>
    <w:rsid w:val="00185399"/>
    <w:rsid w:val="0018544F"/>
    <w:rsid w:val="0018545B"/>
    <w:rsid w:val="0018545C"/>
    <w:rsid w:val="001854DB"/>
    <w:rsid w:val="001854F1"/>
    <w:rsid w:val="001855FA"/>
    <w:rsid w:val="0018563E"/>
    <w:rsid w:val="001856B7"/>
    <w:rsid w:val="001858C8"/>
    <w:rsid w:val="001858FF"/>
    <w:rsid w:val="00185A65"/>
    <w:rsid w:val="00185AB1"/>
    <w:rsid w:val="00185AB5"/>
    <w:rsid w:val="00185B15"/>
    <w:rsid w:val="00185C1A"/>
    <w:rsid w:val="00185C1C"/>
    <w:rsid w:val="00185C94"/>
    <w:rsid w:val="00185D27"/>
    <w:rsid w:val="00185D61"/>
    <w:rsid w:val="00185DA5"/>
    <w:rsid w:val="00185E54"/>
    <w:rsid w:val="00185E56"/>
    <w:rsid w:val="00185EA1"/>
    <w:rsid w:val="00185ECB"/>
    <w:rsid w:val="00185F13"/>
    <w:rsid w:val="00185F72"/>
    <w:rsid w:val="00185F8C"/>
    <w:rsid w:val="00185FB8"/>
    <w:rsid w:val="00186043"/>
    <w:rsid w:val="0018605A"/>
    <w:rsid w:val="001860BF"/>
    <w:rsid w:val="00186104"/>
    <w:rsid w:val="00186229"/>
    <w:rsid w:val="0018622A"/>
    <w:rsid w:val="00186263"/>
    <w:rsid w:val="0018634E"/>
    <w:rsid w:val="00186356"/>
    <w:rsid w:val="001863FA"/>
    <w:rsid w:val="001865AA"/>
    <w:rsid w:val="0018660E"/>
    <w:rsid w:val="001866C8"/>
    <w:rsid w:val="00186885"/>
    <w:rsid w:val="001868F8"/>
    <w:rsid w:val="00186920"/>
    <w:rsid w:val="0018697A"/>
    <w:rsid w:val="00186A1D"/>
    <w:rsid w:val="00186A65"/>
    <w:rsid w:val="00186AD2"/>
    <w:rsid w:val="00186BC0"/>
    <w:rsid w:val="00186C9D"/>
    <w:rsid w:val="00186D10"/>
    <w:rsid w:val="00186D4E"/>
    <w:rsid w:val="00186DA4"/>
    <w:rsid w:val="00186F8A"/>
    <w:rsid w:val="00186F8C"/>
    <w:rsid w:val="00187038"/>
    <w:rsid w:val="0018705A"/>
    <w:rsid w:val="00187080"/>
    <w:rsid w:val="00187118"/>
    <w:rsid w:val="00187131"/>
    <w:rsid w:val="0018716D"/>
    <w:rsid w:val="0018717C"/>
    <w:rsid w:val="001871A6"/>
    <w:rsid w:val="001871B8"/>
    <w:rsid w:val="001871BE"/>
    <w:rsid w:val="001871C5"/>
    <w:rsid w:val="001872BF"/>
    <w:rsid w:val="0018731D"/>
    <w:rsid w:val="001873AE"/>
    <w:rsid w:val="00187523"/>
    <w:rsid w:val="0018759E"/>
    <w:rsid w:val="001876C5"/>
    <w:rsid w:val="00187807"/>
    <w:rsid w:val="00187822"/>
    <w:rsid w:val="00187863"/>
    <w:rsid w:val="001878D9"/>
    <w:rsid w:val="0018794E"/>
    <w:rsid w:val="00187968"/>
    <w:rsid w:val="001879EC"/>
    <w:rsid w:val="00187A17"/>
    <w:rsid w:val="00187A19"/>
    <w:rsid w:val="00187A20"/>
    <w:rsid w:val="00187ABD"/>
    <w:rsid w:val="00187B77"/>
    <w:rsid w:val="00187D6D"/>
    <w:rsid w:val="00187D8D"/>
    <w:rsid w:val="00187E8F"/>
    <w:rsid w:val="00187E9E"/>
    <w:rsid w:val="00187EFE"/>
    <w:rsid w:val="00187F01"/>
    <w:rsid w:val="00187F4F"/>
    <w:rsid w:val="00187FA6"/>
    <w:rsid w:val="00187FD8"/>
    <w:rsid w:val="00187FE4"/>
    <w:rsid w:val="00187FE6"/>
    <w:rsid w:val="00187FF5"/>
    <w:rsid w:val="001900A4"/>
    <w:rsid w:val="001900F8"/>
    <w:rsid w:val="00190193"/>
    <w:rsid w:val="00190251"/>
    <w:rsid w:val="001902CF"/>
    <w:rsid w:val="00190336"/>
    <w:rsid w:val="001903B2"/>
    <w:rsid w:val="001903DA"/>
    <w:rsid w:val="0019040A"/>
    <w:rsid w:val="0019042D"/>
    <w:rsid w:val="00190455"/>
    <w:rsid w:val="0019045C"/>
    <w:rsid w:val="00190485"/>
    <w:rsid w:val="00190518"/>
    <w:rsid w:val="00190537"/>
    <w:rsid w:val="001905A3"/>
    <w:rsid w:val="001905B8"/>
    <w:rsid w:val="00190650"/>
    <w:rsid w:val="00190678"/>
    <w:rsid w:val="00190724"/>
    <w:rsid w:val="001907B7"/>
    <w:rsid w:val="00190812"/>
    <w:rsid w:val="00190819"/>
    <w:rsid w:val="00190822"/>
    <w:rsid w:val="001908A0"/>
    <w:rsid w:val="0019090A"/>
    <w:rsid w:val="0019095B"/>
    <w:rsid w:val="001909D9"/>
    <w:rsid w:val="001909FE"/>
    <w:rsid w:val="00190A38"/>
    <w:rsid w:val="00190A53"/>
    <w:rsid w:val="00190A5F"/>
    <w:rsid w:val="00190A86"/>
    <w:rsid w:val="00190ADC"/>
    <w:rsid w:val="00190AF5"/>
    <w:rsid w:val="00190C27"/>
    <w:rsid w:val="00190CB3"/>
    <w:rsid w:val="00190CC5"/>
    <w:rsid w:val="00190CED"/>
    <w:rsid w:val="00190D4D"/>
    <w:rsid w:val="00190DBC"/>
    <w:rsid w:val="00190F6A"/>
    <w:rsid w:val="00190FB8"/>
    <w:rsid w:val="0019103F"/>
    <w:rsid w:val="00191052"/>
    <w:rsid w:val="00191077"/>
    <w:rsid w:val="001910BD"/>
    <w:rsid w:val="0019113B"/>
    <w:rsid w:val="00191187"/>
    <w:rsid w:val="00191254"/>
    <w:rsid w:val="00191261"/>
    <w:rsid w:val="00191265"/>
    <w:rsid w:val="0019130D"/>
    <w:rsid w:val="00191328"/>
    <w:rsid w:val="001913A1"/>
    <w:rsid w:val="00191434"/>
    <w:rsid w:val="00191436"/>
    <w:rsid w:val="001914CD"/>
    <w:rsid w:val="00191520"/>
    <w:rsid w:val="0019154C"/>
    <w:rsid w:val="00191556"/>
    <w:rsid w:val="0019157A"/>
    <w:rsid w:val="0019159A"/>
    <w:rsid w:val="001915F3"/>
    <w:rsid w:val="001916BF"/>
    <w:rsid w:val="00191736"/>
    <w:rsid w:val="00191741"/>
    <w:rsid w:val="001917DB"/>
    <w:rsid w:val="0019180F"/>
    <w:rsid w:val="00191911"/>
    <w:rsid w:val="0019191F"/>
    <w:rsid w:val="00191946"/>
    <w:rsid w:val="00191997"/>
    <w:rsid w:val="001919A9"/>
    <w:rsid w:val="001919CA"/>
    <w:rsid w:val="00191AE8"/>
    <w:rsid w:val="00191B22"/>
    <w:rsid w:val="00191C96"/>
    <w:rsid w:val="00191CE9"/>
    <w:rsid w:val="00191D0F"/>
    <w:rsid w:val="00191E17"/>
    <w:rsid w:val="00191E3A"/>
    <w:rsid w:val="00191E4D"/>
    <w:rsid w:val="00191E68"/>
    <w:rsid w:val="00191EB6"/>
    <w:rsid w:val="00191F14"/>
    <w:rsid w:val="00191FD8"/>
    <w:rsid w:val="00192038"/>
    <w:rsid w:val="00192051"/>
    <w:rsid w:val="001920B5"/>
    <w:rsid w:val="001920EA"/>
    <w:rsid w:val="0019214D"/>
    <w:rsid w:val="001921DD"/>
    <w:rsid w:val="00192272"/>
    <w:rsid w:val="001923AB"/>
    <w:rsid w:val="001923DE"/>
    <w:rsid w:val="00192411"/>
    <w:rsid w:val="0019257F"/>
    <w:rsid w:val="0019258E"/>
    <w:rsid w:val="0019263A"/>
    <w:rsid w:val="0019264B"/>
    <w:rsid w:val="0019268B"/>
    <w:rsid w:val="001926BC"/>
    <w:rsid w:val="00192780"/>
    <w:rsid w:val="001927CB"/>
    <w:rsid w:val="00192835"/>
    <w:rsid w:val="00192880"/>
    <w:rsid w:val="001928AD"/>
    <w:rsid w:val="00192959"/>
    <w:rsid w:val="00192A5B"/>
    <w:rsid w:val="00192A6F"/>
    <w:rsid w:val="00192AA5"/>
    <w:rsid w:val="00192B0E"/>
    <w:rsid w:val="00192BD8"/>
    <w:rsid w:val="00192C3F"/>
    <w:rsid w:val="00192CE7"/>
    <w:rsid w:val="00192CEA"/>
    <w:rsid w:val="00192D26"/>
    <w:rsid w:val="00192D4B"/>
    <w:rsid w:val="00192D8D"/>
    <w:rsid w:val="00192D8E"/>
    <w:rsid w:val="00192E01"/>
    <w:rsid w:val="00192E46"/>
    <w:rsid w:val="00192E49"/>
    <w:rsid w:val="00192E5F"/>
    <w:rsid w:val="00192EBB"/>
    <w:rsid w:val="00192F62"/>
    <w:rsid w:val="00193070"/>
    <w:rsid w:val="001930E4"/>
    <w:rsid w:val="001931B0"/>
    <w:rsid w:val="001931DD"/>
    <w:rsid w:val="0019326F"/>
    <w:rsid w:val="00193352"/>
    <w:rsid w:val="00193388"/>
    <w:rsid w:val="001934A7"/>
    <w:rsid w:val="001934BF"/>
    <w:rsid w:val="00193563"/>
    <w:rsid w:val="00193610"/>
    <w:rsid w:val="001936AF"/>
    <w:rsid w:val="00193723"/>
    <w:rsid w:val="00193777"/>
    <w:rsid w:val="00193792"/>
    <w:rsid w:val="00193803"/>
    <w:rsid w:val="0019382D"/>
    <w:rsid w:val="0019392F"/>
    <w:rsid w:val="0019399A"/>
    <w:rsid w:val="001939CA"/>
    <w:rsid w:val="001939E6"/>
    <w:rsid w:val="00193B08"/>
    <w:rsid w:val="00193BE8"/>
    <w:rsid w:val="00193BF1"/>
    <w:rsid w:val="00193CED"/>
    <w:rsid w:val="00193DD8"/>
    <w:rsid w:val="00193DEC"/>
    <w:rsid w:val="00193E36"/>
    <w:rsid w:val="00193F1D"/>
    <w:rsid w:val="00193FDD"/>
    <w:rsid w:val="001941B3"/>
    <w:rsid w:val="001942DE"/>
    <w:rsid w:val="0019436E"/>
    <w:rsid w:val="0019448B"/>
    <w:rsid w:val="001944A4"/>
    <w:rsid w:val="001944CD"/>
    <w:rsid w:val="001944EA"/>
    <w:rsid w:val="00194551"/>
    <w:rsid w:val="001945C1"/>
    <w:rsid w:val="001945E4"/>
    <w:rsid w:val="001945FC"/>
    <w:rsid w:val="00194645"/>
    <w:rsid w:val="00194652"/>
    <w:rsid w:val="0019468C"/>
    <w:rsid w:val="001946D1"/>
    <w:rsid w:val="00194832"/>
    <w:rsid w:val="0019487F"/>
    <w:rsid w:val="00194885"/>
    <w:rsid w:val="00194919"/>
    <w:rsid w:val="00194962"/>
    <w:rsid w:val="00194973"/>
    <w:rsid w:val="00194A24"/>
    <w:rsid w:val="00194B01"/>
    <w:rsid w:val="00194B84"/>
    <w:rsid w:val="00194BB5"/>
    <w:rsid w:val="00194BC3"/>
    <w:rsid w:val="00194C4D"/>
    <w:rsid w:val="00194CF2"/>
    <w:rsid w:val="00194D30"/>
    <w:rsid w:val="00194D47"/>
    <w:rsid w:val="00194D98"/>
    <w:rsid w:val="00194E85"/>
    <w:rsid w:val="00194F31"/>
    <w:rsid w:val="00194F79"/>
    <w:rsid w:val="00195000"/>
    <w:rsid w:val="001950C0"/>
    <w:rsid w:val="001950FF"/>
    <w:rsid w:val="0019514B"/>
    <w:rsid w:val="0019525B"/>
    <w:rsid w:val="00195283"/>
    <w:rsid w:val="001952B0"/>
    <w:rsid w:val="001953B4"/>
    <w:rsid w:val="001953CF"/>
    <w:rsid w:val="001953D4"/>
    <w:rsid w:val="0019540C"/>
    <w:rsid w:val="0019541D"/>
    <w:rsid w:val="00195475"/>
    <w:rsid w:val="0019549E"/>
    <w:rsid w:val="001954E5"/>
    <w:rsid w:val="001954F2"/>
    <w:rsid w:val="001954F6"/>
    <w:rsid w:val="001954FE"/>
    <w:rsid w:val="00195524"/>
    <w:rsid w:val="001955D1"/>
    <w:rsid w:val="00195666"/>
    <w:rsid w:val="00195693"/>
    <w:rsid w:val="00195730"/>
    <w:rsid w:val="001957EC"/>
    <w:rsid w:val="0019584D"/>
    <w:rsid w:val="001958AA"/>
    <w:rsid w:val="001958CF"/>
    <w:rsid w:val="00195983"/>
    <w:rsid w:val="001959A9"/>
    <w:rsid w:val="001959CA"/>
    <w:rsid w:val="00195A3A"/>
    <w:rsid w:val="00195A65"/>
    <w:rsid w:val="00195AE0"/>
    <w:rsid w:val="00195AE4"/>
    <w:rsid w:val="00195B49"/>
    <w:rsid w:val="00195C3E"/>
    <w:rsid w:val="00195C68"/>
    <w:rsid w:val="00195CB3"/>
    <w:rsid w:val="00195D7E"/>
    <w:rsid w:val="00195DA4"/>
    <w:rsid w:val="00195DAF"/>
    <w:rsid w:val="00195EAC"/>
    <w:rsid w:val="00195EF0"/>
    <w:rsid w:val="00195F04"/>
    <w:rsid w:val="00195FB8"/>
    <w:rsid w:val="00195FBE"/>
    <w:rsid w:val="00195FC2"/>
    <w:rsid w:val="00195FD2"/>
    <w:rsid w:val="001960D1"/>
    <w:rsid w:val="001960EA"/>
    <w:rsid w:val="001960FB"/>
    <w:rsid w:val="00196117"/>
    <w:rsid w:val="0019614F"/>
    <w:rsid w:val="00196258"/>
    <w:rsid w:val="001962B6"/>
    <w:rsid w:val="0019630B"/>
    <w:rsid w:val="0019637C"/>
    <w:rsid w:val="00196461"/>
    <w:rsid w:val="001964E4"/>
    <w:rsid w:val="00196511"/>
    <w:rsid w:val="00196542"/>
    <w:rsid w:val="00196555"/>
    <w:rsid w:val="0019656F"/>
    <w:rsid w:val="0019660A"/>
    <w:rsid w:val="0019660D"/>
    <w:rsid w:val="0019663D"/>
    <w:rsid w:val="0019667B"/>
    <w:rsid w:val="001967C7"/>
    <w:rsid w:val="0019682D"/>
    <w:rsid w:val="0019685B"/>
    <w:rsid w:val="00196865"/>
    <w:rsid w:val="00196891"/>
    <w:rsid w:val="00196907"/>
    <w:rsid w:val="00196A3D"/>
    <w:rsid w:val="00196A7E"/>
    <w:rsid w:val="00196A8A"/>
    <w:rsid w:val="00196AA5"/>
    <w:rsid w:val="00196AB8"/>
    <w:rsid w:val="00196AF1"/>
    <w:rsid w:val="00196B15"/>
    <w:rsid w:val="00196B2D"/>
    <w:rsid w:val="00196C25"/>
    <w:rsid w:val="00196C74"/>
    <w:rsid w:val="00196D2C"/>
    <w:rsid w:val="00196DF9"/>
    <w:rsid w:val="00196EB9"/>
    <w:rsid w:val="00196F67"/>
    <w:rsid w:val="00196FA3"/>
    <w:rsid w:val="00196FA9"/>
    <w:rsid w:val="00196FFA"/>
    <w:rsid w:val="00197034"/>
    <w:rsid w:val="001970A5"/>
    <w:rsid w:val="001970AE"/>
    <w:rsid w:val="0019719F"/>
    <w:rsid w:val="001971A9"/>
    <w:rsid w:val="001971C3"/>
    <w:rsid w:val="0019723E"/>
    <w:rsid w:val="00197260"/>
    <w:rsid w:val="001972F4"/>
    <w:rsid w:val="00197421"/>
    <w:rsid w:val="00197435"/>
    <w:rsid w:val="0019751F"/>
    <w:rsid w:val="00197572"/>
    <w:rsid w:val="0019768A"/>
    <w:rsid w:val="001976C6"/>
    <w:rsid w:val="00197758"/>
    <w:rsid w:val="00197827"/>
    <w:rsid w:val="001978AF"/>
    <w:rsid w:val="001978F4"/>
    <w:rsid w:val="00197915"/>
    <w:rsid w:val="00197952"/>
    <w:rsid w:val="001979B5"/>
    <w:rsid w:val="00197A65"/>
    <w:rsid w:val="00197B8D"/>
    <w:rsid w:val="00197C1F"/>
    <w:rsid w:val="00197C48"/>
    <w:rsid w:val="00197D10"/>
    <w:rsid w:val="00197D48"/>
    <w:rsid w:val="00197D4B"/>
    <w:rsid w:val="00197D8D"/>
    <w:rsid w:val="00197DC2"/>
    <w:rsid w:val="00197E33"/>
    <w:rsid w:val="00197E7B"/>
    <w:rsid w:val="00197F5E"/>
    <w:rsid w:val="00197FD0"/>
    <w:rsid w:val="001A0095"/>
    <w:rsid w:val="001A00E4"/>
    <w:rsid w:val="001A015E"/>
    <w:rsid w:val="001A02B5"/>
    <w:rsid w:val="001A02B6"/>
    <w:rsid w:val="001A039D"/>
    <w:rsid w:val="001A03BD"/>
    <w:rsid w:val="001A03CD"/>
    <w:rsid w:val="001A043A"/>
    <w:rsid w:val="001A045E"/>
    <w:rsid w:val="001A0493"/>
    <w:rsid w:val="001A04EC"/>
    <w:rsid w:val="001A0687"/>
    <w:rsid w:val="001A0694"/>
    <w:rsid w:val="001A0697"/>
    <w:rsid w:val="001A06B4"/>
    <w:rsid w:val="001A0737"/>
    <w:rsid w:val="001A07CC"/>
    <w:rsid w:val="001A07EC"/>
    <w:rsid w:val="001A088E"/>
    <w:rsid w:val="001A088F"/>
    <w:rsid w:val="001A08A5"/>
    <w:rsid w:val="001A08CE"/>
    <w:rsid w:val="001A095A"/>
    <w:rsid w:val="001A09DD"/>
    <w:rsid w:val="001A0A3D"/>
    <w:rsid w:val="001A0BDC"/>
    <w:rsid w:val="001A0C43"/>
    <w:rsid w:val="001A0CF5"/>
    <w:rsid w:val="001A0D2E"/>
    <w:rsid w:val="001A0D8E"/>
    <w:rsid w:val="001A0D93"/>
    <w:rsid w:val="001A0E56"/>
    <w:rsid w:val="001A0E60"/>
    <w:rsid w:val="001A0E74"/>
    <w:rsid w:val="001A0F00"/>
    <w:rsid w:val="001A106A"/>
    <w:rsid w:val="001A113E"/>
    <w:rsid w:val="001A1294"/>
    <w:rsid w:val="001A13BD"/>
    <w:rsid w:val="001A1425"/>
    <w:rsid w:val="001A1483"/>
    <w:rsid w:val="001A14F2"/>
    <w:rsid w:val="001A1540"/>
    <w:rsid w:val="001A15B7"/>
    <w:rsid w:val="001A16D0"/>
    <w:rsid w:val="001A1713"/>
    <w:rsid w:val="001A1735"/>
    <w:rsid w:val="001A17B0"/>
    <w:rsid w:val="001A1805"/>
    <w:rsid w:val="001A1864"/>
    <w:rsid w:val="001A186C"/>
    <w:rsid w:val="001A18A4"/>
    <w:rsid w:val="001A18CD"/>
    <w:rsid w:val="001A192F"/>
    <w:rsid w:val="001A1989"/>
    <w:rsid w:val="001A199B"/>
    <w:rsid w:val="001A19A4"/>
    <w:rsid w:val="001A1B29"/>
    <w:rsid w:val="001A1BB7"/>
    <w:rsid w:val="001A1BBE"/>
    <w:rsid w:val="001A1BD0"/>
    <w:rsid w:val="001A1C15"/>
    <w:rsid w:val="001A1C7C"/>
    <w:rsid w:val="001A1D4B"/>
    <w:rsid w:val="001A1E79"/>
    <w:rsid w:val="001A1EEF"/>
    <w:rsid w:val="001A1F08"/>
    <w:rsid w:val="001A1F92"/>
    <w:rsid w:val="001A1FAF"/>
    <w:rsid w:val="001A1FC8"/>
    <w:rsid w:val="001A2033"/>
    <w:rsid w:val="001A2085"/>
    <w:rsid w:val="001A21F1"/>
    <w:rsid w:val="001A220D"/>
    <w:rsid w:val="001A228A"/>
    <w:rsid w:val="001A22BE"/>
    <w:rsid w:val="001A238C"/>
    <w:rsid w:val="001A2582"/>
    <w:rsid w:val="001A25E2"/>
    <w:rsid w:val="001A2602"/>
    <w:rsid w:val="001A2649"/>
    <w:rsid w:val="001A2676"/>
    <w:rsid w:val="001A27A7"/>
    <w:rsid w:val="001A28B4"/>
    <w:rsid w:val="001A2943"/>
    <w:rsid w:val="001A295B"/>
    <w:rsid w:val="001A2A8D"/>
    <w:rsid w:val="001A2AAD"/>
    <w:rsid w:val="001A2AE7"/>
    <w:rsid w:val="001A2B4E"/>
    <w:rsid w:val="001A2C27"/>
    <w:rsid w:val="001A2CB3"/>
    <w:rsid w:val="001A2CE6"/>
    <w:rsid w:val="001A2D0F"/>
    <w:rsid w:val="001A2D32"/>
    <w:rsid w:val="001A2DE7"/>
    <w:rsid w:val="001A2DFA"/>
    <w:rsid w:val="001A2E53"/>
    <w:rsid w:val="001A2EAD"/>
    <w:rsid w:val="001A2EFA"/>
    <w:rsid w:val="001A2F9F"/>
    <w:rsid w:val="001A2FAC"/>
    <w:rsid w:val="001A2FF5"/>
    <w:rsid w:val="001A3040"/>
    <w:rsid w:val="001A3041"/>
    <w:rsid w:val="001A30E3"/>
    <w:rsid w:val="001A3106"/>
    <w:rsid w:val="001A313C"/>
    <w:rsid w:val="001A314A"/>
    <w:rsid w:val="001A31F5"/>
    <w:rsid w:val="001A3243"/>
    <w:rsid w:val="001A341C"/>
    <w:rsid w:val="001A34A9"/>
    <w:rsid w:val="001A34C4"/>
    <w:rsid w:val="001A34C9"/>
    <w:rsid w:val="001A34D3"/>
    <w:rsid w:val="001A34E8"/>
    <w:rsid w:val="001A35E5"/>
    <w:rsid w:val="001A361D"/>
    <w:rsid w:val="001A36DE"/>
    <w:rsid w:val="001A379F"/>
    <w:rsid w:val="001A3837"/>
    <w:rsid w:val="001A389E"/>
    <w:rsid w:val="001A38DD"/>
    <w:rsid w:val="001A391F"/>
    <w:rsid w:val="001A3965"/>
    <w:rsid w:val="001A3A89"/>
    <w:rsid w:val="001A3AD8"/>
    <w:rsid w:val="001A3BDA"/>
    <w:rsid w:val="001A3BDF"/>
    <w:rsid w:val="001A3BE4"/>
    <w:rsid w:val="001A3C42"/>
    <w:rsid w:val="001A3C76"/>
    <w:rsid w:val="001A3CD7"/>
    <w:rsid w:val="001A3D85"/>
    <w:rsid w:val="001A3DA1"/>
    <w:rsid w:val="001A3DB3"/>
    <w:rsid w:val="001A3E6C"/>
    <w:rsid w:val="001A3EC5"/>
    <w:rsid w:val="001A4002"/>
    <w:rsid w:val="001A4135"/>
    <w:rsid w:val="001A41AF"/>
    <w:rsid w:val="001A421D"/>
    <w:rsid w:val="001A424F"/>
    <w:rsid w:val="001A4277"/>
    <w:rsid w:val="001A42EE"/>
    <w:rsid w:val="001A436C"/>
    <w:rsid w:val="001A43E9"/>
    <w:rsid w:val="001A4467"/>
    <w:rsid w:val="001A45CE"/>
    <w:rsid w:val="001A466A"/>
    <w:rsid w:val="001A468E"/>
    <w:rsid w:val="001A46A4"/>
    <w:rsid w:val="001A4722"/>
    <w:rsid w:val="001A4814"/>
    <w:rsid w:val="001A48E7"/>
    <w:rsid w:val="001A48F1"/>
    <w:rsid w:val="001A4918"/>
    <w:rsid w:val="001A4960"/>
    <w:rsid w:val="001A49B9"/>
    <w:rsid w:val="001A4A37"/>
    <w:rsid w:val="001A4A5F"/>
    <w:rsid w:val="001A4B0A"/>
    <w:rsid w:val="001A4B7E"/>
    <w:rsid w:val="001A4B8E"/>
    <w:rsid w:val="001A4BA3"/>
    <w:rsid w:val="001A4BB5"/>
    <w:rsid w:val="001A4BD7"/>
    <w:rsid w:val="001A4C4F"/>
    <w:rsid w:val="001A4CD1"/>
    <w:rsid w:val="001A4D1C"/>
    <w:rsid w:val="001A4DBF"/>
    <w:rsid w:val="001A4E0E"/>
    <w:rsid w:val="001A4E28"/>
    <w:rsid w:val="001A4E75"/>
    <w:rsid w:val="001A4EAB"/>
    <w:rsid w:val="001A4EE9"/>
    <w:rsid w:val="001A4F6E"/>
    <w:rsid w:val="001A4FB2"/>
    <w:rsid w:val="001A4FB4"/>
    <w:rsid w:val="001A4FFA"/>
    <w:rsid w:val="001A5076"/>
    <w:rsid w:val="001A50DE"/>
    <w:rsid w:val="001A5127"/>
    <w:rsid w:val="001A5142"/>
    <w:rsid w:val="001A514D"/>
    <w:rsid w:val="001A51F6"/>
    <w:rsid w:val="001A5276"/>
    <w:rsid w:val="001A52B9"/>
    <w:rsid w:val="001A52E2"/>
    <w:rsid w:val="001A52FE"/>
    <w:rsid w:val="001A5305"/>
    <w:rsid w:val="001A5370"/>
    <w:rsid w:val="001A5423"/>
    <w:rsid w:val="001A54AA"/>
    <w:rsid w:val="001A5536"/>
    <w:rsid w:val="001A555A"/>
    <w:rsid w:val="001A565D"/>
    <w:rsid w:val="001A56E6"/>
    <w:rsid w:val="001A5759"/>
    <w:rsid w:val="001A5771"/>
    <w:rsid w:val="001A5774"/>
    <w:rsid w:val="001A5795"/>
    <w:rsid w:val="001A583D"/>
    <w:rsid w:val="001A585E"/>
    <w:rsid w:val="001A587B"/>
    <w:rsid w:val="001A58FE"/>
    <w:rsid w:val="001A5929"/>
    <w:rsid w:val="001A5B01"/>
    <w:rsid w:val="001A5BBB"/>
    <w:rsid w:val="001A5C0E"/>
    <w:rsid w:val="001A5C66"/>
    <w:rsid w:val="001A5DDE"/>
    <w:rsid w:val="001A5E78"/>
    <w:rsid w:val="001A5E85"/>
    <w:rsid w:val="001A5F3A"/>
    <w:rsid w:val="001A5F60"/>
    <w:rsid w:val="001A600A"/>
    <w:rsid w:val="001A6113"/>
    <w:rsid w:val="001A6238"/>
    <w:rsid w:val="001A6278"/>
    <w:rsid w:val="001A630C"/>
    <w:rsid w:val="001A630E"/>
    <w:rsid w:val="001A6335"/>
    <w:rsid w:val="001A640C"/>
    <w:rsid w:val="001A6430"/>
    <w:rsid w:val="001A6463"/>
    <w:rsid w:val="001A653E"/>
    <w:rsid w:val="001A6573"/>
    <w:rsid w:val="001A65A5"/>
    <w:rsid w:val="001A6623"/>
    <w:rsid w:val="001A663E"/>
    <w:rsid w:val="001A666B"/>
    <w:rsid w:val="001A66A3"/>
    <w:rsid w:val="001A66EE"/>
    <w:rsid w:val="001A677C"/>
    <w:rsid w:val="001A6802"/>
    <w:rsid w:val="001A6875"/>
    <w:rsid w:val="001A68CC"/>
    <w:rsid w:val="001A695E"/>
    <w:rsid w:val="001A69C5"/>
    <w:rsid w:val="001A6A12"/>
    <w:rsid w:val="001A6A8C"/>
    <w:rsid w:val="001A6B31"/>
    <w:rsid w:val="001A6B76"/>
    <w:rsid w:val="001A6BBA"/>
    <w:rsid w:val="001A6CBF"/>
    <w:rsid w:val="001A6CE1"/>
    <w:rsid w:val="001A6CEE"/>
    <w:rsid w:val="001A6D4A"/>
    <w:rsid w:val="001A6DAD"/>
    <w:rsid w:val="001A6E12"/>
    <w:rsid w:val="001A6E19"/>
    <w:rsid w:val="001A700B"/>
    <w:rsid w:val="001A719B"/>
    <w:rsid w:val="001A7230"/>
    <w:rsid w:val="001A7248"/>
    <w:rsid w:val="001A728C"/>
    <w:rsid w:val="001A7353"/>
    <w:rsid w:val="001A7397"/>
    <w:rsid w:val="001A741B"/>
    <w:rsid w:val="001A749B"/>
    <w:rsid w:val="001A750B"/>
    <w:rsid w:val="001A75E7"/>
    <w:rsid w:val="001A75F4"/>
    <w:rsid w:val="001A762D"/>
    <w:rsid w:val="001A7665"/>
    <w:rsid w:val="001A776E"/>
    <w:rsid w:val="001A7771"/>
    <w:rsid w:val="001A77E7"/>
    <w:rsid w:val="001A77FE"/>
    <w:rsid w:val="001A788C"/>
    <w:rsid w:val="001A7931"/>
    <w:rsid w:val="001A7987"/>
    <w:rsid w:val="001A798D"/>
    <w:rsid w:val="001A79AD"/>
    <w:rsid w:val="001A7A04"/>
    <w:rsid w:val="001A7A0A"/>
    <w:rsid w:val="001A7A59"/>
    <w:rsid w:val="001A7A80"/>
    <w:rsid w:val="001A7BC1"/>
    <w:rsid w:val="001A7C76"/>
    <w:rsid w:val="001A7C7A"/>
    <w:rsid w:val="001A7CDB"/>
    <w:rsid w:val="001A7D1E"/>
    <w:rsid w:val="001A7D29"/>
    <w:rsid w:val="001A7D50"/>
    <w:rsid w:val="001A7D66"/>
    <w:rsid w:val="001A7DD0"/>
    <w:rsid w:val="001A7DF4"/>
    <w:rsid w:val="001A7E05"/>
    <w:rsid w:val="001A7E0C"/>
    <w:rsid w:val="001A7E5F"/>
    <w:rsid w:val="001A7ECB"/>
    <w:rsid w:val="001A7ED6"/>
    <w:rsid w:val="001A7F2B"/>
    <w:rsid w:val="001A7FE0"/>
    <w:rsid w:val="001A7FEB"/>
    <w:rsid w:val="001B0082"/>
    <w:rsid w:val="001B0138"/>
    <w:rsid w:val="001B0163"/>
    <w:rsid w:val="001B01DE"/>
    <w:rsid w:val="001B024B"/>
    <w:rsid w:val="001B028F"/>
    <w:rsid w:val="001B0299"/>
    <w:rsid w:val="001B02C2"/>
    <w:rsid w:val="001B02F3"/>
    <w:rsid w:val="001B036B"/>
    <w:rsid w:val="001B04AE"/>
    <w:rsid w:val="001B053E"/>
    <w:rsid w:val="001B058B"/>
    <w:rsid w:val="001B0714"/>
    <w:rsid w:val="001B078B"/>
    <w:rsid w:val="001B07B0"/>
    <w:rsid w:val="001B07C2"/>
    <w:rsid w:val="001B0822"/>
    <w:rsid w:val="001B0876"/>
    <w:rsid w:val="001B08C2"/>
    <w:rsid w:val="001B0979"/>
    <w:rsid w:val="001B0995"/>
    <w:rsid w:val="001B09E4"/>
    <w:rsid w:val="001B0A1C"/>
    <w:rsid w:val="001B0A2C"/>
    <w:rsid w:val="001B0AC3"/>
    <w:rsid w:val="001B0B92"/>
    <w:rsid w:val="001B0C15"/>
    <w:rsid w:val="001B0C5C"/>
    <w:rsid w:val="001B0D4E"/>
    <w:rsid w:val="001B0DBE"/>
    <w:rsid w:val="001B0DDE"/>
    <w:rsid w:val="001B0DE6"/>
    <w:rsid w:val="001B0DEC"/>
    <w:rsid w:val="001B0E45"/>
    <w:rsid w:val="001B0E6F"/>
    <w:rsid w:val="001B0EAE"/>
    <w:rsid w:val="001B1077"/>
    <w:rsid w:val="001B10CB"/>
    <w:rsid w:val="001B1159"/>
    <w:rsid w:val="001B1186"/>
    <w:rsid w:val="001B11D3"/>
    <w:rsid w:val="001B12AA"/>
    <w:rsid w:val="001B1330"/>
    <w:rsid w:val="001B13AE"/>
    <w:rsid w:val="001B141F"/>
    <w:rsid w:val="001B143B"/>
    <w:rsid w:val="001B1442"/>
    <w:rsid w:val="001B144E"/>
    <w:rsid w:val="001B14C0"/>
    <w:rsid w:val="001B14D1"/>
    <w:rsid w:val="001B1565"/>
    <w:rsid w:val="001B163E"/>
    <w:rsid w:val="001B169D"/>
    <w:rsid w:val="001B173A"/>
    <w:rsid w:val="001B175F"/>
    <w:rsid w:val="001B17BF"/>
    <w:rsid w:val="001B17FA"/>
    <w:rsid w:val="001B19DF"/>
    <w:rsid w:val="001B1A59"/>
    <w:rsid w:val="001B1A9B"/>
    <w:rsid w:val="001B1AB0"/>
    <w:rsid w:val="001B1AB6"/>
    <w:rsid w:val="001B1AC4"/>
    <w:rsid w:val="001B1AE6"/>
    <w:rsid w:val="001B1B2D"/>
    <w:rsid w:val="001B1CA3"/>
    <w:rsid w:val="001B1CA4"/>
    <w:rsid w:val="001B1CC4"/>
    <w:rsid w:val="001B1D12"/>
    <w:rsid w:val="001B1D44"/>
    <w:rsid w:val="001B1D54"/>
    <w:rsid w:val="001B1E17"/>
    <w:rsid w:val="001B1E25"/>
    <w:rsid w:val="001B1E4A"/>
    <w:rsid w:val="001B2012"/>
    <w:rsid w:val="001B202B"/>
    <w:rsid w:val="001B211C"/>
    <w:rsid w:val="001B2239"/>
    <w:rsid w:val="001B2241"/>
    <w:rsid w:val="001B22AC"/>
    <w:rsid w:val="001B230D"/>
    <w:rsid w:val="001B2327"/>
    <w:rsid w:val="001B2336"/>
    <w:rsid w:val="001B234B"/>
    <w:rsid w:val="001B2457"/>
    <w:rsid w:val="001B2488"/>
    <w:rsid w:val="001B2525"/>
    <w:rsid w:val="001B253B"/>
    <w:rsid w:val="001B255F"/>
    <w:rsid w:val="001B2566"/>
    <w:rsid w:val="001B25CB"/>
    <w:rsid w:val="001B25E0"/>
    <w:rsid w:val="001B2645"/>
    <w:rsid w:val="001B266B"/>
    <w:rsid w:val="001B26C1"/>
    <w:rsid w:val="001B26C4"/>
    <w:rsid w:val="001B26FA"/>
    <w:rsid w:val="001B2783"/>
    <w:rsid w:val="001B2786"/>
    <w:rsid w:val="001B288E"/>
    <w:rsid w:val="001B28F3"/>
    <w:rsid w:val="001B2993"/>
    <w:rsid w:val="001B2AD1"/>
    <w:rsid w:val="001B2AE5"/>
    <w:rsid w:val="001B2AE7"/>
    <w:rsid w:val="001B2B0C"/>
    <w:rsid w:val="001B2C5A"/>
    <w:rsid w:val="001B2CF1"/>
    <w:rsid w:val="001B2D6D"/>
    <w:rsid w:val="001B2D93"/>
    <w:rsid w:val="001B2E50"/>
    <w:rsid w:val="001B2E71"/>
    <w:rsid w:val="001B2EAB"/>
    <w:rsid w:val="001B2EC4"/>
    <w:rsid w:val="001B2F1F"/>
    <w:rsid w:val="001B2F71"/>
    <w:rsid w:val="001B3048"/>
    <w:rsid w:val="001B309D"/>
    <w:rsid w:val="001B30DA"/>
    <w:rsid w:val="001B3289"/>
    <w:rsid w:val="001B3355"/>
    <w:rsid w:val="001B3436"/>
    <w:rsid w:val="001B34A5"/>
    <w:rsid w:val="001B3504"/>
    <w:rsid w:val="001B3593"/>
    <w:rsid w:val="001B35AC"/>
    <w:rsid w:val="001B3688"/>
    <w:rsid w:val="001B3692"/>
    <w:rsid w:val="001B36A7"/>
    <w:rsid w:val="001B375F"/>
    <w:rsid w:val="001B3779"/>
    <w:rsid w:val="001B379E"/>
    <w:rsid w:val="001B37D3"/>
    <w:rsid w:val="001B37DA"/>
    <w:rsid w:val="001B37FB"/>
    <w:rsid w:val="001B3803"/>
    <w:rsid w:val="001B3821"/>
    <w:rsid w:val="001B3827"/>
    <w:rsid w:val="001B3859"/>
    <w:rsid w:val="001B3871"/>
    <w:rsid w:val="001B3897"/>
    <w:rsid w:val="001B393F"/>
    <w:rsid w:val="001B398A"/>
    <w:rsid w:val="001B39FB"/>
    <w:rsid w:val="001B3AAD"/>
    <w:rsid w:val="001B3B56"/>
    <w:rsid w:val="001B3B68"/>
    <w:rsid w:val="001B3C37"/>
    <w:rsid w:val="001B3CE5"/>
    <w:rsid w:val="001B3D86"/>
    <w:rsid w:val="001B3DC2"/>
    <w:rsid w:val="001B3DEB"/>
    <w:rsid w:val="001B3E0F"/>
    <w:rsid w:val="001B3E1C"/>
    <w:rsid w:val="001B3E3C"/>
    <w:rsid w:val="001B3E5C"/>
    <w:rsid w:val="001B3EC4"/>
    <w:rsid w:val="001B3EDC"/>
    <w:rsid w:val="001B3F0C"/>
    <w:rsid w:val="001B3F8E"/>
    <w:rsid w:val="001B400B"/>
    <w:rsid w:val="001B4055"/>
    <w:rsid w:val="001B410C"/>
    <w:rsid w:val="001B4344"/>
    <w:rsid w:val="001B4398"/>
    <w:rsid w:val="001B43BF"/>
    <w:rsid w:val="001B43FC"/>
    <w:rsid w:val="001B446E"/>
    <w:rsid w:val="001B44F0"/>
    <w:rsid w:val="001B456B"/>
    <w:rsid w:val="001B45F7"/>
    <w:rsid w:val="001B47EE"/>
    <w:rsid w:val="001B480F"/>
    <w:rsid w:val="001B489E"/>
    <w:rsid w:val="001B490C"/>
    <w:rsid w:val="001B4A1D"/>
    <w:rsid w:val="001B4A6F"/>
    <w:rsid w:val="001B4C0E"/>
    <w:rsid w:val="001B4C0F"/>
    <w:rsid w:val="001B4CC5"/>
    <w:rsid w:val="001B4D59"/>
    <w:rsid w:val="001B4E3E"/>
    <w:rsid w:val="001B4E7A"/>
    <w:rsid w:val="001B4F1A"/>
    <w:rsid w:val="001B4F1D"/>
    <w:rsid w:val="001B4F1F"/>
    <w:rsid w:val="001B5054"/>
    <w:rsid w:val="001B5114"/>
    <w:rsid w:val="001B51DD"/>
    <w:rsid w:val="001B5210"/>
    <w:rsid w:val="001B522B"/>
    <w:rsid w:val="001B523A"/>
    <w:rsid w:val="001B525D"/>
    <w:rsid w:val="001B53A2"/>
    <w:rsid w:val="001B54E6"/>
    <w:rsid w:val="001B5552"/>
    <w:rsid w:val="001B55A2"/>
    <w:rsid w:val="001B5616"/>
    <w:rsid w:val="001B5665"/>
    <w:rsid w:val="001B56A4"/>
    <w:rsid w:val="001B56B2"/>
    <w:rsid w:val="001B56F0"/>
    <w:rsid w:val="001B57C0"/>
    <w:rsid w:val="001B57DB"/>
    <w:rsid w:val="001B5804"/>
    <w:rsid w:val="001B5815"/>
    <w:rsid w:val="001B58D9"/>
    <w:rsid w:val="001B58F1"/>
    <w:rsid w:val="001B5A06"/>
    <w:rsid w:val="001B5A2D"/>
    <w:rsid w:val="001B5A54"/>
    <w:rsid w:val="001B5B3D"/>
    <w:rsid w:val="001B5B54"/>
    <w:rsid w:val="001B5B55"/>
    <w:rsid w:val="001B5C47"/>
    <w:rsid w:val="001B5D91"/>
    <w:rsid w:val="001B5E3A"/>
    <w:rsid w:val="001B5E40"/>
    <w:rsid w:val="001B5E94"/>
    <w:rsid w:val="001B5E9F"/>
    <w:rsid w:val="001B5FB0"/>
    <w:rsid w:val="001B5FBD"/>
    <w:rsid w:val="001B606B"/>
    <w:rsid w:val="001B6096"/>
    <w:rsid w:val="001B60F7"/>
    <w:rsid w:val="001B60F8"/>
    <w:rsid w:val="001B617C"/>
    <w:rsid w:val="001B6183"/>
    <w:rsid w:val="001B621E"/>
    <w:rsid w:val="001B6244"/>
    <w:rsid w:val="001B630C"/>
    <w:rsid w:val="001B6339"/>
    <w:rsid w:val="001B635F"/>
    <w:rsid w:val="001B638C"/>
    <w:rsid w:val="001B63A0"/>
    <w:rsid w:val="001B6422"/>
    <w:rsid w:val="001B642D"/>
    <w:rsid w:val="001B651A"/>
    <w:rsid w:val="001B652F"/>
    <w:rsid w:val="001B6544"/>
    <w:rsid w:val="001B656E"/>
    <w:rsid w:val="001B65C3"/>
    <w:rsid w:val="001B6623"/>
    <w:rsid w:val="001B6688"/>
    <w:rsid w:val="001B66AC"/>
    <w:rsid w:val="001B66BA"/>
    <w:rsid w:val="001B67A2"/>
    <w:rsid w:val="001B67D9"/>
    <w:rsid w:val="001B680F"/>
    <w:rsid w:val="001B6892"/>
    <w:rsid w:val="001B6900"/>
    <w:rsid w:val="001B693F"/>
    <w:rsid w:val="001B696D"/>
    <w:rsid w:val="001B69B4"/>
    <w:rsid w:val="001B6A0B"/>
    <w:rsid w:val="001B6AC9"/>
    <w:rsid w:val="001B6B59"/>
    <w:rsid w:val="001B6BDB"/>
    <w:rsid w:val="001B6C6A"/>
    <w:rsid w:val="001B6C70"/>
    <w:rsid w:val="001B6CA7"/>
    <w:rsid w:val="001B6D0E"/>
    <w:rsid w:val="001B6D1E"/>
    <w:rsid w:val="001B6D3B"/>
    <w:rsid w:val="001B6E05"/>
    <w:rsid w:val="001B6E64"/>
    <w:rsid w:val="001B6E91"/>
    <w:rsid w:val="001B6F34"/>
    <w:rsid w:val="001B6F4D"/>
    <w:rsid w:val="001B6FF0"/>
    <w:rsid w:val="001B714A"/>
    <w:rsid w:val="001B716E"/>
    <w:rsid w:val="001B71CD"/>
    <w:rsid w:val="001B721F"/>
    <w:rsid w:val="001B7273"/>
    <w:rsid w:val="001B7376"/>
    <w:rsid w:val="001B739C"/>
    <w:rsid w:val="001B741F"/>
    <w:rsid w:val="001B7515"/>
    <w:rsid w:val="001B7592"/>
    <w:rsid w:val="001B75B3"/>
    <w:rsid w:val="001B75C0"/>
    <w:rsid w:val="001B767F"/>
    <w:rsid w:val="001B76A0"/>
    <w:rsid w:val="001B7715"/>
    <w:rsid w:val="001B77E1"/>
    <w:rsid w:val="001B781E"/>
    <w:rsid w:val="001B78B7"/>
    <w:rsid w:val="001B78C4"/>
    <w:rsid w:val="001B7912"/>
    <w:rsid w:val="001B791B"/>
    <w:rsid w:val="001B7951"/>
    <w:rsid w:val="001B7959"/>
    <w:rsid w:val="001B7A17"/>
    <w:rsid w:val="001B7ABB"/>
    <w:rsid w:val="001B7B89"/>
    <w:rsid w:val="001B7D04"/>
    <w:rsid w:val="001B7D6D"/>
    <w:rsid w:val="001B7DAD"/>
    <w:rsid w:val="001B7E14"/>
    <w:rsid w:val="001B7E2F"/>
    <w:rsid w:val="001B7EEE"/>
    <w:rsid w:val="001B7F43"/>
    <w:rsid w:val="001B7F8B"/>
    <w:rsid w:val="001C004E"/>
    <w:rsid w:val="001C00B6"/>
    <w:rsid w:val="001C0183"/>
    <w:rsid w:val="001C027F"/>
    <w:rsid w:val="001C0301"/>
    <w:rsid w:val="001C0366"/>
    <w:rsid w:val="001C03A8"/>
    <w:rsid w:val="001C0414"/>
    <w:rsid w:val="001C04FC"/>
    <w:rsid w:val="001C05B4"/>
    <w:rsid w:val="001C067F"/>
    <w:rsid w:val="001C077F"/>
    <w:rsid w:val="001C093F"/>
    <w:rsid w:val="001C09FA"/>
    <w:rsid w:val="001C0A2B"/>
    <w:rsid w:val="001C0A56"/>
    <w:rsid w:val="001C0A68"/>
    <w:rsid w:val="001C0ACA"/>
    <w:rsid w:val="001C0AD2"/>
    <w:rsid w:val="001C0B55"/>
    <w:rsid w:val="001C0B5A"/>
    <w:rsid w:val="001C0C43"/>
    <w:rsid w:val="001C0C66"/>
    <w:rsid w:val="001C0C7D"/>
    <w:rsid w:val="001C0DBC"/>
    <w:rsid w:val="001C0E47"/>
    <w:rsid w:val="001C0E89"/>
    <w:rsid w:val="001C0E9B"/>
    <w:rsid w:val="001C0FB3"/>
    <w:rsid w:val="001C0FD4"/>
    <w:rsid w:val="001C0FD7"/>
    <w:rsid w:val="001C109A"/>
    <w:rsid w:val="001C117B"/>
    <w:rsid w:val="001C11C0"/>
    <w:rsid w:val="001C11F0"/>
    <w:rsid w:val="001C1254"/>
    <w:rsid w:val="001C1274"/>
    <w:rsid w:val="001C1315"/>
    <w:rsid w:val="001C138F"/>
    <w:rsid w:val="001C1475"/>
    <w:rsid w:val="001C157E"/>
    <w:rsid w:val="001C15B0"/>
    <w:rsid w:val="001C15C0"/>
    <w:rsid w:val="001C168C"/>
    <w:rsid w:val="001C16A2"/>
    <w:rsid w:val="001C17E1"/>
    <w:rsid w:val="001C17F0"/>
    <w:rsid w:val="001C1823"/>
    <w:rsid w:val="001C187C"/>
    <w:rsid w:val="001C18A3"/>
    <w:rsid w:val="001C1928"/>
    <w:rsid w:val="001C1949"/>
    <w:rsid w:val="001C194D"/>
    <w:rsid w:val="001C197F"/>
    <w:rsid w:val="001C19EE"/>
    <w:rsid w:val="001C1A14"/>
    <w:rsid w:val="001C1A50"/>
    <w:rsid w:val="001C1A51"/>
    <w:rsid w:val="001C1ACC"/>
    <w:rsid w:val="001C1B1B"/>
    <w:rsid w:val="001C1B23"/>
    <w:rsid w:val="001C1B8C"/>
    <w:rsid w:val="001C1BAA"/>
    <w:rsid w:val="001C1BB7"/>
    <w:rsid w:val="001C1BD3"/>
    <w:rsid w:val="001C1C1E"/>
    <w:rsid w:val="001C1C94"/>
    <w:rsid w:val="001C1CEB"/>
    <w:rsid w:val="001C1D7F"/>
    <w:rsid w:val="001C1D99"/>
    <w:rsid w:val="001C1DC6"/>
    <w:rsid w:val="001C1E0E"/>
    <w:rsid w:val="001C1E4C"/>
    <w:rsid w:val="001C1EB0"/>
    <w:rsid w:val="001C1ECA"/>
    <w:rsid w:val="001C1EFB"/>
    <w:rsid w:val="001C1F66"/>
    <w:rsid w:val="001C1FD3"/>
    <w:rsid w:val="001C2041"/>
    <w:rsid w:val="001C20D8"/>
    <w:rsid w:val="001C20F7"/>
    <w:rsid w:val="001C2104"/>
    <w:rsid w:val="001C212E"/>
    <w:rsid w:val="001C216C"/>
    <w:rsid w:val="001C2235"/>
    <w:rsid w:val="001C2266"/>
    <w:rsid w:val="001C22F7"/>
    <w:rsid w:val="001C2323"/>
    <w:rsid w:val="001C2330"/>
    <w:rsid w:val="001C239D"/>
    <w:rsid w:val="001C23E0"/>
    <w:rsid w:val="001C23FA"/>
    <w:rsid w:val="001C250C"/>
    <w:rsid w:val="001C2525"/>
    <w:rsid w:val="001C2691"/>
    <w:rsid w:val="001C274D"/>
    <w:rsid w:val="001C2871"/>
    <w:rsid w:val="001C2932"/>
    <w:rsid w:val="001C2951"/>
    <w:rsid w:val="001C29AF"/>
    <w:rsid w:val="001C29DD"/>
    <w:rsid w:val="001C2B87"/>
    <w:rsid w:val="001C2BBA"/>
    <w:rsid w:val="001C2BBF"/>
    <w:rsid w:val="001C2BC4"/>
    <w:rsid w:val="001C2C7E"/>
    <w:rsid w:val="001C2CB0"/>
    <w:rsid w:val="001C2D58"/>
    <w:rsid w:val="001C2D7C"/>
    <w:rsid w:val="001C2DFB"/>
    <w:rsid w:val="001C2EE8"/>
    <w:rsid w:val="001C2EEE"/>
    <w:rsid w:val="001C2F6F"/>
    <w:rsid w:val="001C2FE2"/>
    <w:rsid w:val="001C2FED"/>
    <w:rsid w:val="001C302C"/>
    <w:rsid w:val="001C306B"/>
    <w:rsid w:val="001C306F"/>
    <w:rsid w:val="001C30C8"/>
    <w:rsid w:val="001C30E5"/>
    <w:rsid w:val="001C30FB"/>
    <w:rsid w:val="001C31B4"/>
    <w:rsid w:val="001C3278"/>
    <w:rsid w:val="001C330A"/>
    <w:rsid w:val="001C33F0"/>
    <w:rsid w:val="001C3433"/>
    <w:rsid w:val="001C34B0"/>
    <w:rsid w:val="001C34DF"/>
    <w:rsid w:val="001C34EF"/>
    <w:rsid w:val="001C35DF"/>
    <w:rsid w:val="001C35FA"/>
    <w:rsid w:val="001C3616"/>
    <w:rsid w:val="001C37E8"/>
    <w:rsid w:val="001C3814"/>
    <w:rsid w:val="001C3882"/>
    <w:rsid w:val="001C38C8"/>
    <w:rsid w:val="001C38CB"/>
    <w:rsid w:val="001C3901"/>
    <w:rsid w:val="001C3964"/>
    <w:rsid w:val="001C3975"/>
    <w:rsid w:val="001C3A19"/>
    <w:rsid w:val="001C3A3E"/>
    <w:rsid w:val="001C3A85"/>
    <w:rsid w:val="001C3B23"/>
    <w:rsid w:val="001C3C2A"/>
    <w:rsid w:val="001C3C48"/>
    <w:rsid w:val="001C3D4D"/>
    <w:rsid w:val="001C3DE0"/>
    <w:rsid w:val="001C3F17"/>
    <w:rsid w:val="001C40D6"/>
    <w:rsid w:val="001C41D1"/>
    <w:rsid w:val="001C4214"/>
    <w:rsid w:val="001C4257"/>
    <w:rsid w:val="001C426A"/>
    <w:rsid w:val="001C426C"/>
    <w:rsid w:val="001C42A3"/>
    <w:rsid w:val="001C4469"/>
    <w:rsid w:val="001C4478"/>
    <w:rsid w:val="001C44EC"/>
    <w:rsid w:val="001C4502"/>
    <w:rsid w:val="001C456D"/>
    <w:rsid w:val="001C46AC"/>
    <w:rsid w:val="001C473A"/>
    <w:rsid w:val="001C4781"/>
    <w:rsid w:val="001C4878"/>
    <w:rsid w:val="001C48B5"/>
    <w:rsid w:val="001C4945"/>
    <w:rsid w:val="001C494C"/>
    <w:rsid w:val="001C494D"/>
    <w:rsid w:val="001C4989"/>
    <w:rsid w:val="001C49D7"/>
    <w:rsid w:val="001C4A13"/>
    <w:rsid w:val="001C4A91"/>
    <w:rsid w:val="001C4B8A"/>
    <w:rsid w:val="001C4BAA"/>
    <w:rsid w:val="001C4BBF"/>
    <w:rsid w:val="001C4BFF"/>
    <w:rsid w:val="001C4C6D"/>
    <w:rsid w:val="001C4CF7"/>
    <w:rsid w:val="001C4D00"/>
    <w:rsid w:val="001C4D2E"/>
    <w:rsid w:val="001C4D58"/>
    <w:rsid w:val="001C4E2F"/>
    <w:rsid w:val="001C4E8D"/>
    <w:rsid w:val="001C4F9D"/>
    <w:rsid w:val="001C500D"/>
    <w:rsid w:val="001C508D"/>
    <w:rsid w:val="001C5097"/>
    <w:rsid w:val="001C50BC"/>
    <w:rsid w:val="001C50F5"/>
    <w:rsid w:val="001C51E5"/>
    <w:rsid w:val="001C5215"/>
    <w:rsid w:val="001C5268"/>
    <w:rsid w:val="001C5278"/>
    <w:rsid w:val="001C529C"/>
    <w:rsid w:val="001C52AF"/>
    <w:rsid w:val="001C5349"/>
    <w:rsid w:val="001C5387"/>
    <w:rsid w:val="001C53EF"/>
    <w:rsid w:val="001C53F5"/>
    <w:rsid w:val="001C5430"/>
    <w:rsid w:val="001C546F"/>
    <w:rsid w:val="001C5493"/>
    <w:rsid w:val="001C54CE"/>
    <w:rsid w:val="001C5534"/>
    <w:rsid w:val="001C5544"/>
    <w:rsid w:val="001C555B"/>
    <w:rsid w:val="001C555E"/>
    <w:rsid w:val="001C5561"/>
    <w:rsid w:val="001C56D5"/>
    <w:rsid w:val="001C56F8"/>
    <w:rsid w:val="001C5768"/>
    <w:rsid w:val="001C57A9"/>
    <w:rsid w:val="001C57EC"/>
    <w:rsid w:val="001C58E5"/>
    <w:rsid w:val="001C59C2"/>
    <w:rsid w:val="001C5AE1"/>
    <w:rsid w:val="001C5B7C"/>
    <w:rsid w:val="001C5B9E"/>
    <w:rsid w:val="001C5C1E"/>
    <w:rsid w:val="001C5CD8"/>
    <w:rsid w:val="001C5D27"/>
    <w:rsid w:val="001C5D83"/>
    <w:rsid w:val="001C5E6F"/>
    <w:rsid w:val="001C5E99"/>
    <w:rsid w:val="001C5FA4"/>
    <w:rsid w:val="001C5FD1"/>
    <w:rsid w:val="001C6018"/>
    <w:rsid w:val="001C603E"/>
    <w:rsid w:val="001C60FB"/>
    <w:rsid w:val="001C61A3"/>
    <w:rsid w:val="001C61FD"/>
    <w:rsid w:val="001C6281"/>
    <w:rsid w:val="001C6296"/>
    <w:rsid w:val="001C62BE"/>
    <w:rsid w:val="001C62F6"/>
    <w:rsid w:val="001C638E"/>
    <w:rsid w:val="001C640B"/>
    <w:rsid w:val="001C642B"/>
    <w:rsid w:val="001C6488"/>
    <w:rsid w:val="001C64EC"/>
    <w:rsid w:val="001C6534"/>
    <w:rsid w:val="001C658F"/>
    <w:rsid w:val="001C65D9"/>
    <w:rsid w:val="001C65EA"/>
    <w:rsid w:val="001C6601"/>
    <w:rsid w:val="001C6636"/>
    <w:rsid w:val="001C668E"/>
    <w:rsid w:val="001C66C0"/>
    <w:rsid w:val="001C66FB"/>
    <w:rsid w:val="001C6735"/>
    <w:rsid w:val="001C677C"/>
    <w:rsid w:val="001C679E"/>
    <w:rsid w:val="001C683D"/>
    <w:rsid w:val="001C684A"/>
    <w:rsid w:val="001C687E"/>
    <w:rsid w:val="001C68DB"/>
    <w:rsid w:val="001C68FB"/>
    <w:rsid w:val="001C691E"/>
    <w:rsid w:val="001C6920"/>
    <w:rsid w:val="001C6945"/>
    <w:rsid w:val="001C6951"/>
    <w:rsid w:val="001C69AF"/>
    <w:rsid w:val="001C69CA"/>
    <w:rsid w:val="001C6A26"/>
    <w:rsid w:val="001C6A2E"/>
    <w:rsid w:val="001C6B31"/>
    <w:rsid w:val="001C6B73"/>
    <w:rsid w:val="001C6BAC"/>
    <w:rsid w:val="001C6C17"/>
    <w:rsid w:val="001C6D85"/>
    <w:rsid w:val="001C6DA9"/>
    <w:rsid w:val="001C6DBA"/>
    <w:rsid w:val="001C6DC6"/>
    <w:rsid w:val="001C6DFD"/>
    <w:rsid w:val="001C6E95"/>
    <w:rsid w:val="001C6ED9"/>
    <w:rsid w:val="001C6FBB"/>
    <w:rsid w:val="001C7050"/>
    <w:rsid w:val="001C7054"/>
    <w:rsid w:val="001C7056"/>
    <w:rsid w:val="001C7070"/>
    <w:rsid w:val="001C70F8"/>
    <w:rsid w:val="001C712D"/>
    <w:rsid w:val="001C715E"/>
    <w:rsid w:val="001C718F"/>
    <w:rsid w:val="001C7270"/>
    <w:rsid w:val="001C72A5"/>
    <w:rsid w:val="001C72AA"/>
    <w:rsid w:val="001C72E6"/>
    <w:rsid w:val="001C72F5"/>
    <w:rsid w:val="001C7335"/>
    <w:rsid w:val="001C73B8"/>
    <w:rsid w:val="001C7450"/>
    <w:rsid w:val="001C74D4"/>
    <w:rsid w:val="001C75E4"/>
    <w:rsid w:val="001C7685"/>
    <w:rsid w:val="001C77B2"/>
    <w:rsid w:val="001C77E4"/>
    <w:rsid w:val="001C77ED"/>
    <w:rsid w:val="001C77FC"/>
    <w:rsid w:val="001C7914"/>
    <w:rsid w:val="001C7971"/>
    <w:rsid w:val="001C7AD0"/>
    <w:rsid w:val="001C7B29"/>
    <w:rsid w:val="001C7B39"/>
    <w:rsid w:val="001C7B5B"/>
    <w:rsid w:val="001C7C06"/>
    <w:rsid w:val="001C7C36"/>
    <w:rsid w:val="001C7CAF"/>
    <w:rsid w:val="001C7CE5"/>
    <w:rsid w:val="001C7CEE"/>
    <w:rsid w:val="001C7D06"/>
    <w:rsid w:val="001C7D3F"/>
    <w:rsid w:val="001C7DA6"/>
    <w:rsid w:val="001C7DD8"/>
    <w:rsid w:val="001C7E5C"/>
    <w:rsid w:val="001C7E64"/>
    <w:rsid w:val="001D000B"/>
    <w:rsid w:val="001D000D"/>
    <w:rsid w:val="001D0171"/>
    <w:rsid w:val="001D0195"/>
    <w:rsid w:val="001D022E"/>
    <w:rsid w:val="001D02AE"/>
    <w:rsid w:val="001D02BF"/>
    <w:rsid w:val="001D0354"/>
    <w:rsid w:val="001D03A2"/>
    <w:rsid w:val="001D03C1"/>
    <w:rsid w:val="001D0453"/>
    <w:rsid w:val="001D0459"/>
    <w:rsid w:val="001D0460"/>
    <w:rsid w:val="001D0487"/>
    <w:rsid w:val="001D05B5"/>
    <w:rsid w:val="001D05D0"/>
    <w:rsid w:val="001D05E0"/>
    <w:rsid w:val="001D05FF"/>
    <w:rsid w:val="001D0765"/>
    <w:rsid w:val="001D07BD"/>
    <w:rsid w:val="001D07E4"/>
    <w:rsid w:val="001D080C"/>
    <w:rsid w:val="001D095F"/>
    <w:rsid w:val="001D0984"/>
    <w:rsid w:val="001D0A72"/>
    <w:rsid w:val="001D0A78"/>
    <w:rsid w:val="001D0A85"/>
    <w:rsid w:val="001D0A96"/>
    <w:rsid w:val="001D0BAE"/>
    <w:rsid w:val="001D0BD5"/>
    <w:rsid w:val="001D0BEA"/>
    <w:rsid w:val="001D0BEE"/>
    <w:rsid w:val="001D0C55"/>
    <w:rsid w:val="001D0C5C"/>
    <w:rsid w:val="001D0CAA"/>
    <w:rsid w:val="001D0D12"/>
    <w:rsid w:val="001D0D56"/>
    <w:rsid w:val="001D0D57"/>
    <w:rsid w:val="001D0D78"/>
    <w:rsid w:val="001D0DC4"/>
    <w:rsid w:val="001D0DCD"/>
    <w:rsid w:val="001D0DFA"/>
    <w:rsid w:val="001D0E53"/>
    <w:rsid w:val="001D0E87"/>
    <w:rsid w:val="001D0F83"/>
    <w:rsid w:val="001D0FF4"/>
    <w:rsid w:val="001D1024"/>
    <w:rsid w:val="001D1219"/>
    <w:rsid w:val="001D1228"/>
    <w:rsid w:val="001D128D"/>
    <w:rsid w:val="001D130F"/>
    <w:rsid w:val="001D1363"/>
    <w:rsid w:val="001D13DA"/>
    <w:rsid w:val="001D144C"/>
    <w:rsid w:val="001D1491"/>
    <w:rsid w:val="001D1552"/>
    <w:rsid w:val="001D1591"/>
    <w:rsid w:val="001D15E9"/>
    <w:rsid w:val="001D180E"/>
    <w:rsid w:val="001D1884"/>
    <w:rsid w:val="001D194C"/>
    <w:rsid w:val="001D194D"/>
    <w:rsid w:val="001D19E1"/>
    <w:rsid w:val="001D1A07"/>
    <w:rsid w:val="001D1A51"/>
    <w:rsid w:val="001D1ABA"/>
    <w:rsid w:val="001D1AE1"/>
    <w:rsid w:val="001D1B8A"/>
    <w:rsid w:val="001D1BA1"/>
    <w:rsid w:val="001D1C38"/>
    <w:rsid w:val="001D1CA2"/>
    <w:rsid w:val="001D1CEE"/>
    <w:rsid w:val="001D1DBA"/>
    <w:rsid w:val="001D1DBB"/>
    <w:rsid w:val="001D1DDB"/>
    <w:rsid w:val="001D1ED2"/>
    <w:rsid w:val="001D1FAB"/>
    <w:rsid w:val="001D1FB5"/>
    <w:rsid w:val="001D1FC5"/>
    <w:rsid w:val="001D2001"/>
    <w:rsid w:val="001D2024"/>
    <w:rsid w:val="001D21BD"/>
    <w:rsid w:val="001D2230"/>
    <w:rsid w:val="001D22E3"/>
    <w:rsid w:val="001D22E4"/>
    <w:rsid w:val="001D22FC"/>
    <w:rsid w:val="001D233B"/>
    <w:rsid w:val="001D23DA"/>
    <w:rsid w:val="001D249A"/>
    <w:rsid w:val="001D256A"/>
    <w:rsid w:val="001D256D"/>
    <w:rsid w:val="001D25BE"/>
    <w:rsid w:val="001D25BF"/>
    <w:rsid w:val="001D2663"/>
    <w:rsid w:val="001D26DF"/>
    <w:rsid w:val="001D2892"/>
    <w:rsid w:val="001D28F2"/>
    <w:rsid w:val="001D295F"/>
    <w:rsid w:val="001D29A4"/>
    <w:rsid w:val="001D29A9"/>
    <w:rsid w:val="001D29B6"/>
    <w:rsid w:val="001D29F6"/>
    <w:rsid w:val="001D2A85"/>
    <w:rsid w:val="001D2B6F"/>
    <w:rsid w:val="001D2B9B"/>
    <w:rsid w:val="001D2BB1"/>
    <w:rsid w:val="001D2C86"/>
    <w:rsid w:val="001D2CC1"/>
    <w:rsid w:val="001D2D94"/>
    <w:rsid w:val="001D2E1D"/>
    <w:rsid w:val="001D2ED7"/>
    <w:rsid w:val="001D2F03"/>
    <w:rsid w:val="001D3059"/>
    <w:rsid w:val="001D309D"/>
    <w:rsid w:val="001D310D"/>
    <w:rsid w:val="001D3193"/>
    <w:rsid w:val="001D31F5"/>
    <w:rsid w:val="001D3237"/>
    <w:rsid w:val="001D32AD"/>
    <w:rsid w:val="001D331E"/>
    <w:rsid w:val="001D3331"/>
    <w:rsid w:val="001D349F"/>
    <w:rsid w:val="001D3538"/>
    <w:rsid w:val="001D356E"/>
    <w:rsid w:val="001D35CD"/>
    <w:rsid w:val="001D35E4"/>
    <w:rsid w:val="001D3651"/>
    <w:rsid w:val="001D36C6"/>
    <w:rsid w:val="001D36FC"/>
    <w:rsid w:val="001D3712"/>
    <w:rsid w:val="001D3719"/>
    <w:rsid w:val="001D3740"/>
    <w:rsid w:val="001D374F"/>
    <w:rsid w:val="001D37A8"/>
    <w:rsid w:val="001D37BF"/>
    <w:rsid w:val="001D3840"/>
    <w:rsid w:val="001D3945"/>
    <w:rsid w:val="001D3963"/>
    <w:rsid w:val="001D39C2"/>
    <w:rsid w:val="001D3A2D"/>
    <w:rsid w:val="001D3A35"/>
    <w:rsid w:val="001D3B32"/>
    <w:rsid w:val="001D3BD7"/>
    <w:rsid w:val="001D3C0F"/>
    <w:rsid w:val="001D3C29"/>
    <w:rsid w:val="001D3C5C"/>
    <w:rsid w:val="001D3D58"/>
    <w:rsid w:val="001D3D72"/>
    <w:rsid w:val="001D3DC9"/>
    <w:rsid w:val="001D3DFD"/>
    <w:rsid w:val="001D3E16"/>
    <w:rsid w:val="001D3E69"/>
    <w:rsid w:val="001D3FEA"/>
    <w:rsid w:val="001D4049"/>
    <w:rsid w:val="001D4065"/>
    <w:rsid w:val="001D420C"/>
    <w:rsid w:val="001D42AD"/>
    <w:rsid w:val="001D42C2"/>
    <w:rsid w:val="001D4327"/>
    <w:rsid w:val="001D4336"/>
    <w:rsid w:val="001D43AE"/>
    <w:rsid w:val="001D43FD"/>
    <w:rsid w:val="001D4467"/>
    <w:rsid w:val="001D4495"/>
    <w:rsid w:val="001D4497"/>
    <w:rsid w:val="001D44F9"/>
    <w:rsid w:val="001D4505"/>
    <w:rsid w:val="001D4551"/>
    <w:rsid w:val="001D45A1"/>
    <w:rsid w:val="001D45F0"/>
    <w:rsid w:val="001D463A"/>
    <w:rsid w:val="001D46C9"/>
    <w:rsid w:val="001D473B"/>
    <w:rsid w:val="001D476A"/>
    <w:rsid w:val="001D476C"/>
    <w:rsid w:val="001D478D"/>
    <w:rsid w:val="001D47EA"/>
    <w:rsid w:val="001D481C"/>
    <w:rsid w:val="001D4876"/>
    <w:rsid w:val="001D4893"/>
    <w:rsid w:val="001D48C6"/>
    <w:rsid w:val="001D48CB"/>
    <w:rsid w:val="001D4907"/>
    <w:rsid w:val="001D4961"/>
    <w:rsid w:val="001D4971"/>
    <w:rsid w:val="001D49AC"/>
    <w:rsid w:val="001D4A0D"/>
    <w:rsid w:val="001D4A12"/>
    <w:rsid w:val="001D4A83"/>
    <w:rsid w:val="001D4A8C"/>
    <w:rsid w:val="001D4B31"/>
    <w:rsid w:val="001D4BD8"/>
    <w:rsid w:val="001D4BFF"/>
    <w:rsid w:val="001D4D7F"/>
    <w:rsid w:val="001D4E4F"/>
    <w:rsid w:val="001D4E5F"/>
    <w:rsid w:val="001D4EA2"/>
    <w:rsid w:val="001D4EF1"/>
    <w:rsid w:val="001D4EF9"/>
    <w:rsid w:val="001D4F4E"/>
    <w:rsid w:val="001D4F63"/>
    <w:rsid w:val="001D4F6B"/>
    <w:rsid w:val="001D4F9D"/>
    <w:rsid w:val="001D5004"/>
    <w:rsid w:val="001D5008"/>
    <w:rsid w:val="001D5097"/>
    <w:rsid w:val="001D50DC"/>
    <w:rsid w:val="001D516F"/>
    <w:rsid w:val="001D52CB"/>
    <w:rsid w:val="001D52D3"/>
    <w:rsid w:val="001D5358"/>
    <w:rsid w:val="001D546B"/>
    <w:rsid w:val="001D5494"/>
    <w:rsid w:val="001D54CF"/>
    <w:rsid w:val="001D5522"/>
    <w:rsid w:val="001D556C"/>
    <w:rsid w:val="001D55E7"/>
    <w:rsid w:val="001D5600"/>
    <w:rsid w:val="001D5678"/>
    <w:rsid w:val="001D5710"/>
    <w:rsid w:val="001D5741"/>
    <w:rsid w:val="001D5752"/>
    <w:rsid w:val="001D577A"/>
    <w:rsid w:val="001D58DF"/>
    <w:rsid w:val="001D5921"/>
    <w:rsid w:val="001D5937"/>
    <w:rsid w:val="001D5A5A"/>
    <w:rsid w:val="001D5A6E"/>
    <w:rsid w:val="001D5B5E"/>
    <w:rsid w:val="001D5C41"/>
    <w:rsid w:val="001D5C46"/>
    <w:rsid w:val="001D5CCA"/>
    <w:rsid w:val="001D5D7A"/>
    <w:rsid w:val="001D5D9B"/>
    <w:rsid w:val="001D5DBF"/>
    <w:rsid w:val="001D5EC7"/>
    <w:rsid w:val="001D5F2F"/>
    <w:rsid w:val="001D5F6C"/>
    <w:rsid w:val="001D5FA0"/>
    <w:rsid w:val="001D5FF5"/>
    <w:rsid w:val="001D6076"/>
    <w:rsid w:val="001D60CF"/>
    <w:rsid w:val="001D60D8"/>
    <w:rsid w:val="001D60F1"/>
    <w:rsid w:val="001D6113"/>
    <w:rsid w:val="001D6121"/>
    <w:rsid w:val="001D6143"/>
    <w:rsid w:val="001D6148"/>
    <w:rsid w:val="001D61A0"/>
    <w:rsid w:val="001D61BF"/>
    <w:rsid w:val="001D6223"/>
    <w:rsid w:val="001D6267"/>
    <w:rsid w:val="001D62E0"/>
    <w:rsid w:val="001D6328"/>
    <w:rsid w:val="001D6389"/>
    <w:rsid w:val="001D63A3"/>
    <w:rsid w:val="001D6420"/>
    <w:rsid w:val="001D648C"/>
    <w:rsid w:val="001D64AB"/>
    <w:rsid w:val="001D64E0"/>
    <w:rsid w:val="001D64E8"/>
    <w:rsid w:val="001D65D0"/>
    <w:rsid w:val="001D65FE"/>
    <w:rsid w:val="001D6634"/>
    <w:rsid w:val="001D6682"/>
    <w:rsid w:val="001D66EC"/>
    <w:rsid w:val="001D67EB"/>
    <w:rsid w:val="001D6833"/>
    <w:rsid w:val="001D6851"/>
    <w:rsid w:val="001D68FA"/>
    <w:rsid w:val="001D6920"/>
    <w:rsid w:val="001D695B"/>
    <w:rsid w:val="001D6978"/>
    <w:rsid w:val="001D69C7"/>
    <w:rsid w:val="001D6A95"/>
    <w:rsid w:val="001D6B23"/>
    <w:rsid w:val="001D6B8E"/>
    <w:rsid w:val="001D6BE7"/>
    <w:rsid w:val="001D6C6A"/>
    <w:rsid w:val="001D6E56"/>
    <w:rsid w:val="001D6E84"/>
    <w:rsid w:val="001D70BE"/>
    <w:rsid w:val="001D7118"/>
    <w:rsid w:val="001D7221"/>
    <w:rsid w:val="001D72F3"/>
    <w:rsid w:val="001D72FA"/>
    <w:rsid w:val="001D7346"/>
    <w:rsid w:val="001D7375"/>
    <w:rsid w:val="001D73DF"/>
    <w:rsid w:val="001D744B"/>
    <w:rsid w:val="001D7452"/>
    <w:rsid w:val="001D7465"/>
    <w:rsid w:val="001D749D"/>
    <w:rsid w:val="001D762E"/>
    <w:rsid w:val="001D7640"/>
    <w:rsid w:val="001D77A9"/>
    <w:rsid w:val="001D784E"/>
    <w:rsid w:val="001D7992"/>
    <w:rsid w:val="001D79C6"/>
    <w:rsid w:val="001D7A08"/>
    <w:rsid w:val="001D7A6B"/>
    <w:rsid w:val="001D7B4E"/>
    <w:rsid w:val="001D7B6D"/>
    <w:rsid w:val="001D7BAB"/>
    <w:rsid w:val="001D7C00"/>
    <w:rsid w:val="001D7C3A"/>
    <w:rsid w:val="001D7E24"/>
    <w:rsid w:val="001D7EA7"/>
    <w:rsid w:val="001D7EE4"/>
    <w:rsid w:val="001D7F6B"/>
    <w:rsid w:val="001E0082"/>
    <w:rsid w:val="001E0125"/>
    <w:rsid w:val="001E018E"/>
    <w:rsid w:val="001E038C"/>
    <w:rsid w:val="001E03A2"/>
    <w:rsid w:val="001E0419"/>
    <w:rsid w:val="001E043A"/>
    <w:rsid w:val="001E04E1"/>
    <w:rsid w:val="001E050B"/>
    <w:rsid w:val="001E05D0"/>
    <w:rsid w:val="001E065C"/>
    <w:rsid w:val="001E06AC"/>
    <w:rsid w:val="001E06DE"/>
    <w:rsid w:val="001E0797"/>
    <w:rsid w:val="001E07C5"/>
    <w:rsid w:val="001E07CD"/>
    <w:rsid w:val="001E082B"/>
    <w:rsid w:val="001E08E6"/>
    <w:rsid w:val="001E0946"/>
    <w:rsid w:val="001E09DE"/>
    <w:rsid w:val="001E09E8"/>
    <w:rsid w:val="001E0A57"/>
    <w:rsid w:val="001E0AA4"/>
    <w:rsid w:val="001E0ACA"/>
    <w:rsid w:val="001E0AD7"/>
    <w:rsid w:val="001E0B40"/>
    <w:rsid w:val="001E0B76"/>
    <w:rsid w:val="001E0B86"/>
    <w:rsid w:val="001E0CD6"/>
    <w:rsid w:val="001E0D96"/>
    <w:rsid w:val="001E0DC0"/>
    <w:rsid w:val="001E0E3C"/>
    <w:rsid w:val="001E0E9F"/>
    <w:rsid w:val="001E0EAF"/>
    <w:rsid w:val="001E0FB2"/>
    <w:rsid w:val="001E108D"/>
    <w:rsid w:val="001E10AC"/>
    <w:rsid w:val="001E10F8"/>
    <w:rsid w:val="001E1137"/>
    <w:rsid w:val="001E11D0"/>
    <w:rsid w:val="001E1202"/>
    <w:rsid w:val="001E135C"/>
    <w:rsid w:val="001E1446"/>
    <w:rsid w:val="001E1452"/>
    <w:rsid w:val="001E1494"/>
    <w:rsid w:val="001E1613"/>
    <w:rsid w:val="001E1656"/>
    <w:rsid w:val="001E1678"/>
    <w:rsid w:val="001E16A8"/>
    <w:rsid w:val="001E16DC"/>
    <w:rsid w:val="001E17CD"/>
    <w:rsid w:val="001E17FF"/>
    <w:rsid w:val="001E1833"/>
    <w:rsid w:val="001E1860"/>
    <w:rsid w:val="001E187C"/>
    <w:rsid w:val="001E18FE"/>
    <w:rsid w:val="001E198D"/>
    <w:rsid w:val="001E19E0"/>
    <w:rsid w:val="001E1AA7"/>
    <w:rsid w:val="001E1ACC"/>
    <w:rsid w:val="001E1B7B"/>
    <w:rsid w:val="001E1B97"/>
    <w:rsid w:val="001E1BDA"/>
    <w:rsid w:val="001E1C6D"/>
    <w:rsid w:val="001E1CCD"/>
    <w:rsid w:val="001E1CE8"/>
    <w:rsid w:val="001E1D11"/>
    <w:rsid w:val="001E1DE1"/>
    <w:rsid w:val="001E1E0A"/>
    <w:rsid w:val="001E1E68"/>
    <w:rsid w:val="001E20A2"/>
    <w:rsid w:val="001E20A7"/>
    <w:rsid w:val="001E2121"/>
    <w:rsid w:val="001E217D"/>
    <w:rsid w:val="001E2197"/>
    <w:rsid w:val="001E219D"/>
    <w:rsid w:val="001E21EA"/>
    <w:rsid w:val="001E2278"/>
    <w:rsid w:val="001E2319"/>
    <w:rsid w:val="001E2457"/>
    <w:rsid w:val="001E247B"/>
    <w:rsid w:val="001E2491"/>
    <w:rsid w:val="001E2588"/>
    <w:rsid w:val="001E2607"/>
    <w:rsid w:val="001E2655"/>
    <w:rsid w:val="001E2669"/>
    <w:rsid w:val="001E268D"/>
    <w:rsid w:val="001E273D"/>
    <w:rsid w:val="001E27F6"/>
    <w:rsid w:val="001E2903"/>
    <w:rsid w:val="001E2958"/>
    <w:rsid w:val="001E299E"/>
    <w:rsid w:val="001E2A3A"/>
    <w:rsid w:val="001E2A42"/>
    <w:rsid w:val="001E2AA1"/>
    <w:rsid w:val="001E2B9C"/>
    <w:rsid w:val="001E2C33"/>
    <w:rsid w:val="001E2C48"/>
    <w:rsid w:val="001E2C57"/>
    <w:rsid w:val="001E2C93"/>
    <w:rsid w:val="001E2D8B"/>
    <w:rsid w:val="001E2E8D"/>
    <w:rsid w:val="001E3002"/>
    <w:rsid w:val="001E30E6"/>
    <w:rsid w:val="001E31A8"/>
    <w:rsid w:val="001E31E7"/>
    <w:rsid w:val="001E31F2"/>
    <w:rsid w:val="001E322A"/>
    <w:rsid w:val="001E322E"/>
    <w:rsid w:val="001E3407"/>
    <w:rsid w:val="001E34E2"/>
    <w:rsid w:val="001E352B"/>
    <w:rsid w:val="001E3537"/>
    <w:rsid w:val="001E36CE"/>
    <w:rsid w:val="001E3727"/>
    <w:rsid w:val="001E3771"/>
    <w:rsid w:val="001E379C"/>
    <w:rsid w:val="001E3808"/>
    <w:rsid w:val="001E380B"/>
    <w:rsid w:val="001E389F"/>
    <w:rsid w:val="001E38B5"/>
    <w:rsid w:val="001E38ED"/>
    <w:rsid w:val="001E3913"/>
    <w:rsid w:val="001E3940"/>
    <w:rsid w:val="001E3A00"/>
    <w:rsid w:val="001E3A65"/>
    <w:rsid w:val="001E3AAE"/>
    <w:rsid w:val="001E3AE2"/>
    <w:rsid w:val="001E3B38"/>
    <w:rsid w:val="001E3B70"/>
    <w:rsid w:val="001E3B9E"/>
    <w:rsid w:val="001E3C3B"/>
    <w:rsid w:val="001E3CD3"/>
    <w:rsid w:val="001E3D86"/>
    <w:rsid w:val="001E3DC7"/>
    <w:rsid w:val="001E3E3C"/>
    <w:rsid w:val="001E3EAA"/>
    <w:rsid w:val="001E3F4E"/>
    <w:rsid w:val="001E3F7F"/>
    <w:rsid w:val="001E3FE7"/>
    <w:rsid w:val="001E4004"/>
    <w:rsid w:val="001E415F"/>
    <w:rsid w:val="001E41A4"/>
    <w:rsid w:val="001E41BF"/>
    <w:rsid w:val="001E4269"/>
    <w:rsid w:val="001E42CA"/>
    <w:rsid w:val="001E42DB"/>
    <w:rsid w:val="001E438F"/>
    <w:rsid w:val="001E43FE"/>
    <w:rsid w:val="001E442F"/>
    <w:rsid w:val="001E4461"/>
    <w:rsid w:val="001E449C"/>
    <w:rsid w:val="001E44D9"/>
    <w:rsid w:val="001E44E4"/>
    <w:rsid w:val="001E4673"/>
    <w:rsid w:val="001E4688"/>
    <w:rsid w:val="001E4724"/>
    <w:rsid w:val="001E4779"/>
    <w:rsid w:val="001E47F3"/>
    <w:rsid w:val="001E4819"/>
    <w:rsid w:val="001E482F"/>
    <w:rsid w:val="001E4A1C"/>
    <w:rsid w:val="001E4BD4"/>
    <w:rsid w:val="001E4D5B"/>
    <w:rsid w:val="001E4DB6"/>
    <w:rsid w:val="001E4DC1"/>
    <w:rsid w:val="001E50A6"/>
    <w:rsid w:val="001E514C"/>
    <w:rsid w:val="001E5211"/>
    <w:rsid w:val="001E52C6"/>
    <w:rsid w:val="001E53A1"/>
    <w:rsid w:val="001E5434"/>
    <w:rsid w:val="001E5481"/>
    <w:rsid w:val="001E550E"/>
    <w:rsid w:val="001E560D"/>
    <w:rsid w:val="001E5651"/>
    <w:rsid w:val="001E569E"/>
    <w:rsid w:val="001E57B9"/>
    <w:rsid w:val="001E57CF"/>
    <w:rsid w:val="001E57D6"/>
    <w:rsid w:val="001E58D0"/>
    <w:rsid w:val="001E5925"/>
    <w:rsid w:val="001E5974"/>
    <w:rsid w:val="001E597D"/>
    <w:rsid w:val="001E5A6E"/>
    <w:rsid w:val="001E5A88"/>
    <w:rsid w:val="001E5AA5"/>
    <w:rsid w:val="001E5BDE"/>
    <w:rsid w:val="001E5C45"/>
    <w:rsid w:val="001E5C5E"/>
    <w:rsid w:val="001E5D2C"/>
    <w:rsid w:val="001E5DB7"/>
    <w:rsid w:val="001E5E2A"/>
    <w:rsid w:val="001E5E56"/>
    <w:rsid w:val="001E5E61"/>
    <w:rsid w:val="001E5EC2"/>
    <w:rsid w:val="001E5F4E"/>
    <w:rsid w:val="001E6004"/>
    <w:rsid w:val="001E600A"/>
    <w:rsid w:val="001E61BB"/>
    <w:rsid w:val="001E63C6"/>
    <w:rsid w:val="001E6403"/>
    <w:rsid w:val="001E64DF"/>
    <w:rsid w:val="001E650C"/>
    <w:rsid w:val="001E6538"/>
    <w:rsid w:val="001E6582"/>
    <w:rsid w:val="001E6603"/>
    <w:rsid w:val="001E6619"/>
    <w:rsid w:val="001E6648"/>
    <w:rsid w:val="001E6671"/>
    <w:rsid w:val="001E66BA"/>
    <w:rsid w:val="001E67A4"/>
    <w:rsid w:val="001E67B3"/>
    <w:rsid w:val="001E67DD"/>
    <w:rsid w:val="001E6947"/>
    <w:rsid w:val="001E69A7"/>
    <w:rsid w:val="001E69BE"/>
    <w:rsid w:val="001E6A46"/>
    <w:rsid w:val="001E6B40"/>
    <w:rsid w:val="001E6C58"/>
    <w:rsid w:val="001E6C6F"/>
    <w:rsid w:val="001E6DC2"/>
    <w:rsid w:val="001E6DCB"/>
    <w:rsid w:val="001E6DE5"/>
    <w:rsid w:val="001E6DFA"/>
    <w:rsid w:val="001E6DFE"/>
    <w:rsid w:val="001E6E8C"/>
    <w:rsid w:val="001E6EBA"/>
    <w:rsid w:val="001E6FEC"/>
    <w:rsid w:val="001E7096"/>
    <w:rsid w:val="001E70EA"/>
    <w:rsid w:val="001E712B"/>
    <w:rsid w:val="001E712E"/>
    <w:rsid w:val="001E722B"/>
    <w:rsid w:val="001E7262"/>
    <w:rsid w:val="001E7282"/>
    <w:rsid w:val="001E7284"/>
    <w:rsid w:val="001E728C"/>
    <w:rsid w:val="001E72B1"/>
    <w:rsid w:val="001E7352"/>
    <w:rsid w:val="001E7376"/>
    <w:rsid w:val="001E7483"/>
    <w:rsid w:val="001E74C4"/>
    <w:rsid w:val="001E75CC"/>
    <w:rsid w:val="001E7612"/>
    <w:rsid w:val="001E76AD"/>
    <w:rsid w:val="001E76B1"/>
    <w:rsid w:val="001E76C1"/>
    <w:rsid w:val="001E77C2"/>
    <w:rsid w:val="001E7835"/>
    <w:rsid w:val="001E784D"/>
    <w:rsid w:val="001E7895"/>
    <w:rsid w:val="001E796A"/>
    <w:rsid w:val="001E7972"/>
    <w:rsid w:val="001E798D"/>
    <w:rsid w:val="001E7A00"/>
    <w:rsid w:val="001E7A6D"/>
    <w:rsid w:val="001E7AE8"/>
    <w:rsid w:val="001E7B03"/>
    <w:rsid w:val="001E7B0E"/>
    <w:rsid w:val="001E7B1D"/>
    <w:rsid w:val="001E7C00"/>
    <w:rsid w:val="001E7C09"/>
    <w:rsid w:val="001E7C89"/>
    <w:rsid w:val="001E7E32"/>
    <w:rsid w:val="001E7EBB"/>
    <w:rsid w:val="001E7ECB"/>
    <w:rsid w:val="001E7EE2"/>
    <w:rsid w:val="001E7F79"/>
    <w:rsid w:val="001E7F97"/>
    <w:rsid w:val="001E7FF9"/>
    <w:rsid w:val="001F0097"/>
    <w:rsid w:val="001F00A0"/>
    <w:rsid w:val="001F00AE"/>
    <w:rsid w:val="001F0147"/>
    <w:rsid w:val="001F0264"/>
    <w:rsid w:val="001F03F5"/>
    <w:rsid w:val="001F040C"/>
    <w:rsid w:val="001F052A"/>
    <w:rsid w:val="001F057E"/>
    <w:rsid w:val="001F0596"/>
    <w:rsid w:val="001F0619"/>
    <w:rsid w:val="001F068E"/>
    <w:rsid w:val="001F0730"/>
    <w:rsid w:val="001F0762"/>
    <w:rsid w:val="001F077F"/>
    <w:rsid w:val="001F0898"/>
    <w:rsid w:val="001F0B10"/>
    <w:rsid w:val="001F0B15"/>
    <w:rsid w:val="001F0B2A"/>
    <w:rsid w:val="001F0B5F"/>
    <w:rsid w:val="001F0B83"/>
    <w:rsid w:val="001F0BAC"/>
    <w:rsid w:val="001F0BCE"/>
    <w:rsid w:val="001F0BEB"/>
    <w:rsid w:val="001F0C0D"/>
    <w:rsid w:val="001F0C53"/>
    <w:rsid w:val="001F0D51"/>
    <w:rsid w:val="001F0D53"/>
    <w:rsid w:val="001F0D7A"/>
    <w:rsid w:val="001F0DD4"/>
    <w:rsid w:val="001F0DE6"/>
    <w:rsid w:val="001F0DEB"/>
    <w:rsid w:val="001F0E10"/>
    <w:rsid w:val="001F0EC8"/>
    <w:rsid w:val="001F0FC7"/>
    <w:rsid w:val="001F0FCE"/>
    <w:rsid w:val="001F1046"/>
    <w:rsid w:val="001F1056"/>
    <w:rsid w:val="001F1156"/>
    <w:rsid w:val="001F11F0"/>
    <w:rsid w:val="001F123E"/>
    <w:rsid w:val="001F1244"/>
    <w:rsid w:val="001F1288"/>
    <w:rsid w:val="001F128A"/>
    <w:rsid w:val="001F12C3"/>
    <w:rsid w:val="001F12FB"/>
    <w:rsid w:val="001F13DF"/>
    <w:rsid w:val="001F1455"/>
    <w:rsid w:val="001F148A"/>
    <w:rsid w:val="001F1541"/>
    <w:rsid w:val="001F15B5"/>
    <w:rsid w:val="001F15CE"/>
    <w:rsid w:val="001F164D"/>
    <w:rsid w:val="001F167E"/>
    <w:rsid w:val="001F16A5"/>
    <w:rsid w:val="001F1763"/>
    <w:rsid w:val="001F1771"/>
    <w:rsid w:val="001F17AC"/>
    <w:rsid w:val="001F17C2"/>
    <w:rsid w:val="001F18A5"/>
    <w:rsid w:val="001F18DB"/>
    <w:rsid w:val="001F192A"/>
    <w:rsid w:val="001F1A10"/>
    <w:rsid w:val="001F1A3D"/>
    <w:rsid w:val="001F1A9B"/>
    <w:rsid w:val="001F1B5F"/>
    <w:rsid w:val="001F1BCC"/>
    <w:rsid w:val="001F1D01"/>
    <w:rsid w:val="001F1D48"/>
    <w:rsid w:val="001F1DF1"/>
    <w:rsid w:val="001F1E24"/>
    <w:rsid w:val="001F1E8B"/>
    <w:rsid w:val="001F1F19"/>
    <w:rsid w:val="001F1F46"/>
    <w:rsid w:val="001F1F9F"/>
    <w:rsid w:val="001F208A"/>
    <w:rsid w:val="001F20B9"/>
    <w:rsid w:val="001F20DA"/>
    <w:rsid w:val="001F20F5"/>
    <w:rsid w:val="001F21D3"/>
    <w:rsid w:val="001F2223"/>
    <w:rsid w:val="001F2244"/>
    <w:rsid w:val="001F229E"/>
    <w:rsid w:val="001F22C6"/>
    <w:rsid w:val="001F22ED"/>
    <w:rsid w:val="001F238A"/>
    <w:rsid w:val="001F238D"/>
    <w:rsid w:val="001F2397"/>
    <w:rsid w:val="001F239C"/>
    <w:rsid w:val="001F23EE"/>
    <w:rsid w:val="001F2534"/>
    <w:rsid w:val="001F2543"/>
    <w:rsid w:val="001F2575"/>
    <w:rsid w:val="001F25F7"/>
    <w:rsid w:val="001F26F0"/>
    <w:rsid w:val="001F2737"/>
    <w:rsid w:val="001F273B"/>
    <w:rsid w:val="001F285E"/>
    <w:rsid w:val="001F2982"/>
    <w:rsid w:val="001F2984"/>
    <w:rsid w:val="001F2A88"/>
    <w:rsid w:val="001F2AD3"/>
    <w:rsid w:val="001F2B47"/>
    <w:rsid w:val="001F2BE6"/>
    <w:rsid w:val="001F2D9E"/>
    <w:rsid w:val="001F2DCB"/>
    <w:rsid w:val="001F2FAB"/>
    <w:rsid w:val="001F30FA"/>
    <w:rsid w:val="001F3109"/>
    <w:rsid w:val="001F3134"/>
    <w:rsid w:val="001F3156"/>
    <w:rsid w:val="001F3157"/>
    <w:rsid w:val="001F316A"/>
    <w:rsid w:val="001F31BC"/>
    <w:rsid w:val="001F32C6"/>
    <w:rsid w:val="001F32C9"/>
    <w:rsid w:val="001F32D9"/>
    <w:rsid w:val="001F32F4"/>
    <w:rsid w:val="001F34A2"/>
    <w:rsid w:val="001F354B"/>
    <w:rsid w:val="001F360A"/>
    <w:rsid w:val="001F3655"/>
    <w:rsid w:val="001F366B"/>
    <w:rsid w:val="001F36AD"/>
    <w:rsid w:val="001F3751"/>
    <w:rsid w:val="001F375A"/>
    <w:rsid w:val="001F3838"/>
    <w:rsid w:val="001F383C"/>
    <w:rsid w:val="001F38C2"/>
    <w:rsid w:val="001F38E5"/>
    <w:rsid w:val="001F390C"/>
    <w:rsid w:val="001F3920"/>
    <w:rsid w:val="001F393B"/>
    <w:rsid w:val="001F398E"/>
    <w:rsid w:val="001F3A3E"/>
    <w:rsid w:val="001F3A52"/>
    <w:rsid w:val="001F3A70"/>
    <w:rsid w:val="001F3A90"/>
    <w:rsid w:val="001F3AA8"/>
    <w:rsid w:val="001F3AE9"/>
    <w:rsid w:val="001F3B0A"/>
    <w:rsid w:val="001F3B1F"/>
    <w:rsid w:val="001F3B56"/>
    <w:rsid w:val="001F3C17"/>
    <w:rsid w:val="001F3C7B"/>
    <w:rsid w:val="001F3D48"/>
    <w:rsid w:val="001F3D64"/>
    <w:rsid w:val="001F3DCD"/>
    <w:rsid w:val="001F3E2F"/>
    <w:rsid w:val="001F3E69"/>
    <w:rsid w:val="001F3EA4"/>
    <w:rsid w:val="001F3ED6"/>
    <w:rsid w:val="001F3FF6"/>
    <w:rsid w:val="001F4031"/>
    <w:rsid w:val="001F407E"/>
    <w:rsid w:val="001F40E5"/>
    <w:rsid w:val="001F418B"/>
    <w:rsid w:val="001F418E"/>
    <w:rsid w:val="001F4204"/>
    <w:rsid w:val="001F423E"/>
    <w:rsid w:val="001F42A3"/>
    <w:rsid w:val="001F42E1"/>
    <w:rsid w:val="001F4302"/>
    <w:rsid w:val="001F430F"/>
    <w:rsid w:val="001F436E"/>
    <w:rsid w:val="001F4390"/>
    <w:rsid w:val="001F43A4"/>
    <w:rsid w:val="001F43B1"/>
    <w:rsid w:val="001F43DE"/>
    <w:rsid w:val="001F4408"/>
    <w:rsid w:val="001F445E"/>
    <w:rsid w:val="001F4565"/>
    <w:rsid w:val="001F45C3"/>
    <w:rsid w:val="001F45D6"/>
    <w:rsid w:val="001F4672"/>
    <w:rsid w:val="001F46AD"/>
    <w:rsid w:val="001F46EA"/>
    <w:rsid w:val="001F47E2"/>
    <w:rsid w:val="001F47E9"/>
    <w:rsid w:val="001F47EA"/>
    <w:rsid w:val="001F4918"/>
    <w:rsid w:val="001F4994"/>
    <w:rsid w:val="001F4A14"/>
    <w:rsid w:val="001F4A4C"/>
    <w:rsid w:val="001F4A62"/>
    <w:rsid w:val="001F4A63"/>
    <w:rsid w:val="001F4B6A"/>
    <w:rsid w:val="001F4BDC"/>
    <w:rsid w:val="001F4C74"/>
    <w:rsid w:val="001F4CB4"/>
    <w:rsid w:val="001F4CE1"/>
    <w:rsid w:val="001F4D90"/>
    <w:rsid w:val="001F4DDD"/>
    <w:rsid w:val="001F4E39"/>
    <w:rsid w:val="001F4E6E"/>
    <w:rsid w:val="001F4EBB"/>
    <w:rsid w:val="001F4ECC"/>
    <w:rsid w:val="001F4F26"/>
    <w:rsid w:val="001F50B9"/>
    <w:rsid w:val="001F5298"/>
    <w:rsid w:val="001F52B6"/>
    <w:rsid w:val="001F52F1"/>
    <w:rsid w:val="001F5318"/>
    <w:rsid w:val="001F5328"/>
    <w:rsid w:val="001F5356"/>
    <w:rsid w:val="001F5375"/>
    <w:rsid w:val="001F538E"/>
    <w:rsid w:val="001F53B4"/>
    <w:rsid w:val="001F53F3"/>
    <w:rsid w:val="001F5466"/>
    <w:rsid w:val="001F5499"/>
    <w:rsid w:val="001F54F0"/>
    <w:rsid w:val="001F554C"/>
    <w:rsid w:val="001F556D"/>
    <w:rsid w:val="001F55CC"/>
    <w:rsid w:val="001F56A5"/>
    <w:rsid w:val="001F56A6"/>
    <w:rsid w:val="001F56CD"/>
    <w:rsid w:val="001F576C"/>
    <w:rsid w:val="001F579C"/>
    <w:rsid w:val="001F597D"/>
    <w:rsid w:val="001F599F"/>
    <w:rsid w:val="001F59BE"/>
    <w:rsid w:val="001F5A03"/>
    <w:rsid w:val="001F5A0B"/>
    <w:rsid w:val="001F5A14"/>
    <w:rsid w:val="001F5A87"/>
    <w:rsid w:val="001F5AB7"/>
    <w:rsid w:val="001F5ADC"/>
    <w:rsid w:val="001F5AF3"/>
    <w:rsid w:val="001F5BA6"/>
    <w:rsid w:val="001F5BAC"/>
    <w:rsid w:val="001F5C5C"/>
    <w:rsid w:val="001F5D6D"/>
    <w:rsid w:val="001F5D87"/>
    <w:rsid w:val="001F5DC4"/>
    <w:rsid w:val="001F5DD4"/>
    <w:rsid w:val="001F5E88"/>
    <w:rsid w:val="001F5EFC"/>
    <w:rsid w:val="001F5F5F"/>
    <w:rsid w:val="001F5FB5"/>
    <w:rsid w:val="001F6006"/>
    <w:rsid w:val="001F6070"/>
    <w:rsid w:val="001F6099"/>
    <w:rsid w:val="001F609B"/>
    <w:rsid w:val="001F6130"/>
    <w:rsid w:val="001F617C"/>
    <w:rsid w:val="001F61E6"/>
    <w:rsid w:val="001F626D"/>
    <w:rsid w:val="001F62AD"/>
    <w:rsid w:val="001F62B3"/>
    <w:rsid w:val="001F631E"/>
    <w:rsid w:val="001F634E"/>
    <w:rsid w:val="001F635B"/>
    <w:rsid w:val="001F6370"/>
    <w:rsid w:val="001F63D8"/>
    <w:rsid w:val="001F63E1"/>
    <w:rsid w:val="001F6402"/>
    <w:rsid w:val="001F649D"/>
    <w:rsid w:val="001F64A8"/>
    <w:rsid w:val="001F6524"/>
    <w:rsid w:val="001F656C"/>
    <w:rsid w:val="001F6592"/>
    <w:rsid w:val="001F65BE"/>
    <w:rsid w:val="001F65C9"/>
    <w:rsid w:val="001F65FA"/>
    <w:rsid w:val="001F66D8"/>
    <w:rsid w:val="001F66E7"/>
    <w:rsid w:val="001F6793"/>
    <w:rsid w:val="001F67F7"/>
    <w:rsid w:val="001F6951"/>
    <w:rsid w:val="001F6975"/>
    <w:rsid w:val="001F69B6"/>
    <w:rsid w:val="001F6A16"/>
    <w:rsid w:val="001F6A37"/>
    <w:rsid w:val="001F6A3F"/>
    <w:rsid w:val="001F6A41"/>
    <w:rsid w:val="001F6A4C"/>
    <w:rsid w:val="001F6AC6"/>
    <w:rsid w:val="001F6B1A"/>
    <w:rsid w:val="001F6B65"/>
    <w:rsid w:val="001F6B68"/>
    <w:rsid w:val="001F6B8C"/>
    <w:rsid w:val="001F6BFF"/>
    <w:rsid w:val="001F6C23"/>
    <w:rsid w:val="001F6CBD"/>
    <w:rsid w:val="001F6CDF"/>
    <w:rsid w:val="001F6D3D"/>
    <w:rsid w:val="001F6D61"/>
    <w:rsid w:val="001F6DF0"/>
    <w:rsid w:val="001F6E2B"/>
    <w:rsid w:val="001F6E2E"/>
    <w:rsid w:val="001F6EFF"/>
    <w:rsid w:val="001F6F6D"/>
    <w:rsid w:val="001F6F70"/>
    <w:rsid w:val="001F6F77"/>
    <w:rsid w:val="001F6F9B"/>
    <w:rsid w:val="001F708C"/>
    <w:rsid w:val="001F7095"/>
    <w:rsid w:val="001F70BB"/>
    <w:rsid w:val="001F70D0"/>
    <w:rsid w:val="001F70F8"/>
    <w:rsid w:val="001F7294"/>
    <w:rsid w:val="001F7298"/>
    <w:rsid w:val="001F72A6"/>
    <w:rsid w:val="001F72C5"/>
    <w:rsid w:val="001F72F3"/>
    <w:rsid w:val="001F72FF"/>
    <w:rsid w:val="001F7352"/>
    <w:rsid w:val="001F7397"/>
    <w:rsid w:val="001F7409"/>
    <w:rsid w:val="001F743E"/>
    <w:rsid w:val="001F7516"/>
    <w:rsid w:val="001F758A"/>
    <w:rsid w:val="001F7604"/>
    <w:rsid w:val="001F7636"/>
    <w:rsid w:val="001F764B"/>
    <w:rsid w:val="001F764D"/>
    <w:rsid w:val="001F76AE"/>
    <w:rsid w:val="001F76D0"/>
    <w:rsid w:val="001F77D7"/>
    <w:rsid w:val="001F77E9"/>
    <w:rsid w:val="001F77EA"/>
    <w:rsid w:val="001F7831"/>
    <w:rsid w:val="001F7834"/>
    <w:rsid w:val="001F7866"/>
    <w:rsid w:val="001F78B4"/>
    <w:rsid w:val="001F78C4"/>
    <w:rsid w:val="001F7B29"/>
    <w:rsid w:val="001F7B56"/>
    <w:rsid w:val="001F7BE7"/>
    <w:rsid w:val="001F7D1B"/>
    <w:rsid w:val="001F7D2B"/>
    <w:rsid w:val="001F7D76"/>
    <w:rsid w:val="001F7DF2"/>
    <w:rsid w:val="001F7E0C"/>
    <w:rsid w:val="001F7E37"/>
    <w:rsid w:val="001F7E66"/>
    <w:rsid w:val="001F7EA5"/>
    <w:rsid w:val="001F7F11"/>
    <w:rsid w:val="001F7F17"/>
    <w:rsid w:val="001F7F40"/>
    <w:rsid w:val="002000A1"/>
    <w:rsid w:val="002000B2"/>
    <w:rsid w:val="002000F8"/>
    <w:rsid w:val="00200119"/>
    <w:rsid w:val="00200129"/>
    <w:rsid w:val="0020017B"/>
    <w:rsid w:val="002002E4"/>
    <w:rsid w:val="002002EA"/>
    <w:rsid w:val="002002FB"/>
    <w:rsid w:val="0020032B"/>
    <w:rsid w:val="0020040F"/>
    <w:rsid w:val="0020058D"/>
    <w:rsid w:val="00200590"/>
    <w:rsid w:val="002005D2"/>
    <w:rsid w:val="002005E2"/>
    <w:rsid w:val="00200668"/>
    <w:rsid w:val="0020066D"/>
    <w:rsid w:val="002006A1"/>
    <w:rsid w:val="002006B0"/>
    <w:rsid w:val="0020077E"/>
    <w:rsid w:val="00200799"/>
    <w:rsid w:val="002009FC"/>
    <w:rsid w:val="00200A84"/>
    <w:rsid w:val="00200AA6"/>
    <w:rsid w:val="00200C83"/>
    <w:rsid w:val="00200C91"/>
    <w:rsid w:val="00200D5A"/>
    <w:rsid w:val="00200FF6"/>
    <w:rsid w:val="0020103F"/>
    <w:rsid w:val="00201051"/>
    <w:rsid w:val="002010D7"/>
    <w:rsid w:val="002010EC"/>
    <w:rsid w:val="002010FF"/>
    <w:rsid w:val="00201117"/>
    <w:rsid w:val="002011F3"/>
    <w:rsid w:val="00201256"/>
    <w:rsid w:val="002012B2"/>
    <w:rsid w:val="002012D2"/>
    <w:rsid w:val="0020138A"/>
    <w:rsid w:val="002013B8"/>
    <w:rsid w:val="002014C0"/>
    <w:rsid w:val="002014E1"/>
    <w:rsid w:val="00201555"/>
    <w:rsid w:val="002015F9"/>
    <w:rsid w:val="00201608"/>
    <w:rsid w:val="0020160E"/>
    <w:rsid w:val="002016CB"/>
    <w:rsid w:val="0020173F"/>
    <w:rsid w:val="00201758"/>
    <w:rsid w:val="00201788"/>
    <w:rsid w:val="002017EE"/>
    <w:rsid w:val="00201840"/>
    <w:rsid w:val="0020185C"/>
    <w:rsid w:val="00201887"/>
    <w:rsid w:val="0020188E"/>
    <w:rsid w:val="002018EE"/>
    <w:rsid w:val="00201973"/>
    <w:rsid w:val="00201A23"/>
    <w:rsid w:val="00201A49"/>
    <w:rsid w:val="00201A53"/>
    <w:rsid w:val="00201A75"/>
    <w:rsid w:val="00201ABF"/>
    <w:rsid w:val="00201BC2"/>
    <w:rsid w:val="00201BD0"/>
    <w:rsid w:val="00201C03"/>
    <w:rsid w:val="00201C4D"/>
    <w:rsid w:val="00201C59"/>
    <w:rsid w:val="00201CFF"/>
    <w:rsid w:val="00201D52"/>
    <w:rsid w:val="00201D5C"/>
    <w:rsid w:val="00201E5F"/>
    <w:rsid w:val="00201E6D"/>
    <w:rsid w:val="00201E85"/>
    <w:rsid w:val="00201F3B"/>
    <w:rsid w:val="00202023"/>
    <w:rsid w:val="002020E0"/>
    <w:rsid w:val="00202176"/>
    <w:rsid w:val="002021B3"/>
    <w:rsid w:val="0020238E"/>
    <w:rsid w:val="00202394"/>
    <w:rsid w:val="002023A1"/>
    <w:rsid w:val="002023DB"/>
    <w:rsid w:val="002023E9"/>
    <w:rsid w:val="00202420"/>
    <w:rsid w:val="00202470"/>
    <w:rsid w:val="00202471"/>
    <w:rsid w:val="002024A1"/>
    <w:rsid w:val="0020250F"/>
    <w:rsid w:val="0020251B"/>
    <w:rsid w:val="002025BA"/>
    <w:rsid w:val="00202661"/>
    <w:rsid w:val="002026C9"/>
    <w:rsid w:val="002026D8"/>
    <w:rsid w:val="0020276D"/>
    <w:rsid w:val="0020277E"/>
    <w:rsid w:val="00202865"/>
    <w:rsid w:val="002028BD"/>
    <w:rsid w:val="0020290B"/>
    <w:rsid w:val="00202999"/>
    <w:rsid w:val="002029EF"/>
    <w:rsid w:val="00202AD2"/>
    <w:rsid w:val="00202B0C"/>
    <w:rsid w:val="00202B8D"/>
    <w:rsid w:val="00202C11"/>
    <w:rsid w:val="00202C1A"/>
    <w:rsid w:val="00202D39"/>
    <w:rsid w:val="00202D61"/>
    <w:rsid w:val="00202EFC"/>
    <w:rsid w:val="00202F63"/>
    <w:rsid w:val="00202F64"/>
    <w:rsid w:val="00202F9A"/>
    <w:rsid w:val="00203140"/>
    <w:rsid w:val="00203211"/>
    <w:rsid w:val="00203247"/>
    <w:rsid w:val="0020328E"/>
    <w:rsid w:val="00203552"/>
    <w:rsid w:val="002035C4"/>
    <w:rsid w:val="002035CC"/>
    <w:rsid w:val="002035ED"/>
    <w:rsid w:val="00203741"/>
    <w:rsid w:val="0020376C"/>
    <w:rsid w:val="002037B2"/>
    <w:rsid w:val="00203858"/>
    <w:rsid w:val="00203924"/>
    <w:rsid w:val="00203943"/>
    <w:rsid w:val="002039C3"/>
    <w:rsid w:val="00203A79"/>
    <w:rsid w:val="00203B19"/>
    <w:rsid w:val="00203B6D"/>
    <w:rsid w:val="00203B74"/>
    <w:rsid w:val="00203B88"/>
    <w:rsid w:val="00203B9E"/>
    <w:rsid w:val="00203BF3"/>
    <w:rsid w:val="00203DA4"/>
    <w:rsid w:val="00203DCB"/>
    <w:rsid w:val="00203E49"/>
    <w:rsid w:val="00203E5A"/>
    <w:rsid w:val="00203EA0"/>
    <w:rsid w:val="00203ECE"/>
    <w:rsid w:val="00203EFB"/>
    <w:rsid w:val="00203EFC"/>
    <w:rsid w:val="00203EFD"/>
    <w:rsid w:val="00203F7B"/>
    <w:rsid w:val="00204087"/>
    <w:rsid w:val="002040D4"/>
    <w:rsid w:val="00204212"/>
    <w:rsid w:val="00204246"/>
    <w:rsid w:val="002042D7"/>
    <w:rsid w:val="0020452C"/>
    <w:rsid w:val="00204680"/>
    <w:rsid w:val="0020474D"/>
    <w:rsid w:val="00204786"/>
    <w:rsid w:val="002048E9"/>
    <w:rsid w:val="002049F6"/>
    <w:rsid w:val="00204B23"/>
    <w:rsid w:val="00204B3F"/>
    <w:rsid w:val="00204BBD"/>
    <w:rsid w:val="00204BBF"/>
    <w:rsid w:val="00204C69"/>
    <w:rsid w:val="00204C71"/>
    <w:rsid w:val="00204C7E"/>
    <w:rsid w:val="00204DA8"/>
    <w:rsid w:val="00204E4F"/>
    <w:rsid w:val="00204EC8"/>
    <w:rsid w:val="00204F0D"/>
    <w:rsid w:val="00204F16"/>
    <w:rsid w:val="00204F54"/>
    <w:rsid w:val="00204F87"/>
    <w:rsid w:val="00204FB9"/>
    <w:rsid w:val="00204FCE"/>
    <w:rsid w:val="00204FCF"/>
    <w:rsid w:val="00204FDF"/>
    <w:rsid w:val="00204FFF"/>
    <w:rsid w:val="0020510B"/>
    <w:rsid w:val="00205133"/>
    <w:rsid w:val="0020519C"/>
    <w:rsid w:val="002051B1"/>
    <w:rsid w:val="002051D1"/>
    <w:rsid w:val="00205208"/>
    <w:rsid w:val="0020529A"/>
    <w:rsid w:val="002053A4"/>
    <w:rsid w:val="002053CE"/>
    <w:rsid w:val="00205476"/>
    <w:rsid w:val="002054AC"/>
    <w:rsid w:val="002054EC"/>
    <w:rsid w:val="00205525"/>
    <w:rsid w:val="00205538"/>
    <w:rsid w:val="002055A0"/>
    <w:rsid w:val="00205665"/>
    <w:rsid w:val="0020567F"/>
    <w:rsid w:val="002056CD"/>
    <w:rsid w:val="0020572F"/>
    <w:rsid w:val="00205742"/>
    <w:rsid w:val="002057A5"/>
    <w:rsid w:val="00205800"/>
    <w:rsid w:val="0020580B"/>
    <w:rsid w:val="0020582C"/>
    <w:rsid w:val="0020595D"/>
    <w:rsid w:val="002059BB"/>
    <w:rsid w:val="00205A0D"/>
    <w:rsid w:val="00205A33"/>
    <w:rsid w:val="00205AEA"/>
    <w:rsid w:val="00205B93"/>
    <w:rsid w:val="00205B95"/>
    <w:rsid w:val="00205B9C"/>
    <w:rsid w:val="00205BC0"/>
    <w:rsid w:val="00205BC9"/>
    <w:rsid w:val="00205BEC"/>
    <w:rsid w:val="00205C66"/>
    <w:rsid w:val="00205C7B"/>
    <w:rsid w:val="00205CBB"/>
    <w:rsid w:val="00205CCE"/>
    <w:rsid w:val="00205CEE"/>
    <w:rsid w:val="00205D38"/>
    <w:rsid w:val="00205D87"/>
    <w:rsid w:val="00205E09"/>
    <w:rsid w:val="00205E21"/>
    <w:rsid w:val="00205E32"/>
    <w:rsid w:val="00205ECB"/>
    <w:rsid w:val="00205FF1"/>
    <w:rsid w:val="00206008"/>
    <w:rsid w:val="002060D4"/>
    <w:rsid w:val="00206142"/>
    <w:rsid w:val="002061C0"/>
    <w:rsid w:val="00206236"/>
    <w:rsid w:val="0020625F"/>
    <w:rsid w:val="00206281"/>
    <w:rsid w:val="002062DC"/>
    <w:rsid w:val="002062E0"/>
    <w:rsid w:val="002062F6"/>
    <w:rsid w:val="002063F0"/>
    <w:rsid w:val="00206400"/>
    <w:rsid w:val="00206451"/>
    <w:rsid w:val="00206540"/>
    <w:rsid w:val="002065A9"/>
    <w:rsid w:val="0020663A"/>
    <w:rsid w:val="002066F4"/>
    <w:rsid w:val="002066FF"/>
    <w:rsid w:val="002067BB"/>
    <w:rsid w:val="002067FB"/>
    <w:rsid w:val="002068BF"/>
    <w:rsid w:val="002068EF"/>
    <w:rsid w:val="0020692F"/>
    <w:rsid w:val="00206960"/>
    <w:rsid w:val="0020696A"/>
    <w:rsid w:val="00206A12"/>
    <w:rsid w:val="00206A73"/>
    <w:rsid w:val="00206AD8"/>
    <w:rsid w:val="00206AEA"/>
    <w:rsid w:val="00206B42"/>
    <w:rsid w:val="00206C5B"/>
    <w:rsid w:val="00206C9A"/>
    <w:rsid w:val="00206CB6"/>
    <w:rsid w:val="00206D6A"/>
    <w:rsid w:val="00206E29"/>
    <w:rsid w:val="00206E7A"/>
    <w:rsid w:val="00206EC9"/>
    <w:rsid w:val="00206ECB"/>
    <w:rsid w:val="00206F3D"/>
    <w:rsid w:val="00206F52"/>
    <w:rsid w:val="00207001"/>
    <w:rsid w:val="00207055"/>
    <w:rsid w:val="002070C7"/>
    <w:rsid w:val="00207115"/>
    <w:rsid w:val="00207196"/>
    <w:rsid w:val="002071B2"/>
    <w:rsid w:val="002071E4"/>
    <w:rsid w:val="0020725C"/>
    <w:rsid w:val="0020727C"/>
    <w:rsid w:val="002073D9"/>
    <w:rsid w:val="0020740F"/>
    <w:rsid w:val="00207444"/>
    <w:rsid w:val="0020748B"/>
    <w:rsid w:val="00207545"/>
    <w:rsid w:val="002076F8"/>
    <w:rsid w:val="002077EB"/>
    <w:rsid w:val="00207831"/>
    <w:rsid w:val="00207860"/>
    <w:rsid w:val="00207887"/>
    <w:rsid w:val="002078A5"/>
    <w:rsid w:val="002078D8"/>
    <w:rsid w:val="002079E0"/>
    <w:rsid w:val="00207A57"/>
    <w:rsid w:val="00207AD6"/>
    <w:rsid w:val="00207B5D"/>
    <w:rsid w:val="00207BEE"/>
    <w:rsid w:val="00207E87"/>
    <w:rsid w:val="00207ECD"/>
    <w:rsid w:val="00207F3D"/>
    <w:rsid w:val="00207F7A"/>
    <w:rsid w:val="00207F8B"/>
    <w:rsid w:val="00210015"/>
    <w:rsid w:val="00210186"/>
    <w:rsid w:val="002101A2"/>
    <w:rsid w:val="00210239"/>
    <w:rsid w:val="002102BB"/>
    <w:rsid w:val="00210587"/>
    <w:rsid w:val="002106BE"/>
    <w:rsid w:val="002106BF"/>
    <w:rsid w:val="002107C0"/>
    <w:rsid w:val="002107C7"/>
    <w:rsid w:val="002107CD"/>
    <w:rsid w:val="0021084E"/>
    <w:rsid w:val="002108F1"/>
    <w:rsid w:val="0021094F"/>
    <w:rsid w:val="00210999"/>
    <w:rsid w:val="00210AFF"/>
    <w:rsid w:val="00210D00"/>
    <w:rsid w:val="00210D27"/>
    <w:rsid w:val="00210D82"/>
    <w:rsid w:val="00210DDF"/>
    <w:rsid w:val="002110BA"/>
    <w:rsid w:val="00211132"/>
    <w:rsid w:val="0021117F"/>
    <w:rsid w:val="0021119B"/>
    <w:rsid w:val="0021122F"/>
    <w:rsid w:val="00211287"/>
    <w:rsid w:val="0021131E"/>
    <w:rsid w:val="00211340"/>
    <w:rsid w:val="0021137E"/>
    <w:rsid w:val="0021139A"/>
    <w:rsid w:val="0021148A"/>
    <w:rsid w:val="002114FE"/>
    <w:rsid w:val="002115D6"/>
    <w:rsid w:val="00211671"/>
    <w:rsid w:val="00211709"/>
    <w:rsid w:val="00211846"/>
    <w:rsid w:val="00211928"/>
    <w:rsid w:val="00211937"/>
    <w:rsid w:val="00211957"/>
    <w:rsid w:val="0021197B"/>
    <w:rsid w:val="00211A6E"/>
    <w:rsid w:val="00211A8E"/>
    <w:rsid w:val="00211B20"/>
    <w:rsid w:val="00211B7D"/>
    <w:rsid w:val="00211B8E"/>
    <w:rsid w:val="00211BE8"/>
    <w:rsid w:val="00211CB9"/>
    <w:rsid w:val="00211F1C"/>
    <w:rsid w:val="00211F77"/>
    <w:rsid w:val="00211FA9"/>
    <w:rsid w:val="00212091"/>
    <w:rsid w:val="002120F4"/>
    <w:rsid w:val="00212130"/>
    <w:rsid w:val="002121B5"/>
    <w:rsid w:val="002122B9"/>
    <w:rsid w:val="002122FB"/>
    <w:rsid w:val="00212347"/>
    <w:rsid w:val="002123B1"/>
    <w:rsid w:val="0021245D"/>
    <w:rsid w:val="002124F4"/>
    <w:rsid w:val="00212505"/>
    <w:rsid w:val="00212538"/>
    <w:rsid w:val="002125A9"/>
    <w:rsid w:val="002125AC"/>
    <w:rsid w:val="00212601"/>
    <w:rsid w:val="00212620"/>
    <w:rsid w:val="0021264B"/>
    <w:rsid w:val="00212928"/>
    <w:rsid w:val="00212971"/>
    <w:rsid w:val="00212972"/>
    <w:rsid w:val="00212991"/>
    <w:rsid w:val="00212A4A"/>
    <w:rsid w:val="00212A8B"/>
    <w:rsid w:val="00212B2C"/>
    <w:rsid w:val="00212B49"/>
    <w:rsid w:val="00212BB3"/>
    <w:rsid w:val="00212BF4"/>
    <w:rsid w:val="00212C50"/>
    <w:rsid w:val="00212CEB"/>
    <w:rsid w:val="00212DA7"/>
    <w:rsid w:val="00212DE5"/>
    <w:rsid w:val="00212E05"/>
    <w:rsid w:val="00212E7B"/>
    <w:rsid w:val="00212EB0"/>
    <w:rsid w:val="00212F2B"/>
    <w:rsid w:val="00212F60"/>
    <w:rsid w:val="00212F7F"/>
    <w:rsid w:val="00212F9F"/>
    <w:rsid w:val="00212FC1"/>
    <w:rsid w:val="00213036"/>
    <w:rsid w:val="00213122"/>
    <w:rsid w:val="0021319E"/>
    <w:rsid w:val="002132CC"/>
    <w:rsid w:val="002132E5"/>
    <w:rsid w:val="002132F2"/>
    <w:rsid w:val="002132F4"/>
    <w:rsid w:val="00213374"/>
    <w:rsid w:val="002133C0"/>
    <w:rsid w:val="002133FB"/>
    <w:rsid w:val="0021340F"/>
    <w:rsid w:val="002134D8"/>
    <w:rsid w:val="00213524"/>
    <w:rsid w:val="00213534"/>
    <w:rsid w:val="002135AD"/>
    <w:rsid w:val="002135AE"/>
    <w:rsid w:val="0021364E"/>
    <w:rsid w:val="0021366C"/>
    <w:rsid w:val="002136CA"/>
    <w:rsid w:val="00213716"/>
    <w:rsid w:val="0021377F"/>
    <w:rsid w:val="002138C6"/>
    <w:rsid w:val="00213A45"/>
    <w:rsid w:val="00213B4E"/>
    <w:rsid w:val="00213D14"/>
    <w:rsid w:val="00213D61"/>
    <w:rsid w:val="00213E2A"/>
    <w:rsid w:val="00213E63"/>
    <w:rsid w:val="00213E72"/>
    <w:rsid w:val="00213ED9"/>
    <w:rsid w:val="00213F1D"/>
    <w:rsid w:val="00213FF2"/>
    <w:rsid w:val="00213FF6"/>
    <w:rsid w:val="00214023"/>
    <w:rsid w:val="00214065"/>
    <w:rsid w:val="00214083"/>
    <w:rsid w:val="0021412C"/>
    <w:rsid w:val="0021414A"/>
    <w:rsid w:val="0021417B"/>
    <w:rsid w:val="00214185"/>
    <w:rsid w:val="002141D6"/>
    <w:rsid w:val="002141DE"/>
    <w:rsid w:val="002141FD"/>
    <w:rsid w:val="002142A7"/>
    <w:rsid w:val="0021432F"/>
    <w:rsid w:val="00214411"/>
    <w:rsid w:val="00214429"/>
    <w:rsid w:val="00214628"/>
    <w:rsid w:val="002147A4"/>
    <w:rsid w:val="002148D7"/>
    <w:rsid w:val="0021490B"/>
    <w:rsid w:val="00214911"/>
    <w:rsid w:val="00214987"/>
    <w:rsid w:val="00214A8C"/>
    <w:rsid w:val="00214B23"/>
    <w:rsid w:val="00214C01"/>
    <w:rsid w:val="00214C16"/>
    <w:rsid w:val="00214C2C"/>
    <w:rsid w:val="00214C40"/>
    <w:rsid w:val="00214CB4"/>
    <w:rsid w:val="00214E8C"/>
    <w:rsid w:val="00214F5E"/>
    <w:rsid w:val="00214FC6"/>
    <w:rsid w:val="00214FFA"/>
    <w:rsid w:val="00215029"/>
    <w:rsid w:val="00215059"/>
    <w:rsid w:val="002150F1"/>
    <w:rsid w:val="002151DA"/>
    <w:rsid w:val="002152BA"/>
    <w:rsid w:val="00215360"/>
    <w:rsid w:val="00215383"/>
    <w:rsid w:val="0021538E"/>
    <w:rsid w:val="0021538F"/>
    <w:rsid w:val="002153F3"/>
    <w:rsid w:val="002154C4"/>
    <w:rsid w:val="0021558B"/>
    <w:rsid w:val="00215727"/>
    <w:rsid w:val="0021584E"/>
    <w:rsid w:val="002158DC"/>
    <w:rsid w:val="002158F3"/>
    <w:rsid w:val="002159A1"/>
    <w:rsid w:val="00215A47"/>
    <w:rsid w:val="00215AB3"/>
    <w:rsid w:val="00215AF5"/>
    <w:rsid w:val="00215B27"/>
    <w:rsid w:val="00215B65"/>
    <w:rsid w:val="00215B70"/>
    <w:rsid w:val="00215B94"/>
    <w:rsid w:val="00215C02"/>
    <w:rsid w:val="00215C19"/>
    <w:rsid w:val="00215CC2"/>
    <w:rsid w:val="00215D20"/>
    <w:rsid w:val="00215D4F"/>
    <w:rsid w:val="00215DFF"/>
    <w:rsid w:val="00215EB0"/>
    <w:rsid w:val="00215F4B"/>
    <w:rsid w:val="00215F92"/>
    <w:rsid w:val="00216036"/>
    <w:rsid w:val="002160F8"/>
    <w:rsid w:val="00216112"/>
    <w:rsid w:val="0021619C"/>
    <w:rsid w:val="002161AD"/>
    <w:rsid w:val="002161F7"/>
    <w:rsid w:val="00216211"/>
    <w:rsid w:val="00216215"/>
    <w:rsid w:val="002162AA"/>
    <w:rsid w:val="002162E7"/>
    <w:rsid w:val="0021633C"/>
    <w:rsid w:val="0021636F"/>
    <w:rsid w:val="00216436"/>
    <w:rsid w:val="0021653C"/>
    <w:rsid w:val="00216551"/>
    <w:rsid w:val="0021655A"/>
    <w:rsid w:val="002165D8"/>
    <w:rsid w:val="002166AD"/>
    <w:rsid w:val="00216731"/>
    <w:rsid w:val="00216752"/>
    <w:rsid w:val="002167AA"/>
    <w:rsid w:val="002167DC"/>
    <w:rsid w:val="00216869"/>
    <w:rsid w:val="002168BF"/>
    <w:rsid w:val="002169B5"/>
    <w:rsid w:val="002169DA"/>
    <w:rsid w:val="002169EA"/>
    <w:rsid w:val="00216A09"/>
    <w:rsid w:val="00216B19"/>
    <w:rsid w:val="00216B72"/>
    <w:rsid w:val="00216B75"/>
    <w:rsid w:val="00216BB4"/>
    <w:rsid w:val="00216BE0"/>
    <w:rsid w:val="00216BEA"/>
    <w:rsid w:val="00216C18"/>
    <w:rsid w:val="00216C38"/>
    <w:rsid w:val="00216C45"/>
    <w:rsid w:val="00216CF6"/>
    <w:rsid w:val="00216E02"/>
    <w:rsid w:val="00216E16"/>
    <w:rsid w:val="00216E75"/>
    <w:rsid w:val="00216E85"/>
    <w:rsid w:val="00216EFE"/>
    <w:rsid w:val="00216F4C"/>
    <w:rsid w:val="00216F7F"/>
    <w:rsid w:val="00216FFC"/>
    <w:rsid w:val="0021707C"/>
    <w:rsid w:val="0021715E"/>
    <w:rsid w:val="00217178"/>
    <w:rsid w:val="002171AD"/>
    <w:rsid w:val="00217209"/>
    <w:rsid w:val="0021725F"/>
    <w:rsid w:val="002172FC"/>
    <w:rsid w:val="00217345"/>
    <w:rsid w:val="00217387"/>
    <w:rsid w:val="00217467"/>
    <w:rsid w:val="0021751C"/>
    <w:rsid w:val="00217554"/>
    <w:rsid w:val="002175A9"/>
    <w:rsid w:val="002175F9"/>
    <w:rsid w:val="002176A8"/>
    <w:rsid w:val="002176C7"/>
    <w:rsid w:val="00217702"/>
    <w:rsid w:val="0021774B"/>
    <w:rsid w:val="002177C9"/>
    <w:rsid w:val="002177D6"/>
    <w:rsid w:val="002177F1"/>
    <w:rsid w:val="002178B8"/>
    <w:rsid w:val="002178C6"/>
    <w:rsid w:val="00217911"/>
    <w:rsid w:val="00217977"/>
    <w:rsid w:val="00217984"/>
    <w:rsid w:val="0021798C"/>
    <w:rsid w:val="002179B7"/>
    <w:rsid w:val="00217A12"/>
    <w:rsid w:val="00217B70"/>
    <w:rsid w:val="00217BBC"/>
    <w:rsid w:val="00217CBD"/>
    <w:rsid w:val="00217E0B"/>
    <w:rsid w:val="00217E20"/>
    <w:rsid w:val="00217E86"/>
    <w:rsid w:val="00217EDB"/>
    <w:rsid w:val="00217FE5"/>
    <w:rsid w:val="002200E4"/>
    <w:rsid w:val="002200EB"/>
    <w:rsid w:val="002200F7"/>
    <w:rsid w:val="0022015C"/>
    <w:rsid w:val="0022017B"/>
    <w:rsid w:val="00220183"/>
    <w:rsid w:val="00220195"/>
    <w:rsid w:val="0022027D"/>
    <w:rsid w:val="002202C4"/>
    <w:rsid w:val="002202C6"/>
    <w:rsid w:val="002202FE"/>
    <w:rsid w:val="00220341"/>
    <w:rsid w:val="00220366"/>
    <w:rsid w:val="002203C4"/>
    <w:rsid w:val="002204FC"/>
    <w:rsid w:val="00220534"/>
    <w:rsid w:val="0022054A"/>
    <w:rsid w:val="002205F9"/>
    <w:rsid w:val="0022060D"/>
    <w:rsid w:val="0022063B"/>
    <w:rsid w:val="00220691"/>
    <w:rsid w:val="0022073A"/>
    <w:rsid w:val="00220757"/>
    <w:rsid w:val="00220808"/>
    <w:rsid w:val="00220849"/>
    <w:rsid w:val="0022092A"/>
    <w:rsid w:val="0022095C"/>
    <w:rsid w:val="002209E5"/>
    <w:rsid w:val="002209E7"/>
    <w:rsid w:val="002209F2"/>
    <w:rsid w:val="00220A06"/>
    <w:rsid w:val="00220ADA"/>
    <w:rsid w:val="00220B77"/>
    <w:rsid w:val="00220B99"/>
    <w:rsid w:val="00220CB8"/>
    <w:rsid w:val="00220D99"/>
    <w:rsid w:val="00220DBB"/>
    <w:rsid w:val="00220ED4"/>
    <w:rsid w:val="00220EFA"/>
    <w:rsid w:val="002210A4"/>
    <w:rsid w:val="002210C8"/>
    <w:rsid w:val="002211C9"/>
    <w:rsid w:val="00221229"/>
    <w:rsid w:val="0022124C"/>
    <w:rsid w:val="0022137A"/>
    <w:rsid w:val="0022137F"/>
    <w:rsid w:val="002213B6"/>
    <w:rsid w:val="002213DE"/>
    <w:rsid w:val="002213E4"/>
    <w:rsid w:val="00221420"/>
    <w:rsid w:val="0022143B"/>
    <w:rsid w:val="00221466"/>
    <w:rsid w:val="00221508"/>
    <w:rsid w:val="00221534"/>
    <w:rsid w:val="00221575"/>
    <w:rsid w:val="002215D8"/>
    <w:rsid w:val="002215EB"/>
    <w:rsid w:val="0022164E"/>
    <w:rsid w:val="002216EF"/>
    <w:rsid w:val="00221709"/>
    <w:rsid w:val="00221887"/>
    <w:rsid w:val="0022194E"/>
    <w:rsid w:val="0022195B"/>
    <w:rsid w:val="002219AE"/>
    <w:rsid w:val="00221A26"/>
    <w:rsid w:val="00221BCD"/>
    <w:rsid w:val="00221BD2"/>
    <w:rsid w:val="00221BE5"/>
    <w:rsid w:val="00221BEB"/>
    <w:rsid w:val="00221C47"/>
    <w:rsid w:val="00221C95"/>
    <w:rsid w:val="00221D3E"/>
    <w:rsid w:val="00221D5B"/>
    <w:rsid w:val="00221DAF"/>
    <w:rsid w:val="00221DEC"/>
    <w:rsid w:val="00221E15"/>
    <w:rsid w:val="00221E90"/>
    <w:rsid w:val="00221FA5"/>
    <w:rsid w:val="00222175"/>
    <w:rsid w:val="00222201"/>
    <w:rsid w:val="00222264"/>
    <w:rsid w:val="002222BF"/>
    <w:rsid w:val="002222D6"/>
    <w:rsid w:val="002222F8"/>
    <w:rsid w:val="00222306"/>
    <w:rsid w:val="00222345"/>
    <w:rsid w:val="00222370"/>
    <w:rsid w:val="002223B4"/>
    <w:rsid w:val="00222428"/>
    <w:rsid w:val="00222477"/>
    <w:rsid w:val="002224C2"/>
    <w:rsid w:val="002224F4"/>
    <w:rsid w:val="0022251B"/>
    <w:rsid w:val="002225AF"/>
    <w:rsid w:val="002225BD"/>
    <w:rsid w:val="002225D2"/>
    <w:rsid w:val="00222634"/>
    <w:rsid w:val="00222683"/>
    <w:rsid w:val="002226EA"/>
    <w:rsid w:val="00222739"/>
    <w:rsid w:val="0022273A"/>
    <w:rsid w:val="002228B8"/>
    <w:rsid w:val="002228C0"/>
    <w:rsid w:val="0022290C"/>
    <w:rsid w:val="002229D0"/>
    <w:rsid w:val="002229E0"/>
    <w:rsid w:val="00222A08"/>
    <w:rsid w:val="00222A50"/>
    <w:rsid w:val="00222A5A"/>
    <w:rsid w:val="00222BD6"/>
    <w:rsid w:val="00222BF2"/>
    <w:rsid w:val="00222C3D"/>
    <w:rsid w:val="00222D4E"/>
    <w:rsid w:val="00222DE0"/>
    <w:rsid w:val="00222EA2"/>
    <w:rsid w:val="00222F44"/>
    <w:rsid w:val="00222F49"/>
    <w:rsid w:val="00222FA9"/>
    <w:rsid w:val="0022313B"/>
    <w:rsid w:val="00223385"/>
    <w:rsid w:val="002233A7"/>
    <w:rsid w:val="00223451"/>
    <w:rsid w:val="002235AA"/>
    <w:rsid w:val="002235B5"/>
    <w:rsid w:val="002235E9"/>
    <w:rsid w:val="0022361B"/>
    <w:rsid w:val="00223632"/>
    <w:rsid w:val="0022370B"/>
    <w:rsid w:val="00223710"/>
    <w:rsid w:val="00223711"/>
    <w:rsid w:val="002237CB"/>
    <w:rsid w:val="002237E3"/>
    <w:rsid w:val="002237FC"/>
    <w:rsid w:val="00223828"/>
    <w:rsid w:val="0022388D"/>
    <w:rsid w:val="002238E1"/>
    <w:rsid w:val="00223916"/>
    <w:rsid w:val="0022392C"/>
    <w:rsid w:val="00223933"/>
    <w:rsid w:val="002239AB"/>
    <w:rsid w:val="002239BA"/>
    <w:rsid w:val="00223AAC"/>
    <w:rsid w:val="00223B34"/>
    <w:rsid w:val="00223BBF"/>
    <w:rsid w:val="00223BC2"/>
    <w:rsid w:val="00223BDE"/>
    <w:rsid w:val="00223C21"/>
    <w:rsid w:val="00223C37"/>
    <w:rsid w:val="00223D60"/>
    <w:rsid w:val="00223D66"/>
    <w:rsid w:val="00223DE4"/>
    <w:rsid w:val="00223E0A"/>
    <w:rsid w:val="00223E2E"/>
    <w:rsid w:val="00223E85"/>
    <w:rsid w:val="00223F10"/>
    <w:rsid w:val="00223F13"/>
    <w:rsid w:val="00223FBE"/>
    <w:rsid w:val="00223FD1"/>
    <w:rsid w:val="0022408A"/>
    <w:rsid w:val="00224132"/>
    <w:rsid w:val="002241EF"/>
    <w:rsid w:val="0022422F"/>
    <w:rsid w:val="002242E6"/>
    <w:rsid w:val="0022437F"/>
    <w:rsid w:val="002243B6"/>
    <w:rsid w:val="0022448D"/>
    <w:rsid w:val="00224498"/>
    <w:rsid w:val="002244B0"/>
    <w:rsid w:val="00224659"/>
    <w:rsid w:val="002246E4"/>
    <w:rsid w:val="002246F9"/>
    <w:rsid w:val="00224709"/>
    <w:rsid w:val="0022473F"/>
    <w:rsid w:val="0022476A"/>
    <w:rsid w:val="002247C0"/>
    <w:rsid w:val="00224804"/>
    <w:rsid w:val="0022480B"/>
    <w:rsid w:val="00224833"/>
    <w:rsid w:val="0022488E"/>
    <w:rsid w:val="002248CB"/>
    <w:rsid w:val="0022491B"/>
    <w:rsid w:val="002249A0"/>
    <w:rsid w:val="00224A42"/>
    <w:rsid w:val="00224A59"/>
    <w:rsid w:val="00224AEC"/>
    <w:rsid w:val="00224B1D"/>
    <w:rsid w:val="00224B59"/>
    <w:rsid w:val="00224B66"/>
    <w:rsid w:val="00224C73"/>
    <w:rsid w:val="00224C95"/>
    <w:rsid w:val="00224D89"/>
    <w:rsid w:val="00224DBB"/>
    <w:rsid w:val="00224DC9"/>
    <w:rsid w:val="00224DDD"/>
    <w:rsid w:val="00224F4B"/>
    <w:rsid w:val="00224FA0"/>
    <w:rsid w:val="00224FC3"/>
    <w:rsid w:val="00224FED"/>
    <w:rsid w:val="0022504B"/>
    <w:rsid w:val="00225072"/>
    <w:rsid w:val="00225076"/>
    <w:rsid w:val="00225089"/>
    <w:rsid w:val="0022508A"/>
    <w:rsid w:val="00225095"/>
    <w:rsid w:val="002250C6"/>
    <w:rsid w:val="002250D9"/>
    <w:rsid w:val="00225102"/>
    <w:rsid w:val="0022512B"/>
    <w:rsid w:val="0022512C"/>
    <w:rsid w:val="002252B6"/>
    <w:rsid w:val="002252D9"/>
    <w:rsid w:val="00225301"/>
    <w:rsid w:val="002253DA"/>
    <w:rsid w:val="00225465"/>
    <w:rsid w:val="0022551C"/>
    <w:rsid w:val="002255D1"/>
    <w:rsid w:val="00225617"/>
    <w:rsid w:val="0022568D"/>
    <w:rsid w:val="002256B6"/>
    <w:rsid w:val="002256FC"/>
    <w:rsid w:val="00225770"/>
    <w:rsid w:val="00225781"/>
    <w:rsid w:val="0022584F"/>
    <w:rsid w:val="00225937"/>
    <w:rsid w:val="0022597B"/>
    <w:rsid w:val="002259C2"/>
    <w:rsid w:val="00225A11"/>
    <w:rsid w:val="00225A7A"/>
    <w:rsid w:val="00225AC5"/>
    <w:rsid w:val="00225AC9"/>
    <w:rsid w:val="00225AEB"/>
    <w:rsid w:val="00225B28"/>
    <w:rsid w:val="00225BB1"/>
    <w:rsid w:val="00225C0A"/>
    <w:rsid w:val="00225C51"/>
    <w:rsid w:val="00225C72"/>
    <w:rsid w:val="00225D2B"/>
    <w:rsid w:val="00225E1E"/>
    <w:rsid w:val="00225E8D"/>
    <w:rsid w:val="00225EA6"/>
    <w:rsid w:val="00225EFB"/>
    <w:rsid w:val="00225F06"/>
    <w:rsid w:val="00225F3E"/>
    <w:rsid w:val="00225F42"/>
    <w:rsid w:val="00225F4B"/>
    <w:rsid w:val="00225F58"/>
    <w:rsid w:val="00225F60"/>
    <w:rsid w:val="0022601F"/>
    <w:rsid w:val="002260E2"/>
    <w:rsid w:val="0022613F"/>
    <w:rsid w:val="00226179"/>
    <w:rsid w:val="0022623B"/>
    <w:rsid w:val="00226303"/>
    <w:rsid w:val="00226371"/>
    <w:rsid w:val="002263B4"/>
    <w:rsid w:val="0022647D"/>
    <w:rsid w:val="002264D6"/>
    <w:rsid w:val="00226500"/>
    <w:rsid w:val="00226544"/>
    <w:rsid w:val="00226571"/>
    <w:rsid w:val="0022658D"/>
    <w:rsid w:val="002266A2"/>
    <w:rsid w:val="002266A9"/>
    <w:rsid w:val="002267E8"/>
    <w:rsid w:val="002268BF"/>
    <w:rsid w:val="00226923"/>
    <w:rsid w:val="00226998"/>
    <w:rsid w:val="0022699C"/>
    <w:rsid w:val="002269CA"/>
    <w:rsid w:val="00226ACB"/>
    <w:rsid w:val="00226B3E"/>
    <w:rsid w:val="00226B43"/>
    <w:rsid w:val="00226C45"/>
    <w:rsid w:val="00226D1E"/>
    <w:rsid w:val="00226D4A"/>
    <w:rsid w:val="00226D4E"/>
    <w:rsid w:val="00226E86"/>
    <w:rsid w:val="00226F62"/>
    <w:rsid w:val="00226F82"/>
    <w:rsid w:val="002270DA"/>
    <w:rsid w:val="00227112"/>
    <w:rsid w:val="00227135"/>
    <w:rsid w:val="0022727E"/>
    <w:rsid w:val="00227336"/>
    <w:rsid w:val="00227377"/>
    <w:rsid w:val="002273F6"/>
    <w:rsid w:val="00227408"/>
    <w:rsid w:val="00227470"/>
    <w:rsid w:val="0022754F"/>
    <w:rsid w:val="002275DD"/>
    <w:rsid w:val="00227626"/>
    <w:rsid w:val="002276FE"/>
    <w:rsid w:val="00227827"/>
    <w:rsid w:val="00227842"/>
    <w:rsid w:val="002278B4"/>
    <w:rsid w:val="00227956"/>
    <w:rsid w:val="00227A7C"/>
    <w:rsid w:val="00227A80"/>
    <w:rsid w:val="00227B08"/>
    <w:rsid w:val="00227B12"/>
    <w:rsid w:val="00227BA5"/>
    <w:rsid w:val="00227BA8"/>
    <w:rsid w:val="00227BC6"/>
    <w:rsid w:val="00227C5C"/>
    <w:rsid w:val="00227DE3"/>
    <w:rsid w:val="00227DF6"/>
    <w:rsid w:val="00227E32"/>
    <w:rsid w:val="00227E6C"/>
    <w:rsid w:val="00227EFF"/>
    <w:rsid w:val="00227F2F"/>
    <w:rsid w:val="00227F3F"/>
    <w:rsid w:val="00227F64"/>
    <w:rsid w:val="00227F68"/>
    <w:rsid w:val="00227FC9"/>
    <w:rsid w:val="00227FDB"/>
    <w:rsid w:val="002300B4"/>
    <w:rsid w:val="002300E2"/>
    <w:rsid w:val="0023013F"/>
    <w:rsid w:val="002301DF"/>
    <w:rsid w:val="00230288"/>
    <w:rsid w:val="002302C2"/>
    <w:rsid w:val="002302D0"/>
    <w:rsid w:val="002303B1"/>
    <w:rsid w:val="002303B9"/>
    <w:rsid w:val="002303C2"/>
    <w:rsid w:val="00230443"/>
    <w:rsid w:val="002304A1"/>
    <w:rsid w:val="002304D0"/>
    <w:rsid w:val="002305A2"/>
    <w:rsid w:val="002305B0"/>
    <w:rsid w:val="002305CF"/>
    <w:rsid w:val="00230620"/>
    <w:rsid w:val="00230750"/>
    <w:rsid w:val="002307B2"/>
    <w:rsid w:val="002307C1"/>
    <w:rsid w:val="002307E9"/>
    <w:rsid w:val="00230921"/>
    <w:rsid w:val="002309C7"/>
    <w:rsid w:val="002309EC"/>
    <w:rsid w:val="00230B9C"/>
    <w:rsid w:val="00230CB3"/>
    <w:rsid w:val="00230DDC"/>
    <w:rsid w:val="00230DDE"/>
    <w:rsid w:val="00230EC0"/>
    <w:rsid w:val="00230EEC"/>
    <w:rsid w:val="00231080"/>
    <w:rsid w:val="00231087"/>
    <w:rsid w:val="00231122"/>
    <w:rsid w:val="00231130"/>
    <w:rsid w:val="002311D6"/>
    <w:rsid w:val="002312A8"/>
    <w:rsid w:val="002312C6"/>
    <w:rsid w:val="0023135C"/>
    <w:rsid w:val="0023139F"/>
    <w:rsid w:val="002313AF"/>
    <w:rsid w:val="00231495"/>
    <w:rsid w:val="0023158B"/>
    <w:rsid w:val="00231591"/>
    <w:rsid w:val="002317BE"/>
    <w:rsid w:val="002317C4"/>
    <w:rsid w:val="002317D5"/>
    <w:rsid w:val="00231886"/>
    <w:rsid w:val="0023189D"/>
    <w:rsid w:val="002318A8"/>
    <w:rsid w:val="002318BB"/>
    <w:rsid w:val="00231963"/>
    <w:rsid w:val="00231972"/>
    <w:rsid w:val="00231A11"/>
    <w:rsid w:val="00231A85"/>
    <w:rsid w:val="00231B8D"/>
    <w:rsid w:val="00231BCF"/>
    <w:rsid w:val="00231CFD"/>
    <w:rsid w:val="00231D67"/>
    <w:rsid w:val="00231DB0"/>
    <w:rsid w:val="00231DE6"/>
    <w:rsid w:val="00231E56"/>
    <w:rsid w:val="00231EAD"/>
    <w:rsid w:val="00231ECD"/>
    <w:rsid w:val="00231F3B"/>
    <w:rsid w:val="00231F5C"/>
    <w:rsid w:val="00231F76"/>
    <w:rsid w:val="00231FAF"/>
    <w:rsid w:val="00232040"/>
    <w:rsid w:val="00232045"/>
    <w:rsid w:val="00232137"/>
    <w:rsid w:val="00232165"/>
    <w:rsid w:val="00232178"/>
    <w:rsid w:val="002321C5"/>
    <w:rsid w:val="002321DA"/>
    <w:rsid w:val="002322E3"/>
    <w:rsid w:val="00232373"/>
    <w:rsid w:val="00232374"/>
    <w:rsid w:val="0023239F"/>
    <w:rsid w:val="002323A2"/>
    <w:rsid w:val="002323CB"/>
    <w:rsid w:val="002323D5"/>
    <w:rsid w:val="002323DB"/>
    <w:rsid w:val="00232400"/>
    <w:rsid w:val="0023240F"/>
    <w:rsid w:val="00232439"/>
    <w:rsid w:val="00232547"/>
    <w:rsid w:val="00232571"/>
    <w:rsid w:val="00232581"/>
    <w:rsid w:val="00232589"/>
    <w:rsid w:val="002325D3"/>
    <w:rsid w:val="002325D8"/>
    <w:rsid w:val="002325EF"/>
    <w:rsid w:val="00232602"/>
    <w:rsid w:val="002327AD"/>
    <w:rsid w:val="0023283D"/>
    <w:rsid w:val="0023285A"/>
    <w:rsid w:val="0023289C"/>
    <w:rsid w:val="002328FB"/>
    <w:rsid w:val="00232A66"/>
    <w:rsid w:val="00232A6F"/>
    <w:rsid w:val="00232A86"/>
    <w:rsid w:val="00232AB2"/>
    <w:rsid w:val="00232B03"/>
    <w:rsid w:val="00232B80"/>
    <w:rsid w:val="00232BF9"/>
    <w:rsid w:val="00232C04"/>
    <w:rsid w:val="00232C62"/>
    <w:rsid w:val="00232CA4"/>
    <w:rsid w:val="00232E7C"/>
    <w:rsid w:val="00232EF6"/>
    <w:rsid w:val="00232F00"/>
    <w:rsid w:val="00232F01"/>
    <w:rsid w:val="00232F4D"/>
    <w:rsid w:val="00232F9D"/>
    <w:rsid w:val="00233080"/>
    <w:rsid w:val="00233087"/>
    <w:rsid w:val="002330F8"/>
    <w:rsid w:val="002330F9"/>
    <w:rsid w:val="0023311B"/>
    <w:rsid w:val="0023312C"/>
    <w:rsid w:val="00233174"/>
    <w:rsid w:val="002331C6"/>
    <w:rsid w:val="002331E7"/>
    <w:rsid w:val="002331F8"/>
    <w:rsid w:val="0023327A"/>
    <w:rsid w:val="002332B2"/>
    <w:rsid w:val="002332F0"/>
    <w:rsid w:val="00233321"/>
    <w:rsid w:val="002333B4"/>
    <w:rsid w:val="002333BC"/>
    <w:rsid w:val="002333BE"/>
    <w:rsid w:val="00233471"/>
    <w:rsid w:val="0023348A"/>
    <w:rsid w:val="002334C2"/>
    <w:rsid w:val="002334F4"/>
    <w:rsid w:val="00233520"/>
    <w:rsid w:val="00233533"/>
    <w:rsid w:val="0023354B"/>
    <w:rsid w:val="0023358F"/>
    <w:rsid w:val="0023359F"/>
    <w:rsid w:val="00233624"/>
    <w:rsid w:val="00233632"/>
    <w:rsid w:val="00233649"/>
    <w:rsid w:val="00233662"/>
    <w:rsid w:val="0023369E"/>
    <w:rsid w:val="002336EC"/>
    <w:rsid w:val="00233763"/>
    <w:rsid w:val="0023379C"/>
    <w:rsid w:val="002337B5"/>
    <w:rsid w:val="002337BB"/>
    <w:rsid w:val="002337DE"/>
    <w:rsid w:val="002337F8"/>
    <w:rsid w:val="00233878"/>
    <w:rsid w:val="00233891"/>
    <w:rsid w:val="0023397B"/>
    <w:rsid w:val="00233991"/>
    <w:rsid w:val="00233A50"/>
    <w:rsid w:val="00233BCE"/>
    <w:rsid w:val="00233C03"/>
    <w:rsid w:val="00233C34"/>
    <w:rsid w:val="00233D15"/>
    <w:rsid w:val="00233D17"/>
    <w:rsid w:val="00233DDD"/>
    <w:rsid w:val="00233DE7"/>
    <w:rsid w:val="00233E4F"/>
    <w:rsid w:val="00233FC8"/>
    <w:rsid w:val="00234000"/>
    <w:rsid w:val="002340B3"/>
    <w:rsid w:val="0023410A"/>
    <w:rsid w:val="002341A8"/>
    <w:rsid w:val="002341C4"/>
    <w:rsid w:val="002342F3"/>
    <w:rsid w:val="00234397"/>
    <w:rsid w:val="00234412"/>
    <w:rsid w:val="0023453B"/>
    <w:rsid w:val="00234607"/>
    <w:rsid w:val="0023460E"/>
    <w:rsid w:val="002346DC"/>
    <w:rsid w:val="002346EC"/>
    <w:rsid w:val="00234765"/>
    <w:rsid w:val="002347E0"/>
    <w:rsid w:val="00234940"/>
    <w:rsid w:val="002349F6"/>
    <w:rsid w:val="00234ABD"/>
    <w:rsid w:val="00234B57"/>
    <w:rsid w:val="00234B67"/>
    <w:rsid w:val="00234B8E"/>
    <w:rsid w:val="00234C4A"/>
    <w:rsid w:val="00234C86"/>
    <w:rsid w:val="00234CA1"/>
    <w:rsid w:val="00234CAF"/>
    <w:rsid w:val="00234D44"/>
    <w:rsid w:val="00234F0C"/>
    <w:rsid w:val="00234F2F"/>
    <w:rsid w:val="00234F45"/>
    <w:rsid w:val="00234FE7"/>
    <w:rsid w:val="00235072"/>
    <w:rsid w:val="00235191"/>
    <w:rsid w:val="00235193"/>
    <w:rsid w:val="002351DB"/>
    <w:rsid w:val="0023529E"/>
    <w:rsid w:val="002352CE"/>
    <w:rsid w:val="002352D9"/>
    <w:rsid w:val="0023531B"/>
    <w:rsid w:val="0023532E"/>
    <w:rsid w:val="00235362"/>
    <w:rsid w:val="002353C7"/>
    <w:rsid w:val="00235412"/>
    <w:rsid w:val="00235487"/>
    <w:rsid w:val="00235496"/>
    <w:rsid w:val="002354D0"/>
    <w:rsid w:val="0023554F"/>
    <w:rsid w:val="00235641"/>
    <w:rsid w:val="00235646"/>
    <w:rsid w:val="00235648"/>
    <w:rsid w:val="002356AE"/>
    <w:rsid w:val="002356B5"/>
    <w:rsid w:val="002356CD"/>
    <w:rsid w:val="002356DA"/>
    <w:rsid w:val="0023575B"/>
    <w:rsid w:val="0023586B"/>
    <w:rsid w:val="002358EC"/>
    <w:rsid w:val="00235975"/>
    <w:rsid w:val="0023599E"/>
    <w:rsid w:val="00235A68"/>
    <w:rsid w:val="00235A9E"/>
    <w:rsid w:val="00235AAC"/>
    <w:rsid w:val="00235AE1"/>
    <w:rsid w:val="00235B36"/>
    <w:rsid w:val="00235B51"/>
    <w:rsid w:val="00235C06"/>
    <w:rsid w:val="00235C18"/>
    <w:rsid w:val="00235C3C"/>
    <w:rsid w:val="00235C69"/>
    <w:rsid w:val="00235D44"/>
    <w:rsid w:val="00235E8D"/>
    <w:rsid w:val="00235FD5"/>
    <w:rsid w:val="00236091"/>
    <w:rsid w:val="002360AB"/>
    <w:rsid w:val="00236148"/>
    <w:rsid w:val="002361A9"/>
    <w:rsid w:val="00236262"/>
    <w:rsid w:val="00236335"/>
    <w:rsid w:val="0023639B"/>
    <w:rsid w:val="002363B6"/>
    <w:rsid w:val="002365FA"/>
    <w:rsid w:val="00236713"/>
    <w:rsid w:val="00236733"/>
    <w:rsid w:val="0023675D"/>
    <w:rsid w:val="0023677C"/>
    <w:rsid w:val="00236788"/>
    <w:rsid w:val="002367DA"/>
    <w:rsid w:val="00236850"/>
    <w:rsid w:val="0023690D"/>
    <w:rsid w:val="00236999"/>
    <w:rsid w:val="00236A6E"/>
    <w:rsid w:val="00236B1C"/>
    <w:rsid w:val="00236B22"/>
    <w:rsid w:val="00236B96"/>
    <w:rsid w:val="00236C69"/>
    <w:rsid w:val="00236CC5"/>
    <w:rsid w:val="00236D66"/>
    <w:rsid w:val="00236DEF"/>
    <w:rsid w:val="00236E65"/>
    <w:rsid w:val="00236E88"/>
    <w:rsid w:val="00236F26"/>
    <w:rsid w:val="00236F3C"/>
    <w:rsid w:val="00237152"/>
    <w:rsid w:val="002371C7"/>
    <w:rsid w:val="002371F8"/>
    <w:rsid w:val="00237293"/>
    <w:rsid w:val="002372F9"/>
    <w:rsid w:val="00237321"/>
    <w:rsid w:val="0023734C"/>
    <w:rsid w:val="002373EA"/>
    <w:rsid w:val="002374F1"/>
    <w:rsid w:val="00237500"/>
    <w:rsid w:val="00237521"/>
    <w:rsid w:val="002375F1"/>
    <w:rsid w:val="00237656"/>
    <w:rsid w:val="00237677"/>
    <w:rsid w:val="002376C4"/>
    <w:rsid w:val="002376D0"/>
    <w:rsid w:val="00237706"/>
    <w:rsid w:val="0023772D"/>
    <w:rsid w:val="00237766"/>
    <w:rsid w:val="002377F6"/>
    <w:rsid w:val="00237857"/>
    <w:rsid w:val="0023793B"/>
    <w:rsid w:val="0023795F"/>
    <w:rsid w:val="0023796D"/>
    <w:rsid w:val="002379AF"/>
    <w:rsid w:val="002379B4"/>
    <w:rsid w:val="002379C4"/>
    <w:rsid w:val="002379DE"/>
    <w:rsid w:val="00237A51"/>
    <w:rsid w:val="00237AD2"/>
    <w:rsid w:val="00237BE7"/>
    <w:rsid w:val="00237C45"/>
    <w:rsid w:val="00237CAF"/>
    <w:rsid w:val="00237CBF"/>
    <w:rsid w:val="00237CC5"/>
    <w:rsid w:val="00237D26"/>
    <w:rsid w:val="00237E6E"/>
    <w:rsid w:val="00237E7E"/>
    <w:rsid w:val="00237EFA"/>
    <w:rsid w:val="00237F15"/>
    <w:rsid w:val="00237F47"/>
    <w:rsid w:val="00237F76"/>
    <w:rsid w:val="00237F79"/>
    <w:rsid w:val="00237FBF"/>
    <w:rsid w:val="0024013B"/>
    <w:rsid w:val="002401C4"/>
    <w:rsid w:val="00240210"/>
    <w:rsid w:val="0024029A"/>
    <w:rsid w:val="002402E2"/>
    <w:rsid w:val="00240318"/>
    <w:rsid w:val="00240326"/>
    <w:rsid w:val="00240361"/>
    <w:rsid w:val="00240408"/>
    <w:rsid w:val="0024048A"/>
    <w:rsid w:val="002404F1"/>
    <w:rsid w:val="0024050A"/>
    <w:rsid w:val="0024052A"/>
    <w:rsid w:val="00240556"/>
    <w:rsid w:val="0024058F"/>
    <w:rsid w:val="002405DC"/>
    <w:rsid w:val="00240642"/>
    <w:rsid w:val="002406F6"/>
    <w:rsid w:val="002406FD"/>
    <w:rsid w:val="00240771"/>
    <w:rsid w:val="002407F1"/>
    <w:rsid w:val="00240844"/>
    <w:rsid w:val="00240859"/>
    <w:rsid w:val="002408BB"/>
    <w:rsid w:val="002408D0"/>
    <w:rsid w:val="00240A04"/>
    <w:rsid w:val="00240A82"/>
    <w:rsid w:val="00240C0A"/>
    <w:rsid w:val="00240C43"/>
    <w:rsid w:val="00240C77"/>
    <w:rsid w:val="00240D30"/>
    <w:rsid w:val="00240E3D"/>
    <w:rsid w:val="00240F88"/>
    <w:rsid w:val="00240F9F"/>
    <w:rsid w:val="00240FCE"/>
    <w:rsid w:val="00240FE2"/>
    <w:rsid w:val="00241018"/>
    <w:rsid w:val="00241049"/>
    <w:rsid w:val="0024105D"/>
    <w:rsid w:val="00241066"/>
    <w:rsid w:val="002411DF"/>
    <w:rsid w:val="00241223"/>
    <w:rsid w:val="00241230"/>
    <w:rsid w:val="002412A4"/>
    <w:rsid w:val="002412C1"/>
    <w:rsid w:val="002412CD"/>
    <w:rsid w:val="00241303"/>
    <w:rsid w:val="00241321"/>
    <w:rsid w:val="00241326"/>
    <w:rsid w:val="0024134A"/>
    <w:rsid w:val="0024135D"/>
    <w:rsid w:val="00241427"/>
    <w:rsid w:val="00241457"/>
    <w:rsid w:val="00241491"/>
    <w:rsid w:val="002414BE"/>
    <w:rsid w:val="00241517"/>
    <w:rsid w:val="00241529"/>
    <w:rsid w:val="00241546"/>
    <w:rsid w:val="00241570"/>
    <w:rsid w:val="002415C4"/>
    <w:rsid w:val="00241600"/>
    <w:rsid w:val="0024163A"/>
    <w:rsid w:val="00241675"/>
    <w:rsid w:val="00241825"/>
    <w:rsid w:val="002418BC"/>
    <w:rsid w:val="002418C0"/>
    <w:rsid w:val="002418C8"/>
    <w:rsid w:val="00241957"/>
    <w:rsid w:val="002419F3"/>
    <w:rsid w:val="00241B42"/>
    <w:rsid w:val="00241BEB"/>
    <w:rsid w:val="00241CC0"/>
    <w:rsid w:val="00241CDA"/>
    <w:rsid w:val="00241D38"/>
    <w:rsid w:val="00241D53"/>
    <w:rsid w:val="00241D7E"/>
    <w:rsid w:val="00241ECF"/>
    <w:rsid w:val="00241FAC"/>
    <w:rsid w:val="00242013"/>
    <w:rsid w:val="0024204E"/>
    <w:rsid w:val="00242059"/>
    <w:rsid w:val="0024207E"/>
    <w:rsid w:val="002420D7"/>
    <w:rsid w:val="00242111"/>
    <w:rsid w:val="0024212F"/>
    <w:rsid w:val="00242140"/>
    <w:rsid w:val="0024215A"/>
    <w:rsid w:val="002421B0"/>
    <w:rsid w:val="002422FF"/>
    <w:rsid w:val="0024230D"/>
    <w:rsid w:val="00242315"/>
    <w:rsid w:val="00242328"/>
    <w:rsid w:val="0024232C"/>
    <w:rsid w:val="00242343"/>
    <w:rsid w:val="002423AD"/>
    <w:rsid w:val="002423E4"/>
    <w:rsid w:val="00242457"/>
    <w:rsid w:val="0024249A"/>
    <w:rsid w:val="002424C5"/>
    <w:rsid w:val="00242522"/>
    <w:rsid w:val="0024256E"/>
    <w:rsid w:val="002425DB"/>
    <w:rsid w:val="00242695"/>
    <w:rsid w:val="002426D7"/>
    <w:rsid w:val="0024280E"/>
    <w:rsid w:val="0024287E"/>
    <w:rsid w:val="00242942"/>
    <w:rsid w:val="002429D4"/>
    <w:rsid w:val="00242A2C"/>
    <w:rsid w:val="00242A35"/>
    <w:rsid w:val="00242A6A"/>
    <w:rsid w:val="00242ABF"/>
    <w:rsid w:val="00242AC9"/>
    <w:rsid w:val="00242B14"/>
    <w:rsid w:val="00242B74"/>
    <w:rsid w:val="00242BAB"/>
    <w:rsid w:val="00242C21"/>
    <w:rsid w:val="00242C33"/>
    <w:rsid w:val="00242CE7"/>
    <w:rsid w:val="00242D06"/>
    <w:rsid w:val="00242D22"/>
    <w:rsid w:val="00242DA2"/>
    <w:rsid w:val="00242DD2"/>
    <w:rsid w:val="00242DFE"/>
    <w:rsid w:val="00242E05"/>
    <w:rsid w:val="00242E82"/>
    <w:rsid w:val="00242F14"/>
    <w:rsid w:val="00242F54"/>
    <w:rsid w:val="00242F5E"/>
    <w:rsid w:val="00242FD2"/>
    <w:rsid w:val="00242FF0"/>
    <w:rsid w:val="00243050"/>
    <w:rsid w:val="0024316B"/>
    <w:rsid w:val="0024327A"/>
    <w:rsid w:val="002432C6"/>
    <w:rsid w:val="0024340B"/>
    <w:rsid w:val="00243438"/>
    <w:rsid w:val="002434B7"/>
    <w:rsid w:val="002434D2"/>
    <w:rsid w:val="00243501"/>
    <w:rsid w:val="002435E6"/>
    <w:rsid w:val="00243611"/>
    <w:rsid w:val="00243647"/>
    <w:rsid w:val="0024366A"/>
    <w:rsid w:val="00243693"/>
    <w:rsid w:val="002436E6"/>
    <w:rsid w:val="00243703"/>
    <w:rsid w:val="002437A8"/>
    <w:rsid w:val="002437C5"/>
    <w:rsid w:val="002437DB"/>
    <w:rsid w:val="00243812"/>
    <w:rsid w:val="00243842"/>
    <w:rsid w:val="00243845"/>
    <w:rsid w:val="002439D8"/>
    <w:rsid w:val="002439E1"/>
    <w:rsid w:val="002439FC"/>
    <w:rsid w:val="00243A05"/>
    <w:rsid w:val="00243A12"/>
    <w:rsid w:val="00243A97"/>
    <w:rsid w:val="00243B5D"/>
    <w:rsid w:val="00243BE8"/>
    <w:rsid w:val="00243C11"/>
    <w:rsid w:val="00243C15"/>
    <w:rsid w:val="00243D49"/>
    <w:rsid w:val="00243DC6"/>
    <w:rsid w:val="00243E67"/>
    <w:rsid w:val="00243E94"/>
    <w:rsid w:val="00243EAC"/>
    <w:rsid w:val="00243F62"/>
    <w:rsid w:val="00244015"/>
    <w:rsid w:val="002440B4"/>
    <w:rsid w:val="002440BD"/>
    <w:rsid w:val="00244178"/>
    <w:rsid w:val="00244266"/>
    <w:rsid w:val="00244389"/>
    <w:rsid w:val="0024439F"/>
    <w:rsid w:val="002443B3"/>
    <w:rsid w:val="002443E4"/>
    <w:rsid w:val="00244435"/>
    <w:rsid w:val="0024456E"/>
    <w:rsid w:val="002445B4"/>
    <w:rsid w:val="0024463D"/>
    <w:rsid w:val="0024464B"/>
    <w:rsid w:val="00244692"/>
    <w:rsid w:val="002447A7"/>
    <w:rsid w:val="002447AA"/>
    <w:rsid w:val="0024481F"/>
    <w:rsid w:val="0024488B"/>
    <w:rsid w:val="00244955"/>
    <w:rsid w:val="002449E9"/>
    <w:rsid w:val="00244A03"/>
    <w:rsid w:val="00244AB9"/>
    <w:rsid w:val="00244AE7"/>
    <w:rsid w:val="00244AF2"/>
    <w:rsid w:val="00244B97"/>
    <w:rsid w:val="00244BCF"/>
    <w:rsid w:val="00244C50"/>
    <w:rsid w:val="00244CAE"/>
    <w:rsid w:val="00244CD8"/>
    <w:rsid w:val="00244D4D"/>
    <w:rsid w:val="00244D89"/>
    <w:rsid w:val="00244E32"/>
    <w:rsid w:val="00244E3E"/>
    <w:rsid w:val="00244E9C"/>
    <w:rsid w:val="00244F78"/>
    <w:rsid w:val="00244FAD"/>
    <w:rsid w:val="00244FC3"/>
    <w:rsid w:val="00244FF4"/>
    <w:rsid w:val="0024507D"/>
    <w:rsid w:val="002450BE"/>
    <w:rsid w:val="002450CE"/>
    <w:rsid w:val="00245112"/>
    <w:rsid w:val="00245174"/>
    <w:rsid w:val="00245187"/>
    <w:rsid w:val="0024532A"/>
    <w:rsid w:val="002453C4"/>
    <w:rsid w:val="00245417"/>
    <w:rsid w:val="00245418"/>
    <w:rsid w:val="002454F7"/>
    <w:rsid w:val="00245578"/>
    <w:rsid w:val="0024559A"/>
    <w:rsid w:val="0024560A"/>
    <w:rsid w:val="0024563D"/>
    <w:rsid w:val="002457C7"/>
    <w:rsid w:val="002457C8"/>
    <w:rsid w:val="00245855"/>
    <w:rsid w:val="00245898"/>
    <w:rsid w:val="002458B3"/>
    <w:rsid w:val="0024598B"/>
    <w:rsid w:val="002459F9"/>
    <w:rsid w:val="00245A27"/>
    <w:rsid w:val="00245A38"/>
    <w:rsid w:val="00245A54"/>
    <w:rsid w:val="00245A71"/>
    <w:rsid w:val="00245A99"/>
    <w:rsid w:val="00245BE1"/>
    <w:rsid w:val="00245C26"/>
    <w:rsid w:val="00245CAB"/>
    <w:rsid w:val="00245CD3"/>
    <w:rsid w:val="00245ED6"/>
    <w:rsid w:val="00245F2F"/>
    <w:rsid w:val="00245FBB"/>
    <w:rsid w:val="00245FFF"/>
    <w:rsid w:val="002461AF"/>
    <w:rsid w:val="002461CA"/>
    <w:rsid w:val="002461F1"/>
    <w:rsid w:val="002463A8"/>
    <w:rsid w:val="002463B4"/>
    <w:rsid w:val="00246410"/>
    <w:rsid w:val="002464C0"/>
    <w:rsid w:val="002464D7"/>
    <w:rsid w:val="002464E2"/>
    <w:rsid w:val="00246527"/>
    <w:rsid w:val="00246619"/>
    <w:rsid w:val="0024667F"/>
    <w:rsid w:val="002466D4"/>
    <w:rsid w:val="00246736"/>
    <w:rsid w:val="00246755"/>
    <w:rsid w:val="002467A2"/>
    <w:rsid w:val="00246873"/>
    <w:rsid w:val="0024689B"/>
    <w:rsid w:val="002468D5"/>
    <w:rsid w:val="00246914"/>
    <w:rsid w:val="0024691D"/>
    <w:rsid w:val="00246954"/>
    <w:rsid w:val="002469E2"/>
    <w:rsid w:val="00246A91"/>
    <w:rsid w:val="00246B19"/>
    <w:rsid w:val="00246BC8"/>
    <w:rsid w:val="00246BCB"/>
    <w:rsid w:val="00246C2A"/>
    <w:rsid w:val="00246D61"/>
    <w:rsid w:val="00246E16"/>
    <w:rsid w:val="00246ECD"/>
    <w:rsid w:val="00246F2B"/>
    <w:rsid w:val="00246F52"/>
    <w:rsid w:val="00246F8E"/>
    <w:rsid w:val="0024708E"/>
    <w:rsid w:val="0024708F"/>
    <w:rsid w:val="002470FD"/>
    <w:rsid w:val="00247129"/>
    <w:rsid w:val="00247134"/>
    <w:rsid w:val="002471A9"/>
    <w:rsid w:val="0024729C"/>
    <w:rsid w:val="002472F0"/>
    <w:rsid w:val="0024732F"/>
    <w:rsid w:val="00247330"/>
    <w:rsid w:val="00247349"/>
    <w:rsid w:val="00247371"/>
    <w:rsid w:val="002473D7"/>
    <w:rsid w:val="002474B7"/>
    <w:rsid w:val="00247584"/>
    <w:rsid w:val="00247592"/>
    <w:rsid w:val="00247600"/>
    <w:rsid w:val="00247691"/>
    <w:rsid w:val="00247726"/>
    <w:rsid w:val="0024777C"/>
    <w:rsid w:val="0024781C"/>
    <w:rsid w:val="002479D2"/>
    <w:rsid w:val="002479D8"/>
    <w:rsid w:val="002479EA"/>
    <w:rsid w:val="00247A60"/>
    <w:rsid w:val="00247BAD"/>
    <w:rsid w:val="00247BDD"/>
    <w:rsid w:val="00247C74"/>
    <w:rsid w:val="00247C7F"/>
    <w:rsid w:val="00247CB9"/>
    <w:rsid w:val="00247CC2"/>
    <w:rsid w:val="00247D5C"/>
    <w:rsid w:val="00247E8A"/>
    <w:rsid w:val="00247F17"/>
    <w:rsid w:val="00247FA7"/>
    <w:rsid w:val="00250063"/>
    <w:rsid w:val="002500A3"/>
    <w:rsid w:val="0025010F"/>
    <w:rsid w:val="002501B3"/>
    <w:rsid w:val="002501FF"/>
    <w:rsid w:val="00250219"/>
    <w:rsid w:val="002502DB"/>
    <w:rsid w:val="0025031D"/>
    <w:rsid w:val="0025033E"/>
    <w:rsid w:val="002503C0"/>
    <w:rsid w:val="002503EB"/>
    <w:rsid w:val="002503F3"/>
    <w:rsid w:val="00250492"/>
    <w:rsid w:val="002504EB"/>
    <w:rsid w:val="002504F7"/>
    <w:rsid w:val="00250507"/>
    <w:rsid w:val="0025055C"/>
    <w:rsid w:val="00250669"/>
    <w:rsid w:val="002506DE"/>
    <w:rsid w:val="00250731"/>
    <w:rsid w:val="0025081F"/>
    <w:rsid w:val="00250835"/>
    <w:rsid w:val="00250886"/>
    <w:rsid w:val="002508CE"/>
    <w:rsid w:val="002508E4"/>
    <w:rsid w:val="002508E6"/>
    <w:rsid w:val="002509A0"/>
    <w:rsid w:val="00250A7E"/>
    <w:rsid w:val="00250A91"/>
    <w:rsid w:val="00250B25"/>
    <w:rsid w:val="00250CEA"/>
    <w:rsid w:val="00250DD2"/>
    <w:rsid w:val="00250E28"/>
    <w:rsid w:val="00250EF8"/>
    <w:rsid w:val="00250F09"/>
    <w:rsid w:val="00250F5C"/>
    <w:rsid w:val="00250F8A"/>
    <w:rsid w:val="00250FD5"/>
    <w:rsid w:val="00250FE5"/>
    <w:rsid w:val="0025102B"/>
    <w:rsid w:val="00251059"/>
    <w:rsid w:val="002510BD"/>
    <w:rsid w:val="002510F8"/>
    <w:rsid w:val="00251108"/>
    <w:rsid w:val="00251153"/>
    <w:rsid w:val="002511A7"/>
    <w:rsid w:val="002511CD"/>
    <w:rsid w:val="002511D8"/>
    <w:rsid w:val="00251217"/>
    <w:rsid w:val="00251229"/>
    <w:rsid w:val="00251256"/>
    <w:rsid w:val="00251281"/>
    <w:rsid w:val="002512F7"/>
    <w:rsid w:val="0025134A"/>
    <w:rsid w:val="002513D0"/>
    <w:rsid w:val="002513D3"/>
    <w:rsid w:val="0025145E"/>
    <w:rsid w:val="00251588"/>
    <w:rsid w:val="002515D4"/>
    <w:rsid w:val="0025175F"/>
    <w:rsid w:val="002517E2"/>
    <w:rsid w:val="0025183C"/>
    <w:rsid w:val="002518A6"/>
    <w:rsid w:val="002518D9"/>
    <w:rsid w:val="00251958"/>
    <w:rsid w:val="00251963"/>
    <w:rsid w:val="002519BC"/>
    <w:rsid w:val="002519EC"/>
    <w:rsid w:val="00251A09"/>
    <w:rsid w:val="00251A0D"/>
    <w:rsid w:val="00251A6E"/>
    <w:rsid w:val="00251B6C"/>
    <w:rsid w:val="00251B83"/>
    <w:rsid w:val="00251BC1"/>
    <w:rsid w:val="00251C9B"/>
    <w:rsid w:val="00251D64"/>
    <w:rsid w:val="00251D7C"/>
    <w:rsid w:val="00251DE9"/>
    <w:rsid w:val="00251DEA"/>
    <w:rsid w:val="00251DF8"/>
    <w:rsid w:val="00251ECB"/>
    <w:rsid w:val="00251EF1"/>
    <w:rsid w:val="00251F5B"/>
    <w:rsid w:val="00251F8D"/>
    <w:rsid w:val="002520AB"/>
    <w:rsid w:val="002520B0"/>
    <w:rsid w:val="00252148"/>
    <w:rsid w:val="002521EA"/>
    <w:rsid w:val="00252216"/>
    <w:rsid w:val="00252288"/>
    <w:rsid w:val="002522C3"/>
    <w:rsid w:val="002522D6"/>
    <w:rsid w:val="00252441"/>
    <w:rsid w:val="00252487"/>
    <w:rsid w:val="0025253B"/>
    <w:rsid w:val="00252572"/>
    <w:rsid w:val="0025259C"/>
    <w:rsid w:val="002525A7"/>
    <w:rsid w:val="002525C7"/>
    <w:rsid w:val="002526C0"/>
    <w:rsid w:val="002526CA"/>
    <w:rsid w:val="002527AE"/>
    <w:rsid w:val="002527DF"/>
    <w:rsid w:val="0025284D"/>
    <w:rsid w:val="00252875"/>
    <w:rsid w:val="002528F7"/>
    <w:rsid w:val="0025291C"/>
    <w:rsid w:val="0025292E"/>
    <w:rsid w:val="00252954"/>
    <w:rsid w:val="002529E5"/>
    <w:rsid w:val="00252AFA"/>
    <w:rsid w:val="00252B25"/>
    <w:rsid w:val="00252C12"/>
    <w:rsid w:val="00252C52"/>
    <w:rsid w:val="00252C5C"/>
    <w:rsid w:val="00252C89"/>
    <w:rsid w:val="00252CA4"/>
    <w:rsid w:val="00252D34"/>
    <w:rsid w:val="00252E6D"/>
    <w:rsid w:val="00252EFB"/>
    <w:rsid w:val="00252F66"/>
    <w:rsid w:val="002530AD"/>
    <w:rsid w:val="00253142"/>
    <w:rsid w:val="0025315A"/>
    <w:rsid w:val="00253225"/>
    <w:rsid w:val="002532CF"/>
    <w:rsid w:val="002532F9"/>
    <w:rsid w:val="00253374"/>
    <w:rsid w:val="002533E3"/>
    <w:rsid w:val="00253421"/>
    <w:rsid w:val="00253424"/>
    <w:rsid w:val="00253565"/>
    <w:rsid w:val="00253675"/>
    <w:rsid w:val="002537D1"/>
    <w:rsid w:val="002537D7"/>
    <w:rsid w:val="0025380B"/>
    <w:rsid w:val="0025380C"/>
    <w:rsid w:val="00253847"/>
    <w:rsid w:val="00253921"/>
    <w:rsid w:val="0025395D"/>
    <w:rsid w:val="00253AB2"/>
    <w:rsid w:val="00253AE7"/>
    <w:rsid w:val="00253B16"/>
    <w:rsid w:val="00253BD7"/>
    <w:rsid w:val="00253D25"/>
    <w:rsid w:val="00253EA4"/>
    <w:rsid w:val="00253EF2"/>
    <w:rsid w:val="00253F56"/>
    <w:rsid w:val="00254004"/>
    <w:rsid w:val="0025405A"/>
    <w:rsid w:val="00254121"/>
    <w:rsid w:val="002541B6"/>
    <w:rsid w:val="002541D5"/>
    <w:rsid w:val="002541DC"/>
    <w:rsid w:val="002542D0"/>
    <w:rsid w:val="002542EB"/>
    <w:rsid w:val="002544A3"/>
    <w:rsid w:val="002544CD"/>
    <w:rsid w:val="002544D2"/>
    <w:rsid w:val="0025452B"/>
    <w:rsid w:val="00254582"/>
    <w:rsid w:val="0025458A"/>
    <w:rsid w:val="0025462C"/>
    <w:rsid w:val="0025462D"/>
    <w:rsid w:val="00254646"/>
    <w:rsid w:val="00254662"/>
    <w:rsid w:val="002546A6"/>
    <w:rsid w:val="002546AE"/>
    <w:rsid w:val="002546B7"/>
    <w:rsid w:val="002546D0"/>
    <w:rsid w:val="00254777"/>
    <w:rsid w:val="002547B9"/>
    <w:rsid w:val="002547DA"/>
    <w:rsid w:val="00254958"/>
    <w:rsid w:val="0025495B"/>
    <w:rsid w:val="002549DA"/>
    <w:rsid w:val="002549F5"/>
    <w:rsid w:val="00254ADE"/>
    <w:rsid w:val="00254BF0"/>
    <w:rsid w:val="00254D6B"/>
    <w:rsid w:val="00254D70"/>
    <w:rsid w:val="00254D7F"/>
    <w:rsid w:val="00254DB8"/>
    <w:rsid w:val="00254E96"/>
    <w:rsid w:val="00254EC2"/>
    <w:rsid w:val="0025505E"/>
    <w:rsid w:val="0025505F"/>
    <w:rsid w:val="00255158"/>
    <w:rsid w:val="002551D4"/>
    <w:rsid w:val="002551D7"/>
    <w:rsid w:val="002551EB"/>
    <w:rsid w:val="00255286"/>
    <w:rsid w:val="002552A3"/>
    <w:rsid w:val="002553A3"/>
    <w:rsid w:val="0025546D"/>
    <w:rsid w:val="00255480"/>
    <w:rsid w:val="002554A7"/>
    <w:rsid w:val="002555E3"/>
    <w:rsid w:val="0025569E"/>
    <w:rsid w:val="002556E2"/>
    <w:rsid w:val="00255796"/>
    <w:rsid w:val="002557E9"/>
    <w:rsid w:val="002558EE"/>
    <w:rsid w:val="00255903"/>
    <w:rsid w:val="00255956"/>
    <w:rsid w:val="002559B2"/>
    <w:rsid w:val="002559E6"/>
    <w:rsid w:val="002559F0"/>
    <w:rsid w:val="002559F9"/>
    <w:rsid w:val="00255B0A"/>
    <w:rsid w:val="00255B20"/>
    <w:rsid w:val="00255B4D"/>
    <w:rsid w:val="00255BDA"/>
    <w:rsid w:val="00255C01"/>
    <w:rsid w:val="00255D35"/>
    <w:rsid w:val="00255D3A"/>
    <w:rsid w:val="00255E02"/>
    <w:rsid w:val="00255F23"/>
    <w:rsid w:val="00255F3A"/>
    <w:rsid w:val="00256053"/>
    <w:rsid w:val="002560AB"/>
    <w:rsid w:val="002560F0"/>
    <w:rsid w:val="002561AD"/>
    <w:rsid w:val="002561FC"/>
    <w:rsid w:val="002562DD"/>
    <w:rsid w:val="00256344"/>
    <w:rsid w:val="002563E7"/>
    <w:rsid w:val="002563FF"/>
    <w:rsid w:val="00256456"/>
    <w:rsid w:val="0025646A"/>
    <w:rsid w:val="0025649D"/>
    <w:rsid w:val="002564DD"/>
    <w:rsid w:val="002565A1"/>
    <w:rsid w:val="002565E0"/>
    <w:rsid w:val="002565E5"/>
    <w:rsid w:val="0025660B"/>
    <w:rsid w:val="0025667C"/>
    <w:rsid w:val="0025667D"/>
    <w:rsid w:val="002566A8"/>
    <w:rsid w:val="00256772"/>
    <w:rsid w:val="002567BD"/>
    <w:rsid w:val="002567BF"/>
    <w:rsid w:val="002567FA"/>
    <w:rsid w:val="00256869"/>
    <w:rsid w:val="00256938"/>
    <w:rsid w:val="002569C0"/>
    <w:rsid w:val="00256A05"/>
    <w:rsid w:val="00256A5B"/>
    <w:rsid w:val="00256B0D"/>
    <w:rsid w:val="00256B3B"/>
    <w:rsid w:val="00256BF6"/>
    <w:rsid w:val="00256CCB"/>
    <w:rsid w:val="00256CF0"/>
    <w:rsid w:val="00256D76"/>
    <w:rsid w:val="00256D82"/>
    <w:rsid w:val="00256E03"/>
    <w:rsid w:val="00256F0A"/>
    <w:rsid w:val="00256F2E"/>
    <w:rsid w:val="002570B2"/>
    <w:rsid w:val="002570B8"/>
    <w:rsid w:val="002570E6"/>
    <w:rsid w:val="00257169"/>
    <w:rsid w:val="002571D9"/>
    <w:rsid w:val="002572A0"/>
    <w:rsid w:val="002572C0"/>
    <w:rsid w:val="0025737E"/>
    <w:rsid w:val="00257415"/>
    <w:rsid w:val="00257420"/>
    <w:rsid w:val="0025742A"/>
    <w:rsid w:val="0025748B"/>
    <w:rsid w:val="00257574"/>
    <w:rsid w:val="002575A5"/>
    <w:rsid w:val="002575B5"/>
    <w:rsid w:val="0025761A"/>
    <w:rsid w:val="00257747"/>
    <w:rsid w:val="002577EB"/>
    <w:rsid w:val="00257893"/>
    <w:rsid w:val="002578C8"/>
    <w:rsid w:val="00257911"/>
    <w:rsid w:val="00257930"/>
    <w:rsid w:val="00257993"/>
    <w:rsid w:val="002579D6"/>
    <w:rsid w:val="002579F3"/>
    <w:rsid w:val="00257A9B"/>
    <w:rsid w:val="00257AB0"/>
    <w:rsid w:val="00257B97"/>
    <w:rsid w:val="00257BEE"/>
    <w:rsid w:val="00257E16"/>
    <w:rsid w:val="00257E71"/>
    <w:rsid w:val="00257EBD"/>
    <w:rsid w:val="00257ED7"/>
    <w:rsid w:val="00257EFA"/>
    <w:rsid w:val="00257F22"/>
    <w:rsid w:val="00257F53"/>
    <w:rsid w:val="00257F6A"/>
    <w:rsid w:val="00257F6F"/>
    <w:rsid w:val="00260008"/>
    <w:rsid w:val="00260091"/>
    <w:rsid w:val="00260115"/>
    <w:rsid w:val="0026014E"/>
    <w:rsid w:val="00260161"/>
    <w:rsid w:val="002601C0"/>
    <w:rsid w:val="002601EB"/>
    <w:rsid w:val="002601EC"/>
    <w:rsid w:val="00260300"/>
    <w:rsid w:val="002603A0"/>
    <w:rsid w:val="002603D3"/>
    <w:rsid w:val="002603DF"/>
    <w:rsid w:val="002603EF"/>
    <w:rsid w:val="0026055D"/>
    <w:rsid w:val="00260560"/>
    <w:rsid w:val="002605C6"/>
    <w:rsid w:val="00260605"/>
    <w:rsid w:val="002606B7"/>
    <w:rsid w:val="002608DF"/>
    <w:rsid w:val="002609D4"/>
    <w:rsid w:val="00260A24"/>
    <w:rsid w:val="00260A29"/>
    <w:rsid w:val="00260ABF"/>
    <w:rsid w:val="00260B0E"/>
    <w:rsid w:val="00260BEF"/>
    <w:rsid w:val="00260C25"/>
    <w:rsid w:val="00260CDB"/>
    <w:rsid w:val="00260D68"/>
    <w:rsid w:val="00260D70"/>
    <w:rsid w:val="00260DBD"/>
    <w:rsid w:val="00260DF9"/>
    <w:rsid w:val="00260E7B"/>
    <w:rsid w:val="00260E95"/>
    <w:rsid w:val="00260FE7"/>
    <w:rsid w:val="00260FEC"/>
    <w:rsid w:val="002610A0"/>
    <w:rsid w:val="00261101"/>
    <w:rsid w:val="0026114C"/>
    <w:rsid w:val="00261181"/>
    <w:rsid w:val="00261183"/>
    <w:rsid w:val="002611F5"/>
    <w:rsid w:val="00261211"/>
    <w:rsid w:val="002612E5"/>
    <w:rsid w:val="0026139F"/>
    <w:rsid w:val="00261420"/>
    <w:rsid w:val="00261473"/>
    <w:rsid w:val="00261549"/>
    <w:rsid w:val="0026156B"/>
    <w:rsid w:val="002615D9"/>
    <w:rsid w:val="002615E9"/>
    <w:rsid w:val="0026168F"/>
    <w:rsid w:val="00261693"/>
    <w:rsid w:val="002616A6"/>
    <w:rsid w:val="00261753"/>
    <w:rsid w:val="002617AA"/>
    <w:rsid w:val="0026192C"/>
    <w:rsid w:val="00261A17"/>
    <w:rsid w:val="00261ACF"/>
    <w:rsid w:val="00261AEC"/>
    <w:rsid w:val="00261AED"/>
    <w:rsid w:val="00261B6A"/>
    <w:rsid w:val="00261B6D"/>
    <w:rsid w:val="00261B8C"/>
    <w:rsid w:val="00261B8F"/>
    <w:rsid w:val="00261BE7"/>
    <w:rsid w:val="00261C2E"/>
    <w:rsid w:val="00261D2B"/>
    <w:rsid w:val="00261DE2"/>
    <w:rsid w:val="00261FC5"/>
    <w:rsid w:val="00262137"/>
    <w:rsid w:val="00262180"/>
    <w:rsid w:val="002621C3"/>
    <w:rsid w:val="00262205"/>
    <w:rsid w:val="00262265"/>
    <w:rsid w:val="002622C0"/>
    <w:rsid w:val="0026241C"/>
    <w:rsid w:val="002624A5"/>
    <w:rsid w:val="002624E8"/>
    <w:rsid w:val="00262621"/>
    <w:rsid w:val="00262652"/>
    <w:rsid w:val="00262664"/>
    <w:rsid w:val="0026267E"/>
    <w:rsid w:val="002626A5"/>
    <w:rsid w:val="002626E4"/>
    <w:rsid w:val="002627FB"/>
    <w:rsid w:val="002628C1"/>
    <w:rsid w:val="0026298B"/>
    <w:rsid w:val="002629A0"/>
    <w:rsid w:val="002629D8"/>
    <w:rsid w:val="00262A77"/>
    <w:rsid w:val="00262A9C"/>
    <w:rsid w:val="00262ABA"/>
    <w:rsid w:val="00262AE1"/>
    <w:rsid w:val="00262B42"/>
    <w:rsid w:val="00262BED"/>
    <w:rsid w:val="00262C14"/>
    <w:rsid w:val="00262CEC"/>
    <w:rsid w:val="00262D08"/>
    <w:rsid w:val="00262D53"/>
    <w:rsid w:val="00262DC5"/>
    <w:rsid w:val="00262DF8"/>
    <w:rsid w:val="00262E19"/>
    <w:rsid w:val="00262E42"/>
    <w:rsid w:val="00262E4F"/>
    <w:rsid w:val="00262EAD"/>
    <w:rsid w:val="00262F34"/>
    <w:rsid w:val="00262F3F"/>
    <w:rsid w:val="00263018"/>
    <w:rsid w:val="00263025"/>
    <w:rsid w:val="0026302A"/>
    <w:rsid w:val="0026303B"/>
    <w:rsid w:val="0026313C"/>
    <w:rsid w:val="002631A6"/>
    <w:rsid w:val="002631E1"/>
    <w:rsid w:val="002631F7"/>
    <w:rsid w:val="002632E8"/>
    <w:rsid w:val="00263336"/>
    <w:rsid w:val="0026335E"/>
    <w:rsid w:val="0026339B"/>
    <w:rsid w:val="002633A6"/>
    <w:rsid w:val="002633D1"/>
    <w:rsid w:val="00263445"/>
    <w:rsid w:val="0026347C"/>
    <w:rsid w:val="0026351E"/>
    <w:rsid w:val="00263581"/>
    <w:rsid w:val="00263601"/>
    <w:rsid w:val="00263646"/>
    <w:rsid w:val="00263745"/>
    <w:rsid w:val="00263770"/>
    <w:rsid w:val="002637D1"/>
    <w:rsid w:val="00263804"/>
    <w:rsid w:val="002638AE"/>
    <w:rsid w:val="002638C6"/>
    <w:rsid w:val="002638D2"/>
    <w:rsid w:val="002638D7"/>
    <w:rsid w:val="002638E6"/>
    <w:rsid w:val="002638FA"/>
    <w:rsid w:val="0026391D"/>
    <w:rsid w:val="00263963"/>
    <w:rsid w:val="0026397B"/>
    <w:rsid w:val="002639A4"/>
    <w:rsid w:val="00263A92"/>
    <w:rsid w:val="00263B2E"/>
    <w:rsid w:val="00263B48"/>
    <w:rsid w:val="00263B4B"/>
    <w:rsid w:val="00263D04"/>
    <w:rsid w:val="00263D1A"/>
    <w:rsid w:val="00263D2C"/>
    <w:rsid w:val="00263D4F"/>
    <w:rsid w:val="00263E8A"/>
    <w:rsid w:val="00263E8D"/>
    <w:rsid w:val="00263EA5"/>
    <w:rsid w:val="00263F60"/>
    <w:rsid w:val="00263F99"/>
    <w:rsid w:val="00263FF8"/>
    <w:rsid w:val="0026408B"/>
    <w:rsid w:val="002640D9"/>
    <w:rsid w:val="0026411B"/>
    <w:rsid w:val="002641B2"/>
    <w:rsid w:val="0026421B"/>
    <w:rsid w:val="0026424A"/>
    <w:rsid w:val="0026425F"/>
    <w:rsid w:val="002643A5"/>
    <w:rsid w:val="00264462"/>
    <w:rsid w:val="002644B1"/>
    <w:rsid w:val="00264575"/>
    <w:rsid w:val="0026461E"/>
    <w:rsid w:val="00264620"/>
    <w:rsid w:val="00264622"/>
    <w:rsid w:val="0026464A"/>
    <w:rsid w:val="00264696"/>
    <w:rsid w:val="002646BD"/>
    <w:rsid w:val="0026473E"/>
    <w:rsid w:val="002647B8"/>
    <w:rsid w:val="0026480F"/>
    <w:rsid w:val="0026491C"/>
    <w:rsid w:val="0026491F"/>
    <w:rsid w:val="00264995"/>
    <w:rsid w:val="002649E6"/>
    <w:rsid w:val="00264A28"/>
    <w:rsid w:val="00264A2A"/>
    <w:rsid w:val="00264A43"/>
    <w:rsid w:val="00264ABB"/>
    <w:rsid w:val="00264B07"/>
    <w:rsid w:val="00264B79"/>
    <w:rsid w:val="00264C36"/>
    <w:rsid w:val="00264C69"/>
    <w:rsid w:val="00264C76"/>
    <w:rsid w:val="00264D3A"/>
    <w:rsid w:val="00264D50"/>
    <w:rsid w:val="00264E0D"/>
    <w:rsid w:val="00264EDD"/>
    <w:rsid w:val="00264EEB"/>
    <w:rsid w:val="00264F0A"/>
    <w:rsid w:val="00264F29"/>
    <w:rsid w:val="00264F89"/>
    <w:rsid w:val="00264FF2"/>
    <w:rsid w:val="00265012"/>
    <w:rsid w:val="00265033"/>
    <w:rsid w:val="0026507A"/>
    <w:rsid w:val="002651B4"/>
    <w:rsid w:val="00265253"/>
    <w:rsid w:val="0026536D"/>
    <w:rsid w:val="00265464"/>
    <w:rsid w:val="0026556C"/>
    <w:rsid w:val="00265571"/>
    <w:rsid w:val="0026563D"/>
    <w:rsid w:val="00265671"/>
    <w:rsid w:val="002656AC"/>
    <w:rsid w:val="00265703"/>
    <w:rsid w:val="00265734"/>
    <w:rsid w:val="0026578E"/>
    <w:rsid w:val="002657E4"/>
    <w:rsid w:val="0026584D"/>
    <w:rsid w:val="00265A07"/>
    <w:rsid w:val="00265A1A"/>
    <w:rsid w:val="00265AF0"/>
    <w:rsid w:val="00265BE6"/>
    <w:rsid w:val="00265BEA"/>
    <w:rsid w:val="00265C9E"/>
    <w:rsid w:val="00265DBF"/>
    <w:rsid w:val="00265DDA"/>
    <w:rsid w:val="00265E97"/>
    <w:rsid w:val="00265ED2"/>
    <w:rsid w:val="00266028"/>
    <w:rsid w:val="00266045"/>
    <w:rsid w:val="0026608C"/>
    <w:rsid w:val="00266202"/>
    <w:rsid w:val="00266253"/>
    <w:rsid w:val="00266286"/>
    <w:rsid w:val="002662A0"/>
    <w:rsid w:val="00266374"/>
    <w:rsid w:val="0026638C"/>
    <w:rsid w:val="0026651C"/>
    <w:rsid w:val="002665B6"/>
    <w:rsid w:val="002665B8"/>
    <w:rsid w:val="002665C2"/>
    <w:rsid w:val="00266654"/>
    <w:rsid w:val="00266696"/>
    <w:rsid w:val="00266733"/>
    <w:rsid w:val="00266826"/>
    <w:rsid w:val="00266827"/>
    <w:rsid w:val="0026685F"/>
    <w:rsid w:val="00266861"/>
    <w:rsid w:val="00266903"/>
    <w:rsid w:val="0026696B"/>
    <w:rsid w:val="00266A08"/>
    <w:rsid w:val="00266A70"/>
    <w:rsid w:val="00266AC5"/>
    <w:rsid w:val="00266B41"/>
    <w:rsid w:val="00266B4D"/>
    <w:rsid w:val="00266B60"/>
    <w:rsid w:val="00266BB7"/>
    <w:rsid w:val="00266C06"/>
    <w:rsid w:val="00266E7F"/>
    <w:rsid w:val="00266EF4"/>
    <w:rsid w:val="00266EF5"/>
    <w:rsid w:val="00267020"/>
    <w:rsid w:val="00267026"/>
    <w:rsid w:val="0026706F"/>
    <w:rsid w:val="002670A8"/>
    <w:rsid w:val="002671BF"/>
    <w:rsid w:val="002671CA"/>
    <w:rsid w:val="002671D5"/>
    <w:rsid w:val="00267269"/>
    <w:rsid w:val="002672A2"/>
    <w:rsid w:val="002672B6"/>
    <w:rsid w:val="00267307"/>
    <w:rsid w:val="0026730B"/>
    <w:rsid w:val="0026731C"/>
    <w:rsid w:val="00267385"/>
    <w:rsid w:val="00267434"/>
    <w:rsid w:val="00267439"/>
    <w:rsid w:val="002674AF"/>
    <w:rsid w:val="00267529"/>
    <w:rsid w:val="002675FD"/>
    <w:rsid w:val="00267647"/>
    <w:rsid w:val="002676D6"/>
    <w:rsid w:val="00267717"/>
    <w:rsid w:val="0026776D"/>
    <w:rsid w:val="002677B9"/>
    <w:rsid w:val="00267861"/>
    <w:rsid w:val="002678A6"/>
    <w:rsid w:val="00267966"/>
    <w:rsid w:val="00267A52"/>
    <w:rsid w:val="00267AA1"/>
    <w:rsid w:val="00267AA6"/>
    <w:rsid w:val="00267AC7"/>
    <w:rsid w:val="00267ACA"/>
    <w:rsid w:val="00267ACD"/>
    <w:rsid w:val="00267BD1"/>
    <w:rsid w:val="00267BE0"/>
    <w:rsid w:val="00267BE5"/>
    <w:rsid w:val="00267BEB"/>
    <w:rsid w:val="00267C80"/>
    <w:rsid w:val="00267C94"/>
    <w:rsid w:val="00267D25"/>
    <w:rsid w:val="00267D58"/>
    <w:rsid w:val="00267D63"/>
    <w:rsid w:val="00267D70"/>
    <w:rsid w:val="00267D87"/>
    <w:rsid w:val="00267DBB"/>
    <w:rsid w:val="00267E42"/>
    <w:rsid w:val="00267F5F"/>
    <w:rsid w:val="00267FA0"/>
    <w:rsid w:val="00267FB4"/>
    <w:rsid w:val="00270011"/>
    <w:rsid w:val="0027006C"/>
    <w:rsid w:val="0027007C"/>
    <w:rsid w:val="00270103"/>
    <w:rsid w:val="002701A9"/>
    <w:rsid w:val="002701FD"/>
    <w:rsid w:val="0027026F"/>
    <w:rsid w:val="002702A7"/>
    <w:rsid w:val="0027035C"/>
    <w:rsid w:val="0027036B"/>
    <w:rsid w:val="0027036C"/>
    <w:rsid w:val="0027043C"/>
    <w:rsid w:val="00270445"/>
    <w:rsid w:val="0027046A"/>
    <w:rsid w:val="002704D8"/>
    <w:rsid w:val="00270540"/>
    <w:rsid w:val="0027057E"/>
    <w:rsid w:val="00270613"/>
    <w:rsid w:val="00270632"/>
    <w:rsid w:val="0027075E"/>
    <w:rsid w:val="00270772"/>
    <w:rsid w:val="00270781"/>
    <w:rsid w:val="00270866"/>
    <w:rsid w:val="00270879"/>
    <w:rsid w:val="002708A9"/>
    <w:rsid w:val="00270900"/>
    <w:rsid w:val="002709F7"/>
    <w:rsid w:val="00270A82"/>
    <w:rsid w:val="00270B17"/>
    <w:rsid w:val="00270B4B"/>
    <w:rsid w:val="00270BCF"/>
    <w:rsid w:val="00270C11"/>
    <w:rsid w:val="00270D14"/>
    <w:rsid w:val="00270D70"/>
    <w:rsid w:val="00270D95"/>
    <w:rsid w:val="00270DCF"/>
    <w:rsid w:val="00270E42"/>
    <w:rsid w:val="00270E5D"/>
    <w:rsid w:val="00270E65"/>
    <w:rsid w:val="00270F2B"/>
    <w:rsid w:val="00270F89"/>
    <w:rsid w:val="00270FCE"/>
    <w:rsid w:val="00271112"/>
    <w:rsid w:val="00271159"/>
    <w:rsid w:val="0027126E"/>
    <w:rsid w:val="0027160F"/>
    <w:rsid w:val="00271629"/>
    <w:rsid w:val="0027164F"/>
    <w:rsid w:val="002716E3"/>
    <w:rsid w:val="00271713"/>
    <w:rsid w:val="0027174B"/>
    <w:rsid w:val="00271795"/>
    <w:rsid w:val="002717B4"/>
    <w:rsid w:val="0027183A"/>
    <w:rsid w:val="00271853"/>
    <w:rsid w:val="002718D8"/>
    <w:rsid w:val="00271994"/>
    <w:rsid w:val="002719C9"/>
    <w:rsid w:val="002719EF"/>
    <w:rsid w:val="002719FF"/>
    <w:rsid w:val="00271A9D"/>
    <w:rsid w:val="00271B0A"/>
    <w:rsid w:val="00271CB5"/>
    <w:rsid w:val="00271DBD"/>
    <w:rsid w:val="00271E24"/>
    <w:rsid w:val="00271F15"/>
    <w:rsid w:val="00271F65"/>
    <w:rsid w:val="00271F7B"/>
    <w:rsid w:val="00271FF5"/>
    <w:rsid w:val="002720C6"/>
    <w:rsid w:val="0027212F"/>
    <w:rsid w:val="00272145"/>
    <w:rsid w:val="00272244"/>
    <w:rsid w:val="0027229A"/>
    <w:rsid w:val="002722F3"/>
    <w:rsid w:val="00272341"/>
    <w:rsid w:val="002723A2"/>
    <w:rsid w:val="002723C0"/>
    <w:rsid w:val="002723F5"/>
    <w:rsid w:val="0027241A"/>
    <w:rsid w:val="0027244B"/>
    <w:rsid w:val="0027249F"/>
    <w:rsid w:val="002724D6"/>
    <w:rsid w:val="0027250E"/>
    <w:rsid w:val="00272589"/>
    <w:rsid w:val="00272621"/>
    <w:rsid w:val="00272637"/>
    <w:rsid w:val="002726FA"/>
    <w:rsid w:val="0027270D"/>
    <w:rsid w:val="00272727"/>
    <w:rsid w:val="002727F5"/>
    <w:rsid w:val="00272921"/>
    <w:rsid w:val="00272928"/>
    <w:rsid w:val="00272A14"/>
    <w:rsid w:val="00272B78"/>
    <w:rsid w:val="00272C21"/>
    <w:rsid w:val="00272C6B"/>
    <w:rsid w:val="00272CAE"/>
    <w:rsid w:val="00272DAA"/>
    <w:rsid w:val="00272E03"/>
    <w:rsid w:val="00272E1D"/>
    <w:rsid w:val="00272F22"/>
    <w:rsid w:val="00272F95"/>
    <w:rsid w:val="0027301E"/>
    <w:rsid w:val="0027303D"/>
    <w:rsid w:val="0027317E"/>
    <w:rsid w:val="002731B6"/>
    <w:rsid w:val="0027328C"/>
    <w:rsid w:val="00273299"/>
    <w:rsid w:val="00273371"/>
    <w:rsid w:val="00273565"/>
    <w:rsid w:val="00273580"/>
    <w:rsid w:val="002735A1"/>
    <w:rsid w:val="0027369E"/>
    <w:rsid w:val="002736B4"/>
    <w:rsid w:val="002736EC"/>
    <w:rsid w:val="00273752"/>
    <w:rsid w:val="002737BE"/>
    <w:rsid w:val="002737EB"/>
    <w:rsid w:val="00273808"/>
    <w:rsid w:val="0027389C"/>
    <w:rsid w:val="002738BC"/>
    <w:rsid w:val="00273AB8"/>
    <w:rsid w:val="00273B84"/>
    <w:rsid w:val="00273BBE"/>
    <w:rsid w:val="00273C2F"/>
    <w:rsid w:val="00273C44"/>
    <w:rsid w:val="00273C64"/>
    <w:rsid w:val="00273CA6"/>
    <w:rsid w:val="00273CC3"/>
    <w:rsid w:val="00273D28"/>
    <w:rsid w:val="00273D89"/>
    <w:rsid w:val="00273D97"/>
    <w:rsid w:val="00273E0A"/>
    <w:rsid w:val="00273E69"/>
    <w:rsid w:val="00273ED1"/>
    <w:rsid w:val="00273F3E"/>
    <w:rsid w:val="00273F58"/>
    <w:rsid w:val="00273FF5"/>
    <w:rsid w:val="0027405C"/>
    <w:rsid w:val="00274072"/>
    <w:rsid w:val="002740C4"/>
    <w:rsid w:val="0027417F"/>
    <w:rsid w:val="00274291"/>
    <w:rsid w:val="002742AB"/>
    <w:rsid w:val="0027433A"/>
    <w:rsid w:val="002743D8"/>
    <w:rsid w:val="002744A0"/>
    <w:rsid w:val="002744EB"/>
    <w:rsid w:val="002744F4"/>
    <w:rsid w:val="00274593"/>
    <w:rsid w:val="002745C2"/>
    <w:rsid w:val="002746D2"/>
    <w:rsid w:val="00274708"/>
    <w:rsid w:val="00274727"/>
    <w:rsid w:val="00274777"/>
    <w:rsid w:val="002748E4"/>
    <w:rsid w:val="00274909"/>
    <w:rsid w:val="00274924"/>
    <w:rsid w:val="00274969"/>
    <w:rsid w:val="00274973"/>
    <w:rsid w:val="00274982"/>
    <w:rsid w:val="00274986"/>
    <w:rsid w:val="00274A4A"/>
    <w:rsid w:val="00274A6E"/>
    <w:rsid w:val="00274AB6"/>
    <w:rsid w:val="00274ACD"/>
    <w:rsid w:val="00274AE0"/>
    <w:rsid w:val="00274B68"/>
    <w:rsid w:val="00274BBB"/>
    <w:rsid w:val="00274C50"/>
    <w:rsid w:val="00274D4A"/>
    <w:rsid w:val="00274E13"/>
    <w:rsid w:val="00274E8E"/>
    <w:rsid w:val="00274E9B"/>
    <w:rsid w:val="00274F55"/>
    <w:rsid w:val="0027501F"/>
    <w:rsid w:val="00275065"/>
    <w:rsid w:val="00275143"/>
    <w:rsid w:val="0027514D"/>
    <w:rsid w:val="00275268"/>
    <w:rsid w:val="002752D2"/>
    <w:rsid w:val="002752FC"/>
    <w:rsid w:val="0027533C"/>
    <w:rsid w:val="00275362"/>
    <w:rsid w:val="002753D8"/>
    <w:rsid w:val="002753EC"/>
    <w:rsid w:val="0027541E"/>
    <w:rsid w:val="002755A5"/>
    <w:rsid w:val="002756CC"/>
    <w:rsid w:val="002756DF"/>
    <w:rsid w:val="0027570C"/>
    <w:rsid w:val="0027576F"/>
    <w:rsid w:val="00275825"/>
    <w:rsid w:val="00275954"/>
    <w:rsid w:val="00275958"/>
    <w:rsid w:val="002759A8"/>
    <w:rsid w:val="00275A9C"/>
    <w:rsid w:val="00275AA2"/>
    <w:rsid w:val="00275BE1"/>
    <w:rsid w:val="00275C0E"/>
    <w:rsid w:val="00275C1C"/>
    <w:rsid w:val="00275C4D"/>
    <w:rsid w:val="00275C9D"/>
    <w:rsid w:val="00275CA6"/>
    <w:rsid w:val="00275CC9"/>
    <w:rsid w:val="00275CDD"/>
    <w:rsid w:val="00275D04"/>
    <w:rsid w:val="00275E0A"/>
    <w:rsid w:val="00275E63"/>
    <w:rsid w:val="00275E97"/>
    <w:rsid w:val="00275EC3"/>
    <w:rsid w:val="00275ED1"/>
    <w:rsid w:val="00275EE3"/>
    <w:rsid w:val="00275FBE"/>
    <w:rsid w:val="0027606D"/>
    <w:rsid w:val="00276081"/>
    <w:rsid w:val="002760C0"/>
    <w:rsid w:val="002760F0"/>
    <w:rsid w:val="0027614E"/>
    <w:rsid w:val="002761F1"/>
    <w:rsid w:val="0027624A"/>
    <w:rsid w:val="00276370"/>
    <w:rsid w:val="002763B7"/>
    <w:rsid w:val="002763C4"/>
    <w:rsid w:val="0027658E"/>
    <w:rsid w:val="0027676E"/>
    <w:rsid w:val="002767A1"/>
    <w:rsid w:val="002767C8"/>
    <w:rsid w:val="00276881"/>
    <w:rsid w:val="00276983"/>
    <w:rsid w:val="00276A08"/>
    <w:rsid w:val="00276A19"/>
    <w:rsid w:val="00276BA9"/>
    <w:rsid w:val="00276BBC"/>
    <w:rsid w:val="00276BD1"/>
    <w:rsid w:val="00276BE3"/>
    <w:rsid w:val="00276CFF"/>
    <w:rsid w:val="00276D23"/>
    <w:rsid w:val="00276D57"/>
    <w:rsid w:val="00276EF2"/>
    <w:rsid w:val="002770B3"/>
    <w:rsid w:val="002770EC"/>
    <w:rsid w:val="002770FD"/>
    <w:rsid w:val="00277109"/>
    <w:rsid w:val="002772A4"/>
    <w:rsid w:val="0027747E"/>
    <w:rsid w:val="002774CA"/>
    <w:rsid w:val="002774ED"/>
    <w:rsid w:val="002774FA"/>
    <w:rsid w:val="0027754D"/>
    <w:rsid w:val="00277571"/>
    <w:rsid w:val="002775AA"/>
    <w:rsid w:val="002775B2"/>
    <w:rsid w:val="00277634"/>
    <w:rsid w:val="002776A0"/>
    <w:rsid w:val="00277796"/>
    <w:rsid w:val="0027780C"/>
    <w:rsid w:val="00277878"/>
    <w:rsid w:val="00277927"/>
    <w:rsid w:val="0027795C"/>
    <w:rsid w:val="00277974"/>
    <w:rsid w:val="0027797B"/>
    <w:rsid w:val="002779CC"/>
    <w:rsid w:val="002779D2"/>
    <w:rsid w:val="002779D6"/>
    <w:rsid w:val="00277A14"/>
    <w:rsid w:val="00277A3A"/>
    <w:rsid w:val="00277A9D"/>
    <w:rsid w:val="00277ABC"/>
    <w:rsid w:val="00277B51"/>
    <w:rsid w:val="00277B7E"/>
    <w:rsid w:val="00277BAB"/>
    <w:rsid w:val="00277BBE"/>
    <w:rsid w:val="00277BCB"/>
    <w:rsid w:val="00277C04"/>
    <w:rsid w:val="00277C3B"/>
    <w:rsid w:val="00277CDA"/>
    <w:rsid w:val="00277D48"/>
    <w:rsid w:val="00277D58"/>
    <w:rsid w:val="00277D76"/>
    <w:rsid w:val="00277D80"/>
    <w:rsid w:val="00277DE9"/>
    <w:rsid w:val="00277E49"/>
    <w:rsid w:val="00277E5B"/>
    <w:rsid w:val="00277F65"/>
    <w:rsid w:val="00277FA3"/>
    <w:rsid w:val="00277FC0"/>
    <w:rsid w:val="00280026"/>
    <w:rsid w:val="0028005E"/>
    <w:rsid w:val="00280174"/>
    <w:rsid w:val="002801D9"/>
    <w:rsid w:val="002801DC"/>
    <w:rsid w:val="002802AE"/>
    <w:rsid w:val="00280300"/>
    <w:rsid w:val="0028048D"/>
    <w:rsid w:val="002804BB"/>
    <w:rsid w:val="002804C0"/>
    <w:rsid w:val="002805B2"/>
    <w:rsid w:val="002805DD"/>
    <w:rsid w:val="002805FB"/>
    <w:rsid w:val="00280680"/>
    <w:rsid w:val="0028069B"/>
    <w:rsid w:val="002806F2"/>
    <w:rsid w:val="002806F8"/>
    <w:rsid w:val="00280754"/>
    <w:rsid w:val="00280760"/>
    <w:rsid w:val="00280785"/>
    <w:rsid w:val="002807AA"/>
    <w:rsid w:val="00280802"/>
    <w:rsid w:val="00280866"/>
    <w:rsid w:val="00280880"/>
    <w:rsid w:val="002808B8"/>
    <w:rsid w:val="002808FF"/>
    <w:rsid w:val="00280909"/>
    <w:rsid w:val="00280AAD"/>
    <w:rsid w:val="00280B25"/>
    <w:rsid w:val="00280B3E"/>
    <w:rsid w:val="00280B70"/>
    <w:rsid w:val="00280CA3"/>
    <w:rsid w:val="00280DA6"/>
    <w:rsid w:val="00280DAA"/>
    <w:rsid w:val="00280DEC"/>
    <w:rsid w:val="00280E0A"/>
    <w:rsid w:val="00280E24"/>
    <w:rsid w:val="00280EDA"/>
    <w:rsid w:val="00280F12"/>
    <w:rsid w:val="00280F19"/>
    <w:rsid w:val="00280F1E"/>
    <w:rsid w:val="00280F36"/>
    <w:rsid w:val="00280F46"/>
    <w:rsid w:val="00280F47"/>
    <w:rsid w:val="00280F5E"/>
    <w:rsid w:val="00280FA7"/>
    <w:rsid w:val="00281037"/>
    <w:rsid w:val="00281072"/>
    <w:rsid w:val="002810F2"/>
    <w:rsid w:val="00281173"/>
    <w:rsid w:val="002811AF"/>
    <w:rsid w:val="002811D1"/>
    <w:rsid w:val="0028120E"/>
    <w:rsid w:val="002812D9"/>
    <w:rsid w:val="002812DE"/>
    <w:rsid w:val="002812DF"/>
    <w:rsid w:val="00281301"/>
    <w:rsid w:val="0028141E"/>
    <w:rsid w:val="00281436"/>
    <w:rsid w:val="0028146C"/>
    <w:rsid w:val="002814A9"/>
    <w:rsid w:val="002815B0"/>
    <w:rsid w:val="0028160C"/>
    <w:rsid w:val="00281666"/>
    <w:rsid w:val="0028166A"/>
    <w:rsid w:val="00281772"/>
    <w:rsid w:val="002817C6"/>
    <w:rsid w:val="00281800"/>
    <w:rsid w:val="00281815"/>
    <w:rsid w:val="00281854"/>
    <w:rsid w:val="002818B6"/>
    <w:rsid w:val="0028191A"/>
    <w:rsid w:val="00281949"/>
    <w:rsid w:val="002819BB"/>
    <w:rsid w:val="00281A1B"/>
    <w:rsid w:val="00281A62"/>
    <w:rsid w:val="00281A6A"/>
    <w:rsid w:val="00281A78"/>
    <w:rsid w:val="00281B2F"/>
    <w:rsid w:val="00281B34"/>
    <w:rsid w:val="00281B93"/>
    <w:rsid w:val="00281BB3"/>
    <w:rsid w:val="00281CEF"/>
    <w:rsid w:val="00281D9F"/>
    <w:rsid w:val="00281E7D"/>
    <w:rsid w:val="00281EAE"/>
    <w:rsid w:val="00281EF8"/>
    <w:rsid w:val="00281FCE"/>
    <w:rsid w:val="0028218B"/>
    <w:rsid w:val="002822A9"/>
    <w:rsid w:val="002822E2"/>
    <w:rsid w:val="0028230D"/>
    <w:rsid w:val="00282387"/>
    <w:rsid w:val="002823A0"/>
    <w:rsid w:val="002823F0"/>
    <w:rsid w:val="00282407"/>
    <w:rsid w:val="0028243C"/>
    <w:rsid w:val="00282488"/>
    <w:rsid w:val="0028248F"/>
    <w:rsid w:val="002825CA"/>
    <w:rsid w:val="0028260A"/>
    <w:rsid w:val="002826DD"/>
    <w:rsid w:val="0028278A"/>
    <w:rsid w:val="0028278E"/>
    <w:rsid w:val="00282797"/>
    <w:rsid w:val="0028290D"/>
    <w:rsid w:val="00282951"/>
    <w:rsid w:val="00282A66"/>
    <w:rsid w:val="00282B57"/>
    <w:rsid w:val="00282C26"/>
    <w:rsid w:val="00282C34"/>
    <w:rsid w:val="00282CE3"/>
    <w:rsid w:val="00282D0E"/>
    <w:rsid w:val="00282D1F"/>
    <w:rsid w:val="00282DE5"/>
    <w:rsid w:val="00282E40"/>
    <w:rsid w:val="00282E90"/>
    <w:rsid w:val="00282F3C"/>
    <w:rsid w:val="00282F74"/>
    <w:rsid w:val="00282F78"/>
    <w:rsid w:val="00283070"/>
    <w:rsid w:val="00283099"/>
    <w:rsid w:val="002830C9"/>
    <w:rsid w:val="002830E2"/>
    <w:rsid w:val="00283103"/>
    <w:rsid w:val="00283114"/>
    <w:rsid w:val="0028317D"/>
    <w:rsid w:val="0028318C"/>
    <w:rsid w:val="00283212"/>
    <w:rsid w:val="00283255"/>
    <w:rsid w:val="00283425"/>
    <w:rsid w:val="0028350A"/>
    <w:rsid w:val="00283548"/>
    <w:rsid w:val="0028369A"/>
    <w:rsid w:val="002836ED"/>
    <w:rsid w:val="002837EC"/>
    <w:rsid w:val="00283810"/>
    <w:rsid w:val="0028382A"/>
    <w:rsid w:val="00283875"/>
    <w:rsid w:val="002838BF"/>
    <w:rsid w:val="002839E8"/>
    <w:rsid w:val="002839F1"/>
    <w:rsid w:val="00283B31"/>
    <w:rsid w:val="00283B4B"/>
    <w:rsid w:val="00283B5B"/>
    <w:rsid w:val="00283BE9"/>
    <w:rsid w:val="00283C69"/>
    <w:rsid w:val="00283C6D"/>
    <w:rsid w:val="00283CFA"/>
    <w:rsid w:val="00283D07"/>
    <w:rsid w:val="00283DAF"/>
    <w:rsid w:val="00283E5B"/>
    <w:rsid w:val="00283E86"/>
    <w:rsid w:val="00283EBF"/>
    <w:rsid w:val="00283ED4"/>
    <w:rsid w:val="00283F63"/>
    <w:rsid w:val="00283F9D"/>
    <w:rsid w:val="00283FD8"/>
    <w:rsid w:val="00284038"/>
    <w:rsid w:val="002840D1"/>
    <w:rsid w:val="002840E0"/>
    <w:rsid w:val="002841BF"/>
    <w:rsid w:val="002841EF"/>
    <w:rsid w:val="0028421D"/>
    <w:rsid w:val="002842A5"/>
    <w:rsid w:val="002842C0"/>
    <w:rsid w:val="002843A5"/>
    <w:rsid w:val="00284457"/>
    <w:rsid w:val="002844A9"/>
    <w:rsid w:val="002844E1"/>
    <w:rsid w:val="00284508"/>
    <w:rsid w:val="00284537"/>
    <w:rsid w:val="00284591"/>
    <w:rsid w:val="002845EF"/>
    <w:rsid w:val="00284607"/>
    <w:rsid w:val="00284632"/>
    <w:rsid w:val="002846C5"/>
    <w:rsid w:val="002846CD"/>
    <w:rsid w:val="00284708"/>
    <w:rsid w:val="002847BA"/>
    <w:rsid w:val="0028480F"/>
    <w:rsid w:val="00284831"/>
    <w:rsid w:val="002848B4"/>
    <w:rsid w:val="002848C2"/>
    <w:rsid w:val="002848EF"/>
    <w:rsid w:val="002848F8"/>
    <w:rsid w:val="00284990"/>
    <w:rsid w:val="002849F6"/>
    <w:rsid w:val="00284A5E"/>
    <w:rsid w:val="00284B97"/>
    <w:rsid w:val="00284BED"/>
    <w:rsid w:val="00284C4C"/>
    <w:rsid w:val="00284C56"/>
    <w:rsid w:val="00284CA0"/>
    <w:rsid w:val="00284CFD"/>
    <w:rsid w:val="00284D7C"/>
    <w:rsid w:val="00284D90"/>
    <w:rsid w:val="00284DBC"/>
    <w:rsid w:val="00284E39"/>
    <w:rsid w:val="00284E3E"/>
    <w:rsid w:val="00284EBD"/>
    <w:rsid w:val="00284F02"/>
    <w:rsid w:val="00284F21"/>
    <w:rsid w:val="00284FA0"/>
    <w:rsid w:val="00284FAA"/>
    <w:rsid w:val="0028500D"/>
    <w:rsid w:val="00285063"/>
    <w:rsid w:val="002850E9"/>
    <w:rsid w:val="0028512E"/>
    <w:rsid w:val="00285154"/>
    <w:rsid w:val="00285217"/>
    <w:rsid w:val="0028521E"/>
    <w:rsid w:val="0028522D"/>
    <w:rsid w:val="0028523D"/>
    <w:rsid w:val="002852C5"/>
    <w:rsid w:val="002852F5"/>
    <w:rsid w:val="0028535C"/>
    <w:rsid w:val="002853C2"/>
    <w:rsid w:val="002853DF"/>
    <w:rsid w:val="0028542D"/>
    <w:rsid w:val="0028545F"/>
    <w:rsid w:val="002854B7"/>
    <w:rsid w:val="00285533"/>
    <w:rsid w:val="002855F1"/>
    <w:rsid w:val="0028563C"/>
    <w:rsid w:val="002856F7"/>
    <w:rsid w:val="0028576F"/>
    <w:rsid w:val="00285793"/>
    <w:rsid w:val="002858E3"/>
    <w:rsid w:val="002858F0"/>
    <w:rsid w:val="00285904"/>
    <w:rsid w:val="002859AB"/>
    <w:rsid w:val="002859F8"/>
    <w:rsid w:val="00285A5A"/>
    <w:rsid w:val="00285A5D"/>
    <w:rsid w:val="00285A8D"/>
    <w:rsid w:val="00285A91"/>
    <w:rsid w:val="00285AFB"/>
    <w:rsid w:val="00285B10"/>
    <w:rsid w:val="00285C02"/>
    <w:rsid w:val="00285C54"/>
    <w:rsid w:val="00285C7D"/>
    <w:rsid w:val="00285CA6"/>
    <w:rsid w:val="00285D71"/>
    <w:rsid w:val="00285DF1"/>
    <w:rsid w:val="00285E28"/>
    <w:rsid w:val="00285E47"/>
    <w:rsid w:val="00285E80"/>
    <w:rsid w:val="00285E87"/>
    <w:rsid w:val="00285F06"/>
    <w:rsid w:val="00285FCD"/>
    <w:rsid w:val="00285FDE"/>
    <w:rsid w:val="00286063"/>
    <w:rsid w:val="00286099"/>
    <w:rsid w:val="002860E7"/>
    <w:rsid w:val="00286265"/>
    <w:rsid w:val="002862C6"/>
    <w:rsid w:val="0028639A"/>
    <w:rsid w:val="002863CB"/>
    <w:rsid w:val="0028640D"/>
    <w:rsid w:val="00286513"/>
    <w:rsid w:val="00286529"/>
    <w:rsid w:val="00286542"/>
    <w:rsid w:val="0028654E"/>
    <w:rsid w:val="00286664"/>
    <w:rsid w:val="00286707"/>
    <w:rsid w:val="00286727"/>
    <w:rsid w:val="00286751"/>
    <w:rsid w:val="00286794"/>
    <w:rsid w:val="0028684D"/>
    <w:rsid w:val="0028686A"/>
    <w:rsid w:val="0028693F"/>
    <w:rsid w:val="00286A97"/>
    <w:rsid w:val="00286AEE"/>
    <w:rsid w:val="00286AFC"/>
    <w:rsid w:val="00286B02"/>
    <w:rsid w:val="00286B99"/>
    <w:rsid w:val="00286BA0"/>
    <w:rsid w:val="00286C92"/>
    <w:rsid w:val="00286C9B"/>
    <w:rsid w:val="00286D6A"/>
    <w:rsid w:val="00286F30"/>
    <w:rsid w:val="00286F35"/>
    <w:rsid w:val="002870D8"/>
    <w:rsid w:val="00287104"/>
    <w:rsid w:val="00287112"/>
    <w:rsid w:val="00287119"/>
    <w:rsid w:val="002871B8"/>
    <w:rsid w:val="002871CC"/>
    <w:rsid w:val="002872AC"/>
    <w:rsid w:val="002872ED"/>
    <w:rsid w:val="00287327"/>
    <w:rsid w:val="002873A0"/>
    <w:rsid w:val="0028747F"/>
    <w:rsid w:val="0028750A"/>
    <w:rsid w:val="002875D7"/>
    <w:rsid w:val="002875E4"/>
    <w:rsid w:val="0028766F"/>
    <w:rsid w:val="002876FF"/>
    <w:rsid w:val="0028773F"/>
    <w:rsid w:val="002877CE"/>
    <w:rsid w:val="00287819"/>
    <w:rsid w:val="00287835"/>
    <w:rsid w:val="00287859"/>
    <w:rsid w:val="002878D8"/>
    <w:rsid w:val="002878EA"/>
    <w:rsid w:val="002878ED"/>
    <w:rsid w:val="0028792A"/>
    <w:rsid w:val="00287931"/>
    <w:rsid w:val="00287962"/>
    <w:rsid w:val="00287982"/>
    <w:rsid w:val="0028799F"/>
    <w:rsid w:val="002879A5"/>
    <w:rsid w:val="002879B8"/>
    <w:rsid w:val="002879DB"/>
    <w:rsid w:val="002879E5"/>
    <w:rsid w:val="00287B21"/>
    <w:rsid w:val="00287B41"/>
    <w:rsid w:val="00287CA0"/>
    <w:rsid w:val="00287CD7"/>
    <w:rsid w:val="00287DB9"/>
    <w:rsid w:val="00287DF0"/>
    <w:rsid w:val="00287E8E"/>
    <w:rsid w:val="00287F36"/>
    <w:rsid w:val="00287FF1"/>
    <w:rsid w:val="00290029"/>
    <w:rsid w:val="00290088"/>
    <w:rsid w:val="00290127"/>
    <w:rsid w:val="002901E9"/>
    <w:rsid w:val="0029022C"/>
    <w:rsid w:val="0029022F"/>
    <w:rsid w:val="00290339"/>
    <w:rsid w:val="00290387"/>
    <w:rsid w:val="0029045E"/>
    <w:rsid w:val="0029050A"/>
    <w:rsid w:val="002905FC"/>
    <w:rsid w:val="00290606"/>
    <w:rsid w:val="002908C2"/>
    <w:rsid w:val="002908F3"/>
    <w:rsid w:val="0029093F"/>
    <w:rsid w:val="00290A12"/>
    <w:rsid w:val="00290A3D"/>
    <w:rsid w:val="00290AB1"/>
    <w:rsid w:val="00290B9F"/>
    <w:rsid w:val="00290C86"/>
    <w:rsid w:val="00290D0A"/>
    <w:rsid w:val="00290D19"/>
    <w:rsid w:val="00290D52"/>
    <w:rsid w:val="00290D99"/>
    <w:rsid w:val="00290E09"/>
    <w:rsid w:val="00290E36"/>
    <w:rsid w:val="00290E95"/>
    <w:rsid w:val="00290F06"/>
    <w:rsid w:val="00290F54"/>
    <w:rsid w:val="00290F58"/>
    <w:rsid w:val="00290FA6"/>
    <w:rsid w:val="00291111"/>
    <w:rsid w:val="00291176"/>
    <w:rsid w:val="002911A2"/>
    <w:rsid w:val="002911D4"/>
    <w:rsid w:val="00291250"/>
    <w:rsid w:val="00291368"/>
    <w:rsid w:val="0029137D"/>
    <w:rsid w:val="00291389"/>
    <w:rsid w:val="0029139C"/>
    <w:rsid w:val="002914B4"/>
    <w:rsid w:val="002914CA"/>
    <w:rsid w:val="002914ED"/>
    <w:rsid w:val="002914F1"/>
    <w:rsid w:val="00291558"/>
    <w:rsid w:val="00291596"/>
    <w:rsid w:val="002915C4"/>
    <w:rsid w:val="002916AA"/>
    <w:rsid w:val="002916C5"/>
    <w:rsid w:val="002916EB"/>
    <w:rsid w:val="002916ED"/>
    <w:rsid w:val="00291711"/>
    <w:rsid w:val="00291738"/>
    <w:rsid w:val="00291745"/>
    <w:rsid w:val="00291774"/>
    <w:rsid w:val="00291826"/>
    <w:rsid w:val="00291837"/>
    <w:rsid w:val="0029187D"/>
    <w:rsid w:val="00291891"/>
    <w:rsid w:val="002918C7"/>
    <w:rsid w:val="0029191A"/>
    <w:rsid w:val="002919D2"/>
    <w:rsid w:val="002919DE"/>
    <w:rsid w:val="00291A25"/>
    <w:rsid w:val="00291A89"/>
    <w:rsid w:val="00291B02"/>
    <w:rsid w:val="00291BDF"/>
    <w:rsid w:val="00291BF7"/>
    <w:rsid w:val="00291C93"/>
    <w:rsid w:val="00291CB1"/>
    <w:rsid w:val="00291CC9"/>
    <w:rsid w:val="00291D05"/>
    <w:rsid w:val="00291D48"/>
    <w:rsid w:val="00291D8A"/>
    <w:rsid w:val="00291DB5"/>
    <w:rsid w:val="00291DF1"/>
    <w:rsid w:val="00291DF7"/>
    <w:rsid w:val="00291E07"/>
    <w:rsid w:val="00291E92"/>
    <w:rsid w:val="00291F0F"/>
    <w:rsid w:val="00291FC1"/>
    <w:rsid w:val="00292016"/>
    <w:rsid w:val="00292048"/>
    <w:rsid w:val="002920A1"/>
    <w:rsid w:val="00292171"/>
    <w:rsid w:val="002921ED"/>
    <w:rsid w:val="002921FF"/>
    <w:rsid w:val="0029221F"/>
    <w:rsid w:val="00292274"/>
    <w:rsid w:val="00292279"/>
    <w:rsid w:val="0029228D"/>
    <w:rsid w:val="00292296"/>
    <w:rsid w:val="00292421"/>
    <w:rsid w:val="00292438"/>
    <w:rsid w:val="00292458"/>
    <w:rsid w:val="0029246C"/>
    <w:rsid w:val="002925A2"/>
    <w:rsid w:val="00292634"/>
    <w:rsid w:val="00292657"/>
    <w:rsid w:val="002926A4"/>
    <w:rsid w:val="00292726"/>
    <w:rsid w:val="00292783"/>
    <w:rsid w:val="00292806"/>
    <w:rsid w:val="0029290C"/>
    <w:rsid w:val="00292915"/>
    <w:rsid w:val="002929D3"/>
    <w:rsid w:val="00292ABB"/>
    <w:rsid w:val="00292B19"/>
    <w:rsid w:val="00292B56"/>
    <w:rsid w:val="00292BC8"/>
    <w:rsid w:val="00292BF9"/>
    <w:rsid w:val="00292C14"/>
    <w:rsid w:val="00292C1C"/>
    <w:rsid w:val="00292C6E"/>
    <w:rsid w:val="00292D87"/>
    <w:rsid w:val="00292F1B"/>
    <w:rsid w:val="00293063"/>
    <w:rsid w:val="00293081"/>
    <w:rsid w:val="002930C2"/>
    <w:rsid w:val="00293149"/>
    <w:rsid w:val="00293201"/>
    <w:rsid w:val="0029323D"/>
    <w:rsid w:val="00293268"/>
    <w:rsid w:val="0029328B"/>
    <w:rsid w:val="002932B5"/>
    <w:rsid w:val="00293363"/>
    <w:rsid w:val="00293464"/>
    <w:rsid w:val="0029354F"/>
    <w:rsid w:val="002935A2"/>
    <w:rsid w:val="002935D9"/>
    <w:rsid w:val="002935F8"/>
    <w:rsid w:val="0029380B"/>
    <w:rsid w:val="0029390E"/>
    <w:rsid w:val="0029392E"/>
    <w:rsid w:val="002939DB"/>
    <w:rsid w:val="002939FD"/>
    <w:rsid w:val="00293ACB"/>
    <w:rsid w:val="00293AF1"/>
    <w:rsid w:val="00293BC4"/>
    <w:rsid w:val="00293C42"/>
    <w:rsid w:val="00293C69"/>
    <w:rsid w:val="00293C75"/>
    <w:rsid w:val="00293C87"/>
    <w:rsid w:val="00293CF1"/>
    <w:rsid w:val="00293CFB"/>
    <w:rsid w:val="00293DA7"/>
    <w:rsid w:val="00293E2E"/>
    <w:rsid w:val="00293E2F"/>
    <w:rsid w:val="00293F2D"/>
    <w:rsid w:val="00293F6E"/>
    <w:rsid w:val="00293F98"/>
    <w:rsid w:val="00293FA2"/>
    <w:rsid w:val="00293FA7"/>
    <w:rsid w:val="00293FF0"/>
    <w:rsid w:val="00293FF8"/>
    <w:rsid w:val="00293FFA"/>
    <w:rsid w:val="00294054"/>
    <w:rsid w:val="002940C6"/>
    <w:rsid w:val="0029410F"/>
    <w:rsid w:val="0029416E"/>
    <w:rsid w:val="00294255"/>
    <w:rsid w:val="002942DC"/>
    <w:rsid w:val="00294315"/>
    <w:rsid w:val="0029432A"/>
    <w:rsid w:val="00294341"/>
    <w:rsid w:val="002943E5"/>
    <w:rsid w:val="0029443E"/>
    <w:rsid w:val="002944DA"/>
    <w:rsid w:val="002944DB"/>
    <w:rsid w:val="0029453E"/>
    <w:rsid w:val="0029456E"/>
    <w:rsid w:val="002945A3"/>
    <w:rsid w:val="002945C4"/>
    <w:rsid w:val="002945F1"/>
    <w:rsid w:val="0029473F"/>
    <w:rsid w:val="00294846"/>
    <w:rsid w:val="0029485D"/>
    <w:rsid w:val="002948B0"/>
    <w:rsid w:val="0029494F"/>
    <w:rsid w:val="002949B1"/>
    <w:rsid w:val="002949C8"/>
    <w:rsid w:val="002949EC"/>
    <w:rsid w:val="00294AC7"/>
    <w:rsid w:val="00294B39"/>
    <w:rsid w:val="00294B3A"/>
    <w:rsid w:val="00294B7B"/>
    <w:rsid w:val="00294C40"/>
    <w:rsid w:val="00294C88"/>
    <w:rsid w:val="00294D0A"/>
    <w:rsid w:val="00294D6E"/>
    <w:rsid w:val="00294E68"/>
    <w:rsid w:val="00294F1F"/>
    <w:rsid w:val="00294FE8"/>
    <w:rsid w:val="00295019"/>
    <w:rsid w:val="00295028"/>
    <w:rsid w:val="002950AC"/>
    <w:rsid w:val="002950B0"/>
    <w:rsid w:val="0029512F"/>
    <w:rsid w:val="00295192"/>
    <w:rsid w:val="002952E3"/>
    <w:rsid w:val="002952F4"/>
    <w:rsid w:val="0029530B"/>
    <w:rsid w:val="002953B5"/>
    <w:rsid w:val="0029558F"/>
    <w:rsid w:val="002955D3"/>
    <w:rsid w:val="00295608"/>
    <w:rsid w:val="0029560E"/>
    <w:rsid w:val="00295630"/>
    <w:rsid w:val="00295659"/>
    <w:rsid w:val="002956AE"/>
    <w:rsid w:val="002956CD"/>
    <w:rsid w:val="00295851"/>
    <w:rsid w:val="00295870"/>
    <w:rsid w:val="002958E9"/>
    <w:rsid w:val="00295928"/>
    <w:rsid w:val="00295981"/>
    <w:rsid w:val="002959D1"/>
    <w:rsid w:val="002959E4"/>
    <w:rsid w:val="00295A1E"/>
    <w:rsid w:val="00295A6D"/>
    <w:rsid w:val="00295A95"/>
    <w:rsid w:val="00295AB0"/>
    <w:rsid w:val="00295ACC"/>
    <w:rsid w:val="00295B06"/>
    <w:rsid w:val="00295B40"/>
    <w:rsid w:val="00295B64"/>
    <w:rsid w:val="00295B84"/>
    <w:rsid w:val="00295BCD"/>
    <w:rsid w:val="00295BE3"/>
    <w:rsid w:val="00295C10"/>
    <w:rsid w:val="00295C6F"/>
    <w:rsid w:val="00295CC3"/>
    <w:rsid w:val="00295CF5"/>
    <w:rsid w:val="00295DB7"/>
    <w:rsid w:val="00295DC6"/>
    <w:rsid w:val="00295EF8"/>
    <w:rsid w:val="00295F0B"/>
    <w:rsid w:val="00295F6F"/>
    <w:rsid w:val="00295FD5"/>
    <w:rsid w:val="002960B1"/>
    <w:rsid w:val="00296164"/>
    <w:rsid w:val="00296182"/>
    <w:rsid w:val="00296257"/>
    <w:rsid w:val="002962D9"/>
    <w:rsid w:val="002962E2"/>
    <w:rsid w:val="0029630F"/>
    <w:rsid w:val="002963F5"/>
    <w:rsid w:val="00296430"/>
    <w:rsid w:val="002964A1"/>
    <w:rsid w:val="002964FF"/>
    <w:rsid w:val="00296520"/>
    <w:rsid w:val="00296545"/>
    <w:rsid w:val="00296549"/>
    <w:rsid w:val="0029669F"/>
    <w:rsid w:val="002966A0"/>
    <w:rsid w:val="00296744"/>
    <w:rsid w:val="002967AC"/>
    <w:rsid w:val="002968B2"/>
    <w:rsid w:val="002968E0"/>
    <w:rsid w:val="002968E1"/>
    <w:rsid w:val="00296A6E"/>
    <w:rsid w:val="00296AFB"/>
    <w:rsid w:val="00296BCE"/>
    <w:rsid w:val="00296D6D"/>
    <w:rsid w:val="00296DCE"/>
    <w:rsid w:val="00296EA9"/>
    <w:rsid w:val="00296FD9"/>
    <w:rsid w:val="0029700B"/>
    <w:rsid w:val="0029703C"/>
    <w:rsid w:val="00297075"/>
    <w:rsid w:val="0029709F"/>
    <w:rsid w:val="002970D5"/>
    <w:rsid w:val="002972E6"/>
    <w:rsid w:val="002972F1"/>
    <w:rsid w:val="00297378"/>
    <w:rsid w:val="00297475"/>
    <w:rsid w:val="00297484"/>
    <w:rsid w:val="002974EE"/>
    <w:rsid w:val="0029751B"/>
    <w:rsid w:val="00297574"/>
    <w:rsid w:val="00297634"/>
    <w:rsid w:val="002976FA"/>
    <w:rsid w:val="002976FF"/>
    <w:rsid w:val="00297855"/>
    <w:rsid w:val="00297864"/>
    <w:rsid w:val="002978D8"/>
    <w:rsid w:val="002978E7"/>
    <w:rsid w:val="00297A40"/>
    <w:rsid w:val="00297ACD"/>
    <w:rsid w:val="00297B04"/>
    <w:rsid w:val="00297B28"/>
    <w:rsid w:val="00297B49"/>
    <w:rsid w:val="00297BA7"/>
    <w:rsid w:val="00297BB1"/>
    <w:rsid w:val="00297BCE"/>
    <w:rsid w:val="00297BDB"/>
    <w:rsid w:val="00297BE2"/>
    <w:rsid w:val="00297BEC"/>
    <w:rsid w:val="00297CA7"/>
    <w:rsid w:val="00297CBF"/>
    <w:rsid w:val="00297D15"/>
    <w:rsid w:val="00297D32"/>
    <w:rsid w:val="00297D8B"/>
    <w:rsid w:val="00297E9C"/>
    <w:rsid w:val="00297FA8"/>
    <w:rsid w:val="002A0047"/>
    <w:rsid w:val="002A0059"/>
    <w:rsid w:val="002A00DA"/>
    <w:rsid w:val="002A013C"/>
    <w:rsid w:val="002A0273"/>
    <w:rsid w:val="002A033D"/>
    <w:rsid w:val="002A03A3"/>
    <w:rsid w:val="002A03BB"/>
    <w:rsid w:val="002A03E1"/>
    <w:rsid w:val="002A0411"/>
    <w:rsid w:val="002A04E0"/>
    <w:rsid w:val="002A0633"/>
    <w:rsid w:val="002A064E"/>
    <w:rsid w:val="002A078B"/>
    <w:rsid w:val="002A07EC"/>
    <w:rsid w:val="002A0819"/>
    <w:rsid w:val="002A08ED"/>
    <w:rsid w:val="002A09A8"/>
    <w:rsid w:val="002A0AA7"/>
    <w:rsid w:val="002A0B98"/>
    <w:rsid w:val="002A0C21"/>
    <w:rsid w:val="002A0CC2"/>
    <w:rsid w:val="002A0D0F"/>
    <w:rsid w:val="002A0D5C"/>
    <w:rsid w:val="002A0D68"/>
    <w:rsid w:val="002A0D9C"/>
    <w:rsid w:val="002A0E3B"/>
    <w:rsid w:val="002A0F15"/>
    <w:rsid w:val="002A0F20"/>
    <w:rsid w:val="002A0FAB"/>
    <w:rsid w:val="002A0FD4"/>
    <w:rsid w:val="002A1003"/>
    <w:rsid w:val="002A100B"/>
    <w:rsid w:val="002A108A"/>
    <w:rsid w:val="002A10B8"/>
    <w:rsid w:val="002A10F3"/>
    <w:rsid w:val="002A112D"/>
    <w:rsid w:val="002A119B"/>
    <w:rsid w:val="002A11F9"/>
    <w:rsid w:val="002A12AE"/>
    <w:rsid w:val="002A12D9"/>
    <w:rsid w:val="002A12DC"/>
    <w:rsid w:val="002A138D"/>
    <w:rsid w:val="002A13C2"/>
    <w:rsid w:val="002A13C7"/>
    <w:rsid w:val="002A13F6"/>
    <w:rsid w:val="002A144E"/>
    <w:rsid w:val="002A152A"/>
    <w:rsid w:val="002A1675"/>
    <w:rsid w:val="002A1683"/>
    <w:rsid w:val="002A16B3"/>
    <w:rsid w:val="002A1728"/>
    <w:rsid w:val="002A1731"/>
    <w:rsid w:val="002A1776"/>
    <w:rsid w:val="002A1830"/>
    <w:rsid w:val="002A185F"/>
    <w:rsid w:val="002A189E"/>
    <w:rsid w:val="002A1A62"/>
    <w:rsid w:val="002A1A66"/>
    <w:rsid w:val="002A1ADC"/>
    <w:rsid w:val="002A1B36"/>
    <w:rsid w:val="002A1B4B"/>
    <w:rsid w:val="002A1B66"/>
    <w:rsid w:val="002A1BEC"/>
    <w:rsid w:val="002A1C15"/>
    <w:rsid w:val="002A1C2E"/>
    <w:rsid w:val="002A1C43"/>
    <w:rsid w:val="002A1D1D"/>
    <w:rsid w:val="002A1D88"/>
    <w:rsid w:val="002A1E59"/>
    <w:rsid w:val="002A1ECD"/>
    <w:rsid w:val="002A1F11"/>
    <w:rsid w:val="002A20DA"/>
    <w:rsid w:val="002A2125"/>
    <w:rsid w:val="002A218F"/>
    <w:rsid w:val="002A21F5"/>
    <w:rsid w:val="002A2200"/>
    <w:rsid w:val="002A2284"/>
    <w:rsid w:val="002A23F4"/>
    <w:rsid w:val="002A24E9"/>
    <w:rsid w:val="002A2650"/>
    <w:rsid w:val="002A2689"/>
    <w:rsid w:val="002A2715"/>
    <w:rsid w:val="002A271C"/>
    <w:rsid w:val="002A27B4"/>
    <w:rsid w:val="002A2990"/>
    <w:rsid w:val="002A2AC3"/>
    <w:rsid w:val="002A2AE6"/>
    <w:rsid w:val="002A2B01"/>
    <w:rsid w:val="002A2B90"/>
    <w:rsid w:val="002A2BB3"/>
    <w:rsid w:val="002A2CD3"/>
    <w:rsid w:val="002A2D7F"/>
    <w:rsid w:val="002A2DA0"/>
    <w:rsid w:val="002A2DE7"/>
    <w:rsid w:val="002A2E08"/>
    <w:rsid w:val="002A2E80"/>
    <w:rsid w:val="002A2FC2"/>
    <w:rsid w:val="002A2FCD"/>
    <w:rsid w:val="002A3008"/>
    <w:rsid w:val="002A3062"/>
    <w:rsid w:val="002A30D7"/>
    <w:rsid w:val="002A3187"/>
    <w:rsid w:val="002A31DF"/>
    <w:rsid w:val="002A324F"/>
    <w:rsid w:val="002A333B"/>
    <w:rsid w:val="002A3360"/>
    <w:rsid w:val="002A33A2"/>
    <w:rsid w:val="002A3469"/>
    <w:rsid w:val="002A346F"/>
    <w:rsid w:val="002A347C"/>
    <w:rsid w:val="002A354A"/>
    <w:rsid w:val="002A3849"/>
    <w:rsid w:val="002A3875"/>
    <w:rsid w:val="002A387E"/>
    <w:rsid w:val="002A38E2"/>
    <w:rsid w:val="002A3A1A"/>
    <w:rsid w:val="002A3A91"/>
    <w:rsid w:val="002A3A92"/>
    <w:rsid w:val="002A3ABC"/>
    <w:rsid w:val="002A3B03"/>
    <w:rsid w:val="002A3B07"/>
    <w:rsid w:val="002A3B6A"/>
    <w:rsid w:val="002A3BFE"/>
    <w:rsid w:val="002A3C03"/>
    <w:rsid w:val="002A3C2F"/>
    <w:rsid w:val="002A3C70"/>
    <w:rsid w:val="002A3CAD"/>
    <w:rsid w:val="002A3D5E"/>
    <w:rsid w:val="002A3DAE"/>
    <w:rsid w:val="002A3E3A"/>
    <w:rsid w:val="002A3E49"/>
    <w:rsid w:val="002A3E51"/>
    <w:rsid w:val="002A3E82"/>
    <w:rsid w:val="002A3E96"/>
    <w:rsid w:val="002A3EDD"/>
    <w:rsid w:val="002A3F6C"/>
    <w:rsid w:val="002A3FC3"/>
    <w:rsid w:val="002A4001"/>
    <w:rsid w:val="002A40CC"/>
    <w:rsid w:val="002A4160"/>
    <w:rsid w:val="002A419F"/>
    <w:rsid w:val="002A41D4"/>
    <w:rsid w:val="002A4253"/>
    <w:rsid w:val="002A425E"/>
    <w:rsid w:val="002A42AB"/>
    <w:rsid w:val="002A43BE"/>
    <w:rsid w:val="002A4430"/>
    <w:rsid w:val="002A4449"/>
    <w:rsid w:val="002A4460"/>
    <w:rsid w:val="002A44FD"/>
    <w:rsid w:val="002A4609"/>
    <w:rsid w:val="002A4618"/>
    <w:rsid w:val="002A4620"/>
    <w:rsid w:val="002A46C1"/>
    <w:rsid w:val="002A4706"/>
    <w:rsid w:val="002A4732"/>
    <w:rsid w:val="002A474D"/>
    <w:rsid w:val="002A47A6"/>
    <w:rsid w:val="002A48CF"/>
    <w:rsid w:val="002A48EF"/>
    <w:rsid w:val="002A48F9"/>
    <w:rsid w:val="002A4915"/>
    <w:rsid w:val="002A4963"/>
    <w:rsid w:val="002A49D7"/>
    <w:rsid w:val="002A4AB1"/>
    <w:rsid w:val="002A4AD5"/>
    <w:rsid w:val="002A4B33"/>
    <w:rsid w:val="002A4B70"/>
    <w:rsid w:val="002A4B74"/>
    <w:rsid w:val="002A4BF8"/>
    <w:rsid w:val="002A4C07"/>
    <w:rsid w:val="002A4CF7"/>
    <w:rsid w:val="002A4D23"/>
    <w:rsid w:val="002A4DC5"/>
    <w:rsid w:val="002A4DF1"/>
    <w:rsid w:val="002A4E73"/>
    <w:rsid w:val="002A4EB1"/>
    <w:rsid w:val="002A4F9C"/>
    <w:rsid w:val="002A4FB6"/>
    <w:rsid w:val="002A5034"/>
    <w:rsid w:val="002A5045"/>
    <w:rsid w:val="002A5046"/>
    <w:rsid w:val="002A50A1"/>
    <w:rsid w:val="002A50D4"/>
    <w:rsid w:val="002A50DB"/>
    <w:rsid w:val="002A50DF"/>
    <w:rsid w:val="002A51CA"/>
    <w:rsid w:val="002A5248"/>
    <w:rsid w:val="002A5287"/>
    <w:rsid w:val="002A5326"/>
    <w:rsid w:val="002A5386"/>
    <w:rsid w:val="002A53B6"/>
    <w:rsid w:val="002A53D6"/>
    <w:rsid w:val="002A545E"/>
    <w:rsid w:val="002A54D9"/>
    <w:rsid w:val="002A55F8"/>
    <w:rsid w:val="002A5614"/>
    <w:rsid w:val="002A5638"/>
    <w:rsid w:val="002A56D2"/>
    <w:rsid w:val="002A56DC"/>
    <w:rsid w:val="002A57CF"/>
    <w:rsid w:val="002A58E4"/>
    <w:rsid w:val="002A5A1B"/>
    <w:rsid w:val="002A5A9D"/>
    <w:rsid w:val="002A5AB5"/>
    <w:rsid w:val="002A5AC5"/>
    <w:rsid w:val="002A5B0D"/>
    <w:rsid w:val="002A5B33"/>
    <w:rsid w:val="002A5BD5"/>
    <w:rsid w:val="002A5BE1"/>
    <w:rsid w:val="002A5C62"/>
    <w:rsid w:val="002A5C81"/>
    <w:rsid w:val="002A5CA7"/>
    <w:rsid w:val="002A5CDE"/>
    <w:rsid w:val="002A5DA3"/>
    <w:rsid w:val="002A5DEE"/>
    <w:rsid w:val="002A5EA1"/>
    <w:rsid w:val="002A5EE9"/>
    <w:rsid w:val="002A5F65"/>
    <w:rsid w:val="002A5F72"/>
    <w:rsid w:val="002A5FFE"/>
    <w:rsid w:val="002A605B"/>
    <w:rsid w:val="002A60AC"/>
    <w:rsid w:val="002A60F1"/>
    <w:rsid w:val="002A613A"/>
    <w:rsid w:val="002A6280"/>
    <w:rsid w:val="002A62C1"/>
    <w:rsid w:val="002A62F1"/>
    <w:rsid w:val="002A6316"/>
    <w:rsid w:val="002A6339"/>
    <w:rsid w:val="002A6346"/>
    <w:rsid w:val="002A634A"/>
    <w:rsid w:val="002A637E"/>
    <w:rsid w:val="002A6384"/>
    <w:rsid w:val="002A63B3"/>
    <w:rsid w:val="002A64BE"/>
    <w:rsid w:val="002A64E0"/>
    <w:rsid w:val="002A650F"/>
    <w:rsid w:val="002A657A"/>
    <w:rsid w:val="002A65CB"/>
    <w:rsid w:val="002A65F0"/>
    <w:rsid w:val="002A6602"/>
    <w:rsid w:val="002A664E"/>
    <w:rsid w:val="002A671B"/>
    <w:rsid w:val="002A67AF"/>
    <w:rsid w:val="002A6855"/>
    <w:rsid w:val="002A68BB"/>
    <w:rsid w:val="002A6913"/>
    <w:rsid w:val="002A6989"/>
    <w:rsid w:val="002A6BCB"/>
    <w:rsid w:val="002A6C0D"/>
    <w:rsid w:val="002A6C2E"/>
    <w:rsid w:val="002A6C85"/>
    <w:rsid w:val="002A6CB1"/>
    <w:rsid w:val="002A6DCC"/>
    <w:rsid w:val="002A6E31"/>
    <w:rsid w:val="002A6E48"/>
    <w:rsid w:val="002A6EA9"/>
    <w:rsid w:val="002A6F1B"/>
    <w:rsid w:val="002A6FAD"/>
    <w:rsid w:val="002A6FE3"/>
    <w:rsid w:val="002A700D"/>
    <w:rsid w:val="002A709E"/>
    <w:rsid w:val="002A70DD"/>
    <w:rsid w:val="002A7120"/>
    <w:rsid w:val="002A7271"/>
    <w:rsid w:val="002A7305"/>
    <w:rsid w:val="002A73D8"/>
    <w:rsid w:val="002A73E0"/>
    <w:rsid w:val="002A7405"/>
    <w:rsid w:val="002A74B3"/>
    <w:rsid w:val="002A7555"/>
    <w:rsid w:val="002A7596"/>
    <w:rsid w:val="002A75E5"/>
    <w:rsid w:val="002A75F8"/>
    <w:rsid w:val="002A768F"/>
    <w:rsid w:val="002A779A"/>
    <w:rsid w:val="002A77A7"/>
    <w:rsid w:val="002A77FF"/>
    <w:rsid w:val="002A780E"/>
    <w:rsid w:val="002A785A"/>
    <w:rsid w:val="002A788A"/>
    <w:rsid w:val="002A78A4"/>
    <w:rsid w:val="002A7906"/>
    <w:rsid w:val="002A790E"/>
    <w:rsid w:val="002A79DD"/>
    <w:rsid w:val="002A79FA"/>
    <w:rsid w:val="002A7AC5"/>
    <w:rsid w:val="002A7AFA"/>
    <w:rsid w:val="002A7B0B"/>
    <w:rsid w:val="002A7BA1"/>
    <w:rsid w:val="002A7BBE"/>
    <w:rsid w:val="002A7BF9"/>
    <w:rsid w:val="002A7D39"/>
    <w:rsid w:val="002A7D61"/>
    <w:rsid w:val="002A7D9F"/>
    <w:rsid w:val="002A7DAA"/>
    <w:rsid w:val="002A7DE1"/>
    <w:rsid w:val="002A7E2F"/>
    <w:rsid w:val="002A7E68"/>
    <w:rsid w:val="002A7ED6"/>
    <w:rsid w:val="002A7ED7"/>
    <w:rsid w:val="002A7F11"/>
    <w:rsid w:val="002A7F88"/>
    <w:rsid w:val="002B000D"/>
    <w:rsid w:val="002B0038"/>
    <w:rsid w:val="002B0039"/>
    <w:rsid w:val="002B00CF"/>
    <w:rsid w:val="002B0117"/>
    <w:rsid w:val="002B0189"/>
    <w:rsid w:val="002B01EE"/>
    <w:rsid w:val="002B0208"/>
    <w:rsid w:val="002B0239"/>
    <w:rsid w:val="002B02B4"/>
    <w:rsid w:val="002B02D4"/>
    <w:rsid w:val="002B02EB"/>
    <w:rsid w:val="002B0353"/>
    <w:rsid w:val="002B0385"/>
    <w:rsid w:val="002B03DE"/>
    <w:rsid w:val="002B0550"/>
    <w:rsid w:val="002B05A4"/>
    <w:rsid w:val="002B0649"/>
    <w:rsid w:val="002B0664"/>
    <w:rsid w:val="002B06A4"/>
    <w:rsid w:val="002B06CF"/>
    <w:rsid w:val="002B0895"/>
    <w:rsid w:val="002B08DE"/>
    <w:rsid w:val="002B094E"/>
    <w:rsid w:val="002B095D"/>
    <w:rsid w:val="002B09A1"/>
    <w:rsid w:val="002B0A16"/>
    <w:rsid w:val="002B0A38"/>
    <w:rsid w:val="002B0A48"/>
    <w:rsid w:val="002B0ABF"/>
    <w:rsid w:val="002B0AE7"/>
    <w:rsid w:val="002B0B2E"/>
    <w:rsid w:val="002B0B36"/>
    <w:rsid w:val="002B0BA4"/>
    <w:rsid w:val="002B0C27"/>
    <w:rsid w:val="002B0C31"/>
    <w:rsid w:val="002B0C5C"/>
    <w:rsid w:val="002B0C77"/>
    <w:rsid w:val="002B0CAC"/>
    <w:rsid w:val="002B0CB1"/>
    <w:rsid w:val="002B0DB2"/>
    <w:rsid w:val="002B0DF9"/>
    <w:rsid w:val="002B0E04"/>
    <w:rsid w:val="002B0EF9"/>
    <w:rsid w:val="002B0F27"/>
    <w:rsid w:val="002B0F90"/>
    <w:rsid w:val="002B0FEB"/>
    <w:rsid w:val="002B10FF"/>
    <w:rsid w:val="002B1123"/>
    <w:rsid w:val="002B11C1"/>
    <w:rsid w:val="002B1254"/>
    <w:rsid w:val="002B1286"/>
    <w:rsid w:val="002B133F"/>
    <w:rsid w:val="002B1355"/>
    <w:rsid w:val="002B13B1"/>
    <w:rsid w:val="002B142A"/>
    <w:rsid w:val="002B144C"/>
    <w:rsid w:val="002B160D"/>
    <w:rsid w:val="002B164C"/>
    <w:rsid w:val="002B165E"/>
    <w:rsid w:val="002B1667"/>
    <w:rsid w:val="002B1809"/>
    <w:rsid w:val="002B18B4"/>
    <w:rsid w:val="002B1922"/>
    <w:rsid w:val="002B195C"/>
    <w:rsid w:val="002B1995"/>
    <w:rsid w:val="002B19BD"/>
    <w:rsid w:val="002B1A1D"/>
    <w:rsid w:val="002B1A60"/>
    <w:rsid w:val="002B1B68"/>
    <w:rsid w:val="002B1B85"/>
    <w:rsid w:val="002B1D27"/>
    <w:rsid w:val="002B1D5B"/>
    <w:rsid w:val="002B1DA5"/>
    <w:rsid w:val="002B1DB5"/>
    <w:rsid w:val="002B1E68"/>
    <w:rsid w:val="002B1F0D"/>
    <w:rsid w:val="002B1F79"/>
    <w:rsid w:val="002B1FD4"/>
    <w:rsid w:val="002B2026"/>
    <w:rsid w:val="002B2083"/>
    <w:rsid w:val="002B20B6"/>
    <w:rsid w:val="002B2134"/>
    <w:rsid w:val="002B2196"/>
    <w:rsid w:val="002B21DA"/>
    <w:rsid w:val="002B2253"/>
    <w:rsid w:val="002B230D"/>
    <w:rsid w:val="002B2334"/>
    <w:rsid w:val="002B2345"/>
    <w:rsid w:val="002B23D6"/>
    <w:rsid w:val="002B23F9"/>
    <w:rsid w:val="002B244F"/>
    <w:rsid w:val="002B24B3"/>
    <w:rsid w:val="002B24B9"/>
    <w:rsid w:val="002B251E"/>
    <w:rsid w:val="002B252D"/>
    <w:rsid w:val="002B253A"/>
    <w:rsid w:val="002B2564"/>
    <w:rsid w:val="002B256C"/>
    <w:rsid w:val="002B25D9"/>
    <w:rsid w:val="002B2621"/>
    <w:rsid w:val="002B2687"/>
    <w:rsid w:val="002B26A2"/>
    <w:rsid w:val="002B285C"/>
    <w:rsid w:val="002B2898"/>
    <w:rsid w:val="002B289D"/>
    <w:rsid w:val="002B29EB"/>
    <w:rsid w:val="002B2A7B"/>
    <w:rsid w:val="002B2AD8"/>
    <w:rsid w:val="002B2CF4"/>
    <w:rsid w:val="002B2D19"/>
    <w:rsid w:val="002B2D1C"/>
    <w:rsid w:val="002B2D63"/>
    <w:rsid w:val="002B2DCB"/>
    <w:rsid w:val="002B2EC4"/>
    <w:rsid w:val="002B2F1F"/>
    <w:rsid w:val="002B2F28"/>
    <w:rsid w:val="002B2F86"/>
    <w:rsid w:val="002B2FB4"/>
    <w:rsid w:val="002B3013"/>
    <w:rsid w:val="002B305C"/>
    <w:rsid w:val="002B31A9"/>
    <w:rsid w:val="002B31EE"/>
    <w:rsid w:val="002B326A"/>
    <w:rsid w:val="002B3294"/>
    <w:rsid w:val="002B332F"/>
    <w:rsid w:val="002B33EE"/>
    <w:rsid w:val="002B3557"/>
    <w:rsid w:val="002B3578"/>
    <w:rsid w:val="002B36F1"/>
    <w:rsid w:val="002B3888"/>
    <w:rsid w:val="002B388C"/>
    <w:rsid w:val="002B38A4"/>
    <w:rsid w:val="002B3918"/>
    <w:rsid w:val="002B3986"/>
    <w:rsid w:val="002B3A84"/>
    <w:rsid w:val="002B3AD4"/>
    <w:rsid w:val="002B3B12"/>
    <w:rsid w:val="002B3B21"/>
    <w:rsid w:val="002B3B42"/>
    <w:rsid w:val="002B3B6A"/>
    <w:rsid w:val="002B3C14"/>
    <w:rsid w:val="002B3CB0"/>
    <w:rsid w:val="002B3CC6"/>
    <w:rsid w:val="002B3CCA"/>
    <w:rsid w:val="002B3CCE"/>
    <w:rsid w:val="002B3D51"/>
    <w:rsid w:val="002B3D7B"/>
    <w:rsid w:val="002B3DCD"/>
    <w:rsid w:val="002B3E01"/>
    <w:rsid w:val="002B3E3F"/>
    <w:rsid w:val="002B3E44"/>
    <w:rsid w:val="002B3E8B"/>
    <w:rsid w:val="002B3EE1"/>
    <w:rsid w:val="002B3F9F"/>
    <w:rsid w:val="002B3FBB"/>
    <w:rsid w:val="002B3FCC"/>
    <w:rsid w:val="002B404A"/>
    <w:rsid w:val="002B406D"/>
    <w:rsid w:val="002B40EB"/>
    <w:rsid w:val="002B4130"/>
    <w:rsid w:val="002B414A"/>
    <w:rsid w:val="002B4192"/>
    <w:rsid w:val="002B41AF"/>
    <w:rsid w:val="002B41CE"/>
    <w:rsid w:val="002B420B"/>
    <w:rsid w:val="002B4269"/>
    <w:rsid w:val="002B4287"/>
    <w:rsid w:val="002B42C3"/>
    <w:rsid w:val="002B4302"/>
    <w:rsid w:val="002B437A"/>
    <w:rsid w:val="002B437D"/>
    <w:rsid w:val="002B43E7"/>
    <w:rsid w:val="002B45BC"/>
    <w:rsid w:val="002B45C0"/>
    <w:rsid w:val="002B45E7"/>
    <w:rsid w:val="002B4665"/>
    <w:rsid w:val="002B467B"/>
    <w:rsid w:val="002B4698"/>
    <w:rsid w:val="002B4725"/>
    <w:rsid w:val="002B4798"/>
    <w:rsid w:val="002B4834"/>
    <w:rsid w:val="002B4913"/>
    <w:rsid w:val="002B49AE"/>
    <w:rsid w:val="002B49BE"/>
    <w:rsid w:val="002B4C2A"/>
    <w:rsid w:val="002B4CF3"/>
    <w:rsid w:val="002B4D4D"/>
    <w:rsid w:val="002B4D5F"/>
    <w:rsid w:val="002B4DBB"/>
    <w:rsid w:val="002B4DC4"/>
    <w:rsid w:val="002B4ED8"/>
    <w:rsid w:val="002B4EF6"/>
    <w:rsid w:val="002B4F0B"/>
    <w:rsid w:val="002B50AE"/>
    <w:rsid w:val="002B5117"/>
    <w:rsid w:val="002B535B"/>
    <w:rsid w:val="002B540D"/>
    <w:rsid w:val="002B54D5"/>
    <w:rsid w:val="002B54ED"/>
    <w:rsid w:val="002B558A"/>
    <w:rsid w:val="002B5617"/>
    <w:rsid w:val="002B566A"/>
    <w:rsid w:val="002B56D4"/>
    <w:rsid w:val="002B5709"/>
    <w:rsid w:val="002B575E"/>
    <w:rsid w:val="002B577E"/>
    <w:rsid w:val="002B57DD"/>
    <w:rsid w:val="002B57E1"/>
    <w:rsid w:val="002B57F0"/>
    <w:rsid w:val="002B58C3"/>
    <w:rsid w:val="002B5909"/>
    <w:rsid w:val="002B593A"/>
    <w:rsid w:val="002B59AE"/>
    <w:rsid w:val="002B5A8D"/>
    <w:rsid w:val="002B5AD2"/>
    <w:rsid w:val="002B5AF1"/>
    <w:rsid w:val="002B5B34"/>
    <w:rsid w:val="002B5B63"/>
    <w:rsid w:val="002B5BDD"/>
    <w:rsid w:val="002B5CC1"/>
    <w:rsid w:val="002B5CC8"/>
    <w:rsid w:val="002B5D7A"/>
    <w:rsid w:val="002B5D83"/>
    <w:rsid w:val="002B5E09"/>
    <w:rsid w:val="002B5E37"/>
    <w:rsid w:val="002B5E9E"/>
    <w:rsid w:val="002B5EE0"/>
    <w:rsid w:val="002B5FF7"/>
    <w:rsid w:val="002B60EB"/>
    <w:rsid w:val="002B6108"/>
    <w:rsid w:val="002B6187"/>
    <w:rsid w:val="002B61E2"/>
    <w:rsid w:val="002B625A"/>
    <w:rsid w:val="002B63E5"/>
    <w:rsid w:val="002B640A"/>
    <w:rsid w:val="002B6458"/>
    <w:rsid w:val="002B6568"/>
    <w:rsid w:val="002B657A"/>
    <w:rsid w:val="002B6674"/>
    <w:rsid w:val="002B66C7"/>
    <w:rsid w:val="002B6759"/>
    <w:rsid w:val="002B6772"/>
    <w:rsid w:val="002B67A3"/>
    <w:rsid w:val="002B68C6"/>
    <w:rsid w:val="002B694E"/>
    <w:rsid w:val="002B69FF"/>
    <w:rsid w:val="002B6AC5"/>
    <w:rsid w:val="002B6B1F"/>
    <w:rsid w:val="002B6B4D"/>
    <w:rsid w:val="002B6BC7"/>
    <w:rsid w:val="002B6C81"/>
    <w:rsid w:val="002B6C87"/>
    <w:rsid w:val="002B6C9A"/>
    <w:rsid w:val="002B6CA7"/>
    <w:rsid w:val="002B6CF0"/>
    <w:rsid w:val="002B6D4A"/>
    <w:rsid w:val="002B6E1C"/>
    <w:rsid w:val="002B6EA6"/>
    <w:rsid w:val="002B6EC0"/>
    <w:rsid w:val="002B6F0D"/>
    <w:rsid w:val="002B6FBF"/>
    <w:rsid w:val="002B7020"/>
    <w:rsid w:val="002B71B3"/>
    <w:rsid w:val="002B72A9"/>
    <w:rsid w:val="002B7360"/>
    <w:rsid w:val="002B73F4"/>
    <w:rsid w:val="002B749C"/>
    <w:rsid w:val="002B74B3"/>
    <w:rsid w:val="002B750A"/>
    <w:rsid w:val="002B7674"/>
    <w:rsid w:val="002B76B6"/>
    <w:rsid w:val="002B778E"/>
    <w:rsid w:val="002B786F"/>
    <w:rsid w:val="002B7A57"/>
    <w:rsid w:val="002B7A5D"/>
    <w:rsid w:val="002B7A87"/>
    <w:rsid w:val="002B7A91"/>
    <w:rsid w:val="002B7BA4"/>
    <w:rsid w:val="002B7BFE"/>
    <w:rsid w:val="002B7C10"/>
    <w:rsid w:val="002B7C23"/>
    <w:rsid w:val="002B7C87"/>
    <w:rsid w:val="002B7CBA"/>
    <w:rsid w:val="002B7D27"/>
    <w:rsid w:val="002B7EC9"/>
    <w:rsid w:val="002B7F30"/>
    <w:rsid w:val="002C008D"/>
    <w:rsid w:val="002C0201"/>
    <w:rsid w:val="002C0279"/>
    <w:rsid w:val="002C0328"/>
    <w:rsid w:val="002C032F"/>
    <w:rsid w:val="002C03D6"/>
    <w:rsid w:val="002C0411"/>
    <w:rsid w:val="002C04C3"/>
    <w:rsid w:val="002C04C5"/>
    <w:rsid w:val="002C04EB"/>
    <w:rsid w:val="002C053F"/>
    <w:rsid w:val="002C0556"/>
    <w:rsid w:val="002C056F"/>
    <w:rsid w:val="002C05CC"/>
    <w:rsid w:val="002C0672"/>
    <w:rsid w:val="002C06E0"/>
    <w:rsid w:val="002C0792"/>
    <w:rsid w:val="002C07B0"/>
    <w:rsid w:val="002C07CC"/>
    <w:rsid w:val="002C084D"/>
    <w:rsid w:val="002C091A"/>
    <w:rsid w:val="002C09E5"/>
    <w:rsid w:val="002C0A17"/>
    <w:rsid w:val="002C0A84"/>
    <w:rsid w:val="002C0AD7"/>
    <w:rsid w:val="002C0B50"/>
    <w:rsid w:val="002C0B9F"/>
    <w:rsid w:val="002C0BD0"/>
    <w:rsid w:val="002C0BD4"/>
    <w:rsid w:val="002C0C86"/>
    <w:rsid w:val="002C0D0C"/>
    <w:rsid w:val="002C0D18"/>
    <w:rsid w:val="002C0D2C"/>
    <w:rsid w:val="002C0E06"/>
    <w:rsid w:val="002C0E08"/>
    <w:rsid w:val="002C0E7A"/>
    <w:rsid w:val="002C0E98"/>
    <w:rsid w:val="002C0EA1"/>
    <w:rsid w:val="002C0F4C"/>
    <w:rsid w:val="002C0F7D"/>
    <w:rsid w:val="002C0FEC"/>
    <w:rsid w:val="002C102B"/>
    <w:rsid w:val="002C1054"/>
    <w:rsid w:val="002C1103"/>
    <w:rsid w:val="002C1137"/>
    <w:rsid w:val="002C12A0"/>
    <w:rsid w:val="002C12F3"/>
    <w:rsid w:val="002C12F7"/>
    <w:rsid w:val="002C1327"/>
    <w:rsid w:val="002C146B"/>
    <w:rsid w:val="002C1495"/>
    <w:rsid w:val="002C14DB"/>
    <w:rsid w:val="002C1560"/>
    <w:rsid w:val="002C1631"/>
    <w:rsid w:val="002C16A8"/>
    <w:rsid w:val="002C16B0"/>
    <w:rsid w:val="002C1779"/>
    <w:rsid w:val="002C17BE"/>
    <w:rsid w:val="002C17DA"/>
    <w:rsid w:val="002C1819"/>
    <w:rsid w:val="002C1837"/>
    <w:rsid w:val="002C185A"/>
    <w:rsid w:val="002C187F"/>
    <w:rsid w:val="002C18CD"/>
    <w:rsid w:val="002C199A"/>
    <w:rsid w:val="002C19E2"/>
    <w:rsid w:val="002C19E4"/>
    <w:rsid w:val="002C1A54"/>
    <w:rsid w:val="002C1A6F"/>
    <w:rsid w:val="002C1ABD"/>
    <w:rsid w:val="002C1AD1"/>
    <w:rsid w:val="002C1AFA"/>
    <w:rsid w:val="002C1AFD"/>
    <w:rsid w:val="002C1B90"/>
    <w:rsid w:val="002C1B96"/>
    <w:rsid w:val="002C1C7A"/>
    <w:rsid w:val="002C1C8C"/>
    <w:rsid w:val="002C1D6C"/>
    <w:rsid w:val="002C1DAB"/>
    <w:rsid w:val="002C1DBF"/>
    <w:rsid w:val="002C1E2D"/>
    <w:rsid w:val="002C1E3B"/>
    <w:rsid w:val="002C1E45"/>
    <w:rsid w:val="002C1E89"/>
    <w:rsid w:val="002C1F26"/>
    <w:rsid w:val="002C1F3D"/>
    <w:rsid w:val="002C1F44"/>
    <w:rsid w:val="002C1FF4"/>
    <w:rsid w:val="002C204D"/>
    <w:rsid w:val="002C20D1"/>
    <w:rsid w:val="002C20EE"/>
    <w:rsid w:val="002C2142"/>
    <w:rsid w:val="002C2159"/>
    <w:rsid w:val="002C21C2"/>
    <w:rsid w:val="002C21CB"/>
    <w:rsid w:val="002C220E"/>
    <w:rsid w:val="002C2316"/>
    <w:rsid w:val="002C231C"/>
    <w:rsid w:val="002C23C3"/>
    <w:rsid w:val="002C23D7"/>
    <w:rsid w:val="002C2415"/>
    <w:rsid w:val="002C2442"/>
    <w:rsid w:val="002C2450"/>
    <w:rsid w:val="002C24B1"/>
    <w:rsid w:val="002C2514"/>
    <w:rsid w:val="002C2543"/>
    <w:rsid w:val="002C260D"/>
    <w:rsid w:val="002C2663"/>
    <w:rsid w:val="002C2704"/>
    <w:rsid w:val="002C284F"/>
    <w:rsid w:val="002C2973"/>
    <w:rsid w:val="002C29F6"/>
    <w:rsid w:val="002C2AC5"/>
    <w:rsid w:val="002C2AED"/>
    <w:rsid w:val="002C2AF2"/>
    <w:rsid w:val="002C2B65"/>
    <w:rsid w:val="002C2B76"/>
    <w:rsid w:val="002C2B84"/>
    <w:rsid w:val="002C2C1E"/>
    <w:rsid w:val="002C2E33"/>
    <w:rsid w:val="002C2E6F"/>
    <w:rsid w:val="002C2ECB"/>
    <w:rsid w:val="002C2ED6"/>
    <w:rsid w:val="002C2F5E"/>
    <w:rsid w:val="002C2F60"/>
    <w:rsid w:val="002C30C6"/>
    <w:rsid w:val="002C3195"/>
    <w:rsid w:val="002C31C8"/>
    <w:rsid w:val="002C320E"/>
    <w:rsid w:val="002C327E"/>
    <w:rsid w:val="002C3319"/>
    <w:rsid w:val="002C335C"/>
    <w:rsid w:val="002C3388"/>
    <w:rsid w:val="002C33A0"/>
    <w:rsid w:val="002C33A8"/>
    <w:rsid w:val="002C3540"/>
    <w:rsid w:val="002C35F7"/>
    <w:rsid w:val="002C3615"/>
    <w:rsid w:val="002C3647"/>
    <w:rsid w:val="002C3663"/>
    <w:rsid w:val="002C366A"/>
    <w:rsid w:val="002C36ED"/>
    <w:rsid w:val="002C3748"/>
    <w:rsid w:val="002C383E"/>
    <w:rsid w:val="002C386A"/>
    <w:rsid w:val="002C393B"/>
    <w:rsid w:val="002C39CF"/>
    <w:rsid w:val="002C3AAA"/>
    <w:rsid w:val="002C3B18"/>
    <w:rsid w:val="002C3B89"/>
    <w:rsid w:val="002C3BAD"/>
    <w:rsid w:val="002C3C18"/>
    <w:rsid w:val="002C3C63"/>
    <w:rsid w:val="002C3DA2"/>
    <w:rsid w:val="002C3E21"/>
    <w:rsid w:val="002C3ED9"/>
    <w:rsid w:val="002C3FEB"/>
    <w:rsid w:val="002C401E"/>
    <w:rsid w:val="002C40AD"/>
    <w:rsid w:val="002C40BA"/>
    <w:rsid w:val="002C40CD"/>
    <w:rsid w:val="002C40D4"/>
    <w:rsid w:val="002C417E"/>
    <w:rsid w:val="002C41F0"/>
    <w:rsid w:val="002C429B"/>
    <w:rsid w:val="002C4398"/>
    <w:rsid w:val="002C4472"/>
    <w:rsid w:val="002C4483"/>
    <w:rsid w:val="002C448A"/>
    <w:rsid w:val="002C4630"/>
    <w:rsid w:val="002C46FA"/>
    <w:rsid w:val="002C4730"/>
    <w:rsid w:val="002C47A0"/>
    <w:rsid w:val="002C47B6"/>
    <w:rsid w:val="002C4856"/>
    <w:rsid w:val="002C4859"/>
    <w:rsid w:val="002C485C"/>
    <w:rsid w:val="002C48A9"/>
    <w:rsid w:val="002C48F8"/>
    <w:rsid w:val="002C4963"/>
    <w:rsid w:val="002C49F0"/>
    <w:rsid w:val="002C4ADD"/>
    <w:rsid w:val="002C4B99"/>
    <w:rsid w:val="002C4BB9"/>
    <w:rsid w:val="002C4C38"/>
    <w:rsid w:val="002C4C73"/>
    <w:rsid w:val="002C4D41"/>
    <w:rsid w:val="002C4D46"/>
    <w:rsid w:val="002C4EA0"/>
    <w:rsid w:val="002C4F4E"/>
    <w:rsid w:val="002C4F9E"/>
    <w:rsid w:val="002C4FDE"/>
    <w:rsid w:val="002C5015"/>
    <w:rsid w:val="002C501B"/>
    <w:rsid w:val="002C5030"/>
    <w:rsid w:val="002C5083"/>
    <w:rsid w:val="002C50C6"/>
    <w:rsid w:val="002C5101"/>
    <w:rsid w:val="002C5120"/>
    <w:rsid w:val="002C514A"/>
    <w:rsid w:val="002C5185"/>
    <w:rsid w:val="002C51CA"/>
    <w:rsid w:val="002C51CE"/>
    <w:rsid w:val="002C523E"/>
    <w:rsid w:val="002C5271"/>
    <w:rsid w:val="002C52C5"/>
    <w:rsid w:val="002C53F8"/>
    <w:rsid w:val="002C5474"/>
    <w:rsid w:val="002C547C"/>
    <w:rsid w:val="002C5491"/>
    <w:rsid w:val="002C5538"/>
    <w:rsid w:val="002C5568"/>
    <w:rsid w:val="002C55AF"/>
    <w:rsid w:val="002C55C0"/>
    <w:rsid w:val="002C55E6"/>
    <w:rsid w:val="002C5603"/>
    <w:rsid w:val="002C563C"/>
    <w:rsid w:val="002C571A"/>
    <w:rsid w:val="002C574B"/>
    <w:rsid w:val="002C5784"/>
    <w:rsid w:val="002C5915"/>
    <w:rsid w:val="002C5951"/>
    <w:rsid w:val="002C5954"/>
    <w:rsid w:val="002C5972"/>
    <w:rsid w:val="002C59B1"/>
    <w:rsid w:val="002C59BE"/>
    <w:rsid w:val="002C5AB3"/>
    <w:rsid w:val="002C5B32"/>
    <w:rsid w:val="002C5B90"/>
    <w:rsid w:val="002C5C8C"/>
    <w:rsid w:val="002C5D46"/>
    <w:rsid w:val="002C5DBC"/>
    <w:rsid w:val="002C5DDD"/>
    <w:rsid w:val="002C5E3C"/>
    <w:rsid w:val="002C5F4C"/>
    <w:rsid w:val="002C64DF"/>
    <w:rsid w:val="002C6568"/>
    <w:rsid w:val="002C6592"/>
    <w:rsid w:val="002C6598"/>
    <w:rsid w:val="002C6623"/>
    <w:rsid w:val="002C6719"/>
    <w:rsid w:val="002C6721"/>
    <w:rsid w:val="002C67B1"/>
    <w:rsid w:val="002C6900"/>
    <w:rsid w:val="002C6A0D"/>
    <w:rsid w:val="002C6A20"/>
    <w:rsid w:val="002C6BBF"/>
    <w:rsid w:val="002C6C2D"/>
    <w:rsid w:val="002C6C79"/>
    <w:rsid w:val="002C6CC2"/>
    <w:rsid w:val="002C6CCF"/>
    <w:rsid w:val="002C6D7A"/>
    <w:rsid w:val="002C6E6D"/>
    <w:rsid w:val="002C6ED0"/>
    <w:rsid w:val="002C6F46"/>
    <w:rsid w:val="002C6F59"/>
    <w:rsid w:val="002C6FAB"/>
    <w:rsid w:val="002C7005"/>
    <w:rsid w:val="002C71DD"/>
    <w:rsid w:val="002C72D7"/>
    <w:rsid w:val="002C72FE"/>
    <w:rsid w:val="002C7315"/>
    <w:rsid w:val="002C7322"/>
    <w:rsid w:val="002C7435"/>
    <w:rsid w:val="002C74D5"/>
    <w:rsid w:val="002C75BA"/>
    <w:rsid w:val="002C76F8"/>
    <w:rsid w:val="002C7729"/>
    <w:rsid w:val="002C7758"/>
    <w:rsid w:val="002C791B"/>
    <w:rsid w:val="002C7940"/>
    <w:rsid w:val="002C7963"/>
    <w:rsid w:val="002C79F5"/>
    <w:rsid w:val="002C7A0C"/>
    <w:rsid w:val="002C7A24"/>
    <w:rsid w:val="002C7B4C"/>
    <w:rsid w:val="002C7CF6"/>
    <w:rsid w:val="002C7D1E"/>
    <w:rsid w:val="002C7DC7"/>
    <w:rsid w:val="002C7DDB"/>
    <w:rsid w:val="002C7DF1"/>
    <w:rsid w:val="002C7E73"/>
    <w:rsid w:val="002C7E9F"/>
    <w:rsid w:val="002C7EBD"/>
    <w:rsid w:val="002C7ECC"/>
    <w:rsid w:val="002C7EDF"/>
    <w:rsid w:val="002C7EFC"/>
    <w:rsid w:val="002C7EFF"/>
    <w:rsid w:val="002C7F17"/>
    <w:rsid w:val="002C7FA1"/>
    <w:rsid w:val="002D0088"/>
    <w:rsid w:val="002D00E5"/>
    <w:rsid w:val="002D0100"/>
    <w:rsid w:val="002D0161"/>
    <w:rsid w:val="002D0186"/>
    <w:rsid w:val="002D01B3"/>
    <w:rsid w:val="002D01E2"/>
    <w:rsid w:val="002D025E"/>
    <w:rsid w:val="002D0286"/>
    <w:rsid w:val="002D02EA"/>
    <w:rsid w:val="002D02FE"/>
    <w:rsid w:val="002D0475"/>
    <w:rsid w:val="002D049E"/>
    <w:rsid w:val="002D04BC"/>
    <w:rsid w:val="002D053C"/>
    <w:rsid w:val="002D05BD"/>
    <w:rsid w:val="002D05CC"/>
    <w:rsid w:val="002D071B"/>
    <w:rsid w:val="002D07AB"/>
    <w:rsid w:val="002D0867"/>
    <w:rsid w:val="002D08A7"/>
    <w:rsid w:val="002D091B"/>
    <w:rsid w:val="002D095B"/>
    <w:rsid w:val="002D09D2"/>
    <w:rsid w:val="002D0BA2"/>
    <w:rsid w:val="002D0BE1"/>
    <w:rsid w:val="002D0CCE"/>
    <w:rsid w:val="002D0D23"/>
    <w:rsid w:val="002D0D8D"/>
    <w:rsid w:val="002D0DA4"/>
    <w:rsid w:val="002D0E1D"/>
    <w:rsid w:val="002D0ED6"/>
    <w:rsid w:val="002D0F07"/>
    <w:rsid w:val="002D0F80"/>
    <w:rsid w:val="002D101C"/>
    <w:rsid w:val="002D104F"/>
    <w:rsid w:val="002D1050"/>
    <w:rsid w:val="002D1099"/>
    <w:rsid w:val="002D1123"/>
    <w:rsid w:val="002D114F"/>
    <w:rsid w:val="002D1268"/>
    <w:rsid w:val="002D1271"/>
    <w:rsid w:val="002D1299"/>
    <w:rsid w:val="002D133C"/>
    <w:rsid w:val="002D1346"/>
    <w:rsid w:val="002D1357"/>
    <w:rsid w:val="002D14F7"/>
    <w:rsid w:val="002D1553"/>
    <w:rsid w:val="002D1599"/>
    <w:rsid w:val="002D15AE"/>
    <w:rsid w:val="002D160B"/>
    <w:rsid w:val="002D16EA"/>
    <w:rsid w:val="002D1715"/>
    <w:rsid w:val="002D17A6"/>
    <w:rsid w:val="002D182B"/>
    <w:rsid w:val="002D1888"/>
    <w:rsid w:val="002D1B13"/>
    <w:rsid w:val="002D1C53"/>
    <w:rsid w:val="002D1CC6"/>
    <w:rsid w:val="002D1D82"/>
    <w:rsid w:val="002D1DA9"/>
    <w:rsid w:val="002D1E2E"/>
    <w:rsid w:val="002D1EAC"/>
    <w:rsid w:val="002D1EE6"/>
    <w:rsid w:val="002D1F43"/>
    <w:rsid w:val="002D1FE0"/>
    <w:rsid w:val="002D2016"/>
    <w:rsid w:val="002D2051"/>
    <w:rsid w:val="002D209A"/>
    <w:rsid w:val="002D2183"/>
    <w:rsid w:val="002D2198"/>
    <w:rsid w:val="002D21DD"/>
    <w:rsid w:val="002D21EA"/>
    <w:rsid w:val="002D2276"/>
    <w:rsid w:val="002D2293"/>
    <w:rsid w:val="002D22B0"/>
    <w:rsid w:val="002D22C9"/>
    <w:rsid w:val="002D22D8"/>
    <w:rsid w:val="002D2375"/>
    <w:rsid w:val="002D23DB"/>
    <w:rsid w:val="002D241B"/>
    <w:rsid w:val="002D24F2"/>
    <w:rsid w:val="002D25A7"/>
    <w:rsid w:val="002D25F5"/>
    <w:rsid w:val="002D2610"/>
    <w:rsid w:val="002D2622"/>
    <w:rsid w:val="002D2623"/>
    <w:rsid w:val="002D2633"/>
    <w:rsid w:val="002D26CF"/>
    <w:rsid w:val="002D26D8"/>
    <w:rsid w:val="002D26FE"/>
    <w:rsid w:val="002D271A"/>
    <w:rsid w:val="002D279F"/>
    <w:rsid w:val="002D285B"/>
    <w:rsid w:val="002D28CD"/>
    <w:rsid w:val="002D28FD"/>
    <w:rsid w:val="002D2980"/>
    <w:rsid w:val="002D29B7"/>
    <w:rsid w:val="002D29ED"/>
    <w:rsid w:val="002D2AB1"/>
    <w:rsid w:val="002D2AF0"/>
    <w:rsid w:val="002D2B1B"/>
    <w:rsid w:val="002D2B32"/>
    <w:rsid w:val="002D2B3B"/>
    <w:rsid w:val="002D2B61"/>
    <w:rsid w:val="002D2B68"/>
    <w:rsid w:val="002D2C14"/>
    <w:rsid w:val="002D2C47"/>
    <w:rsid w:val="002D2C5A"/>
    <w:rsid w:val="002D2C9D"/>
    <w:rsid w:val="002D2D9D"/>
    <w:rsid w:val="002D2DD9"/>
    <w:rsid w:val="002D2E86"/>
    <w:rsid w:val="002D2EBB"/>
    <w:rsid w:val="002D2F72"/>
    <w:rsid w:val="002D2FB1"/>
    <w:rsid w:val="002D2FB5"/>
    <w:rsid w:val="002D310B"/>
    <w:rsid w:val="002D31B1"/>
    <w:rsid w:val="002D32D9"/>
    <w:rsid w:val="002D32E4"/>
    <w:rsid w:val="002D332F"/>
    <w:rsid w:val="002D33D1"/>
    <w:rsid w:val="002D3429"/>
    <w:rsid w:val="002D348B"/>
    <w:rsid w:val="002D34F3"/>
    <w:rsid w:val="002D354B"/>
    <w:rsid w:val="002D3587"/>
    <w:rsid w:val="002D35A1"/>
    <w:rsid w:val="002D35A8"/>
    <w:rsid w:val="002D35BB"/>
    <w:rsid w:val="002D35D7"/>
    <w:rsid w:val="002D3611"/>
    <w:rsid w:val="002D3674"/>
    <w:rsid w:val="002D3717"/>
    <w:rsid w:val="002D3778"/>
    <w:rsid w:val="002D378C"/>
    <w:rsid w:val="002D37BE"/>
    <w:rsid w:val="002D382F"/>
    <w:rsid w:val="002D385D"/>
    <w:rsid w:val="002D3873"/>
    <w:rsid w:val="002D3892"/>
    <w:rsid w:val="002D38A5"/>
    <w:rsid w:val="002D38D4"/>
    <w:rsid w:val="002D38EC"/>
    <w:rsid w:val="002D396E"/>
    <w:rsid w:val="002D39BC"/>
    <w:rsid w:val="002D39E9"/>
    <w:rsid w:val="002D3A68"/>
    <w:rsid w:val="002D3AB0"/>
    <w:rsid w:val="002D3AD6"/>
    <w:rsid w:val="002D3BC4"/>
    <w:rsid w:val="002D3D0D"/>
    <w:rsid w:val="002D3E94"/>
    <w:rsid w:val="002D3F09"/>
    <w:rsid w:val="002D3F5D"/>
    <w:rsid w:val="002D3F5F"/>
    <w:rsid w:val="002D3FBD"/>
    <w:rsid w:val="002D40A9"/>
    <w:rsid w:val="002D40BC"/>
    <w:rsid w:val="002D41DC"/>
    <w:rsid w:val="002D41DD"/>
    <w:rsid w:val="002D4210"/>
    <w:rsid w:val="002D422B"/>
    <w:rsid w:val="002D426F"/>
    <w:rsid w:val="002D4290"/>
    <w:rsid w:val="002D43D1"/>
    <w:rsid w:val="002D43EE"/>
    <w:rsid w:val="002D440B"/>
    <w:rsid w:val="002D44E7"/>
    <w:rsid w:val="002D44FE"/>
    <w:rsid w:val="002D4527"/>
    <w:rsid w:val="002D4549"/>
    <w:rsid w:val="002D462E"/>
    <w:rsid w:val="002D46A5"/>
    <w:rsid w:val="002D46C8"/>
    <w:rsid w:val="002D47CF"/>
    <w:rsid w:val="002D481D"/>
    <w:rsid w:val="002D4823"/>
    <w:rsid w:val="002D494C"/>
    <w:rsid w:val="002D496F"/>
    <w:rsid w:val="002D4A0D"/>
    <w:rsid w:val="002D4A82"/>
    <w:rsid w:val="002D4A8A"/>
    <w:rsid w:val="002D4AE9"/>
    <w:rsid w:val="002D4BA1"/>
    <w:rsid w:val="002D4BF2"/>
    <w:rsid w:val="002D4C15"/>
    <w:rsid w:val="002D4C40"/>
    <w:rsid w:val="002D4CDE"/>
    <w:rsid w:val="002D4D4A"/>
    <w:rsid w:val="002D4D81"/>
    <w:rsid w:val="002D4DB6"/>
    <w:rsid w:val="002D4DBF"/>
    <w:rsid w:val="002D4DC4"/>
    <w:rsid w:val="002D4E2A"/>
    <w:rsid w:val="002D4F55"/>
    <w:rsid w:val="002D4FC4"/>
    <w:rsid w:val="002D505B"/>
    <w:rsid w:val="002D50BA"/>
    <w:rsid w:val="002D50C3"/>
    <w:rsid w:val="002D5177"/>
    <w:rsid w:val="002D5239"/>
    <w:rsid w:val="002D5317"/>
    <w:rsid w:val="002D53A2"/>
    <w:rsid w:val="002D53D7"/>
    <w:rsid w:val="002D5434"/>
    <w:rsid w:val="002D5563"/>
    <w:rsid w:val="002D5564"/>
    <w:rsid w:val="002D559E"/>
    <w:rsid w:val="002D55D2"/>
    <w:rsid w:val="002D55F9"/>
    <w:rsid w:val="002D5640"/>
    <w:rsid w:val="002D5650"/>
    <w:rsid w:val="002D566C"/>
    <w:rsid w:val="002D5694"/>
    <w:rsid w:val="002D56D9"/>
    <w:rsid w:val="002D56FD"/>
    <w:rsid w:val="002D57AF"/>
    <w:rsid w:val="002D57F8"/>
    <w:rsid w:val="002D584C"/>
    <w:rsid w:val="002D5890"/>
    <w:rsid w:val="002D58C2"/>
    <w:rsid w:val="002D58C6"/>
    <w:rsid w:val="002D59E1"/>
    <w:rsid w:val="002D5A28"/>
    <w:rsid w:val="002D5A4D"/>
    <w:rsid w:val="002D5AE8"/>
    <w:rsid w:val="002D5BA1"/>
    <w:rsid w:val="002D5BD1"/>
    <w:rsid w:val="002D5C9D"/>
    <w:rsid w:val="002D5CB0"/>
    <w:rsid w:val="002D5DFC"/>
    <w:rsid w:val="002D5F36"/>
    <w:rsid w:val="002D5F5B"/>
    <w:rsid w:val="002D5F68"/>
    <w:rsid w:val="002D5FA7"/>
    <w:rsid w:val="002D6031"/>
    <w:rsid w:val="002D605F"/>
    <w:rsid w:val="002D6068"/>
    <w:rsid w:val="002D6084"/>
    <w:rsid w:val="002D6094"/>
    <w:rsid w:val="002D6135"/>
    <w:rsid w:val="002D61A4"/>
    <w:rsid w:val="002D621F"/>
    <w:rsid w:val="002D625A"/>
    <w:rsid w:val="002D6282"/>
    <w:rsid w:val="002D644E"/>
    <w:rsid w:val="002D647B"/>
    <w:rsid w:val="002D65B8"/>
    <w:rsid w:val="002D6744"/>
    <w:rsid w:val="002D675E"/>
    <w:rsid w:val="002D6948"/>
    <w:rsid w:val="002D6950"/>
    <w:rsid w:val="002D6990"/>
    <w:rsid w:val="002D69AB"/>
    <w:rsid w:val="002D69E3"/>
    <w:rsid w:val="002D6A80"/>
    <w:rsid w:val="002D6B68"/>
    <w:rsid w:val="002D6B78"/>
    <w:rsid w:val="002D6C6A"/>
    <w:rsid w:val="002D6CA1"/>
    <w:rsid w:val="002D6CA3"/>
    <w:rsid w:val="002D6CAD"/>
    <w:rsid w:val="002D6CE8"/>
    <w:rsid w:val="002D6CF5"/>
    <w:rsid w:val="002D6D2C"/>
    <w:rsid w:val="002D6E04"/>
    <w:rsid w:val="002D6EB6"/>
    <w:rsid w:val="002D6FC0"/>
    <w:rsid w:val="002D702A"/>
    <w:rsid w:val="002D7056"/>
    <w:rsid w:val="002D7103"/>
    <w:rsid w:val="002D7141"/>
    <w:rsid w:val="002D71AE"/>
    <w:rsid w:val="002D71E2"/>
    <w:rsid w:val="002D7231"/>
    <w:rsid w:val="002D7242"/>
    <w:rsid w:val="002D7261"/>
    <w:rsid w:val="002D7299"/>
    <w:rsid w:val="002D72FF"/>
    <w:rsid w:val="002D7388"/>
    <w:rsid w:val="002D73F3"/>
    <w:rsid w:val="002D740F"/>
    <w:rsid w:val="002D7451"/>
    <w:rsid w:val="002D745F"/>
    <w:rsid w:val="002D74A9"/>
    <w:rsid w:val="002D7505"/>
    <w:rsid w:val="002D7595"/>
    <w:rsid w:val="002D75F8"/>
    <w:rsid w:val="002D76D8"/>
    <w:rsid w:val="002D76EE"/>
    <w:rsid w:val="002D779D"/>
    <w:rsid w:val="002D7888"/>
    <w:rsid w:val="002D789C"/>
    <w:rsid w:val="002D7913"/>
    <w:rsid w:val="002D79B3"/>
    <w:rsid w:val="002D79D6"/>
    <w:rsid w:val="002D79F0"/>
    <w:rsid w:val="002D7A00"/>
    <w:rsid w:val="002D7A8C"/>
    <w:rsid w:val="002D7B53"/>
    <w:rsid w:val="002D7BAE"/>
    <w:rsid w:val="002D7BDF"/>
    <w:rsid w:val="002D7BFA"/>
    <w:rsid w:val="002D7C03"/>
    <w:rsid w:val="002D7C17"/>
    <w:rsid w:val="002D7CA2"/>
    <w:rsid w:val="002D7D56"/>
    <w:rsid w:val="002D7E96"/>
    <w:rsid w:val="002D7EC5"/>
    <w:rsid w:val="002D7F25"/>
    <w:rsid w:val="002D7F65"/>
    <w:rsid w:val="002D7FD0"/>
    <w:rsid w:val="002E0000"/>
    <w:rsid w:val="002E007C"/>
    <w:rsid w:val="002E0175"/>
    <w:rsid w:val="002E01A7"/>
    <w:rsid w:val="002E020E"/>
    <w:rsid w:val="002E0254"/>
    <w:rsid w:val="002E0280"/>
    <w:rsid w:val="002E0393"/>
    <w:rsid w:val="002E03A5"/>
    <w:rsid w:val="002E03BA"/>
    <w:rsid w:val="002E0438"/>
    <w:rsid w:val="002E0496"/>
    <w:rsid w:val="002E04C0"/>
    <w:rsid w:val="002E04EA"/>
    <w:rsid w:val="002E0526"/>
    <w:rsid w:val="002E0552"/>
    <w:rsid w:val="002E055A"/>
    <w:rsid w:val="002E069F"/>
    <w:rsid w:val="002E06AE"/>
    <w:rsid w:val="002E0746"/>
    <w:rsid w:val="002E0795"/>
    <w:rsid w:val="002E0A1C"/>
    <w:rsid w:val="002E0A36"/>
    <w:rsid w:val="002E0AF7"/>
    <w:rsid w:val="002E0B73"/>
    <w:rsid w:val="002E0C58"/>
    <w:rsid w:val="002E0CE6"/>
    <w:rsid w:val="002E0F2F"/>
    <w:rsid w:val="002E0F78"/>
    <w:rsid w:val="002E0FB5"/>
    <w:rsid w:val="002E0FC3"/>
    <w:rsid w:val="002E0FE4"/>
    <w:rsid w:val="002E111E"/>
    <w:rsid w:val="002E1151"/>
    <w:rsid w:val="002E1163"/>
    <w:rsid w:val="002E12AA"/>
    <w:rsid w:val="002E1399"/>
    <w:rsid w:val="002E13E3"/>
    <w:rsid w:val="002E143B"/>
    <w:rsid w:val="002E14AA"/>
    <w:rsid w:val="002E14D1"/>
    <w:rsid w:val="002E1597"/>
    <w:rsid w:val="002E15CC"/>
    <w:rsid w:val="002E167F"/>
    <w:rsid w:val="002E1692"/>
    <w:rsid w:val="002E16DF"/>
    <w:rsid w:val="002E1729"/>
    <w:rsid w:val="002E1752"/>
    <w:rsid w:val="002E18E0"/>
    <w:rsid w:val="002E1987"/>
    <w:rsid w:val="002E1A38"/>
    <w:rsid w:val="002E1AAF"/>
    <w:rsid w:val="002E1B18"/>
    <w:rsid w:val="002E1B3A"/>
    <w:rsid w:val="002E1B48"/>
    <w:rsid w:val="002E1BAF"/>
    <w:rsid w:val="002E1BCF"/>
    <w:rsid w:val="002E1C3C"/>
    <w:rsid w:val="002E1D65"/>
    <w:rsid w:val="002E1DC0"/>
    <w:rsid w:val="002E1F21"/>
    <w:rsid w:val="002E1F79"/>
    <w:rsid w:val="002E1F9E"/>
    <w:rsid w:val="002E204C"/>
    <w:rsid w:val="002E20F4"/>
    <w:rsid w:val="002E210E"/>
    <w:rsid w:val="002E211D"/>
    <w:rsid w:val="002E2136"/>
    <w:rsid w:val="002E21BE"/>
    <w:rsid w:val="002E2221"/>
    <w:rsid w:val="002E22A5"/>
    <w:rsid w:val="002E22E0"/>
    <w:rsid w:val="002E23E0"/>
    <w:rsid w:val="002E24F8"/>
    <w:rsid w:val="002E2529"/>
    <w:rsid w:val="002E2553"/>
    <w:rsid w:val="002E264F"/>
    <w:rsid w:val="002E2798"/>
    <w:rsid w:val="002E2813"/>
    <w:rsid w:val="002E2844"/>
    <w:rsid w:val="002E2863"/>
    <w:rsid w:val="002E2B58"/>
    <w:rsid w:val="002E2BC2"/>
    <w:rsid w:val="002E2C98"/>
    <w:rsid w:val="002E2CAA"/>
    <w:rsid w:val="002E2CE7"/>
    <w:rsid w:val="002E2D13"/>
    <w:rsid w:val="002E2D65"/>
    <w:rsid w:val="002E2E0C"/>
    <w:rsid w:val="002E2E36"/>
    <w:rsid w:val="002E2E41"/>
    <w:rsid w:val="002E2E5C"/>
    <w:rsid w:val="002E2E67"/>
    <w:rsid w:val="002E2E75"/>
    <w:rsid w:val="002E2EBB"/>
    <w:rsid w:val="002E2F15"/>
    <w:rsid w:val="002E2FB1"/>
    <w:rsid w:val="002E2FE3"/>
    <w:rsid w:val="002E305F"/>
    <w:rsid w:val="002E3107"/>
    <w:rsid w:val="002E3115"/>
    <w:rsid w:val="002E314E"/>
    <w:rsid w:val="002E31DF"/>
    <w:rsid w:val="002E328D"/>
    <w:rsid w:val="002E32E1"/>
    <w:rsid w:val="002E336F"/>
    <w:rsid w:val="002E3432"/>
    <w:rsid w:val="002E34C9"/>
    <w:rsid w:val="002E34CC"/>
    <w:rsid w:val="002E35B7"/>
    <w:rsid w:val="002E3680"/>
    <w:rsid w:val="002E36BF"/>
    <w:rsid w:val="002E3802"/>
    <w:rsid w:val="002E383A"/>
    <w:rsid w:val="002E38CA"/>
    <w:rsid w:val="002E3989"/>
    <w:rsid w:val="002E3A9D"/>
    <w:rsid w:val="002E3AA0"/>
    <w:rsid w:val="002E3B8B"/>
    <w:rsid w:val="002E3C27"/>
    <w:rsid w:val="002E3C72"/>
    <w:rsid w:val="002E3D7E"/>
    <w:rsid w:val="002E3D92"/>
    <w:rsid w:val="002E3E99"/>
    <w:rsid w:val="002E3EA5"/>
    <w:rsid w:val="002E3F31"/>
    <w:rsid w:val="002E40F7"/>
    <w:rsid w:val="002E4150"/>
    <w:rsid w:val="002E41AF"/>
    <w:rsid w:val="002E41D7"/>
    <w:rsid w:val="002E41F0"/>
    <w:rsid w:val="002E4219"/>
    <w:rsid w:val="002E42DB"/>
    <w:rsid w:val="002E42E4"/>
    <w:rsid w:val="002E42FC"/>
    <w:rsid w:val="002E432F"/>
    <w:rsid w:val="002E43B2"/>
    <w:rsid w:val="002E43F7"/>
    <w:rsid w:val="002E4432"/>
    <w:rsid w:val="002E448F"/>
    <w:rsid w:val="002E453F"/>
    <w:rsid w:val="002E4555"/>
    <w:rsid w:val="002E4602"/>
    <w:rsid w:val="002E4668"/>
    <w:rsid w:val="002E46C8"/>
    <w:rsid w:val="002E47FD"/>
    <w:rsid w:val="002E489A"/>
    <w:rsid w:val="002E48F3"/>
    <w:rsid w:val="002E499D"/>
    <w:rsid w:val="002E49F9"/>
    <w:rsid w:val="002E4A13"/>
    <w:rsid w:val="002E4A92"/>
    <w:rsid w:val="002E4AB3"/>
    <w:rsid w:val="002E4BD6"/>
    <w:rsid w:val="002E4BD7"/>
    <w:rsid w:val="002E4C48"/>
    <w:rsid w:val="002E4C63"/>
    <w:rsid w:val="002E4DB8"/>
    <w:rsid w:val="002E4E09"/>
    <w:rsid w:val="002E4E80"/>
    <w:rsid w:val="002E4EDD"/>
    <w:rsid w:val="002E4EF4"/>
    <w:rsid w:val="002E4EF6"/>
    <w:rsid w:val="002E4F57"/>
    <w:rsid w:val="002E4F66"/>
    <w:rsid w:val="002E5008"/>
    <w:rsid w:val="002E506E"/>
    <w:rsid w:val="002E515C"/>
    <w:rsid w:val="002E515F"/>
    <w:rsid w:val="002E51A0"/>
    <w:rsid w:val="002E522B"/>
    <w:rsid w:val="002E524C"/>
    <w:rsid w:val="002E52B1"/>
    <w:rsid w:val="002E5341"/>
    <w:rsid w:val="002E53F0"/>
    <w:rsid w:val="002E545A"/>
    <w:rsid w:val="002E5498"/>
    <w:rsid w:val="002E5585"/>
    <w:rsid w:val="002E5599"/>
    <w:rsid w:val="002E560B"/>
    <w:rsid w:val="002E5622"/>
    <w:rsid w:val="002E563F"/>
    <w:rsid w:val="002E56D0"/>
    <w:rsid w:val="002E5702"/>
    <w:rsid w:val="002E5732"/>
    <w:rsid w:val="002E5743"/>
    <w:rsid w:val="002E57FC"/>
    <w:rsid w:val="002E580D"/>
    <w:rsid w:val="002E58D2"/>
    <w:rsid w:val="002E5910"/>
    <w:rsid w:val="002E597C"/>
    <w:rsid w:val="002E59FB"/>
    <w:rsid w:val="002E5A06"/>
    <w:rsid w:val="002E5A7D"/>
    <w:rsid w:val="002E5A8B"/>
    <w:rsid w:val="002E5AD1"/>
    <w:rsid w:val="002E5AF0"/>
    <w:rsid w:val="002E5B21"/>
    <w:rsid w:val="002E5B6E"/>
    <w:rsid w:val="002E5C7C"/>
    <w:rsid w:val="002E5D87"/>
    <w:rsid w:val="002E5D9B"/>
    <w:rsid w:val="002E5DF1"/>
    <w:rsid w:val="002E5E1A"/>
    <w:rsid w:val="002E5E1C"/>
    <w:rsid w:val="002E5F41"/>
    <w:rsid w:val="002E5F69"/>
    <w:rsid w:val="002E5F88"/>
    <w:rsid w:val="002E5FA0"/>
    <w:rsid w:val="002E600B"/>
    <w:rsid w:val="002E60D1"/>
    <w:rsid w:val="002E6115"/>
    <w:rsid w:val="002E6138"/>
    <w:rsid w:val="002E6196"/>
    <w:rsid w:val="002E619E"/>
    <w:rsid w:val="002E61A3"/>
    <w:rsid w:val="002E621D"/>
    <w:rsid w:val="002E621F"/>
    <w:rsid w:val="002E6252"/>
    <w:rsid w:val="002E6258"/>
    <w:rsid w:val="002E627A"/>
    <w:rsid w:val="002E63A5"/>
    <w:rsid w:val="002E63C3"/>
    <w:rsid w:val="002E63F4"/>
    <w:rsid w:val="002E647D"/>
    <w:rsid w:val="002E6517"/>
    <w:rsid w:val="002E657E"/>
    <w:rsid w:val="002E65D5"/>
    <w:rsid w:val="002E6684"/>
    <w:rsid w:val="002E668A"/>
    <w:rsid w:val="002E67B8"/>
    <w:rsid w:val="002E67D4"/>
    <w:rsid w:val="002E68FC"/>
    <w:rsid w:val="002E6949"/>
    <w:rsid w:val="002E699C"/>
    <w:rsid w:val="002E69B8"/>
    <w:rsid w:val="002E6AC3"/>
    <w:rsid w:val="002E6ADD"/>
    <w:rsid w:val="002E6B20"/>
    <w:rsid w:val="002E6BEC"/>
    <w:rsid w:val="002E6BFB"/>
    <w:rsid w:val="002E6C1A"/>
    <w:rsid w:val="002E6C9A"/>
    <w:rsid w:val="002E6CEC"/>
    <w:rsid w:val="002E6DE5"/>
    <w:rsid w:val="002E6E22"/>
    <w:rsid w:val="002E6E9F"/>
    <w:rsid w:val="002E6EDF"/>
    <w:rsid w:val="002E6F8B"/>
    <w:rsid w:val="002E6FF2"/>
    <w:rsid w:val="002E7091"/>
    <w:rsid w:val="002E723C"/>
    <w:rsid w:val="002E724C"/>
    <w:rsid w:val="002E7291"/>
    <w:rsid w:val="002E7361"/>
    <w:rsid w:val="002E73B1"/>
    <w:rsid w:val="002E74D8"/>
    <w:rsid w:val="002E7581"/>
    <w:rsid w:val="002E75BD"/>
    <w:rsid w:val="002E760B"/>
    <w:rsid w:val="002E7676"/>
    <w:rsid w:val="002E7692"/>
    <w:rsid w:val="002E7760"/>
    <w:rsid w:val="002E7803"/>
    <w:rsid w:val="002E7839"/>
    <w:rsid w:val="002E79B5"/>
    <w:rsid w:val="002E7A00"/>
    <w:rsid w:val="002E7A03"/>
    <w:rsid w:val="002E7B21"/>
    <w:rsid w:val="002E7B2A"/>
    <w:rsid w:val="002E7B32"/>
    <w:rsid w:val="002E7B4E"/>
    <w:rsid w:val="002E7B8E"/>
    <w:rsid w:val="002E7B9E"/>
    <w:rsid w:val="002E7BE7"/>
    <w:rsid w:val="002E7C96"/>
    <w:rsid w:val="002E7CB2"/>
    <w:rsid w:val="002E7D84"/>
    <w:rsid w:val="002E7E79"/>
    <w:rsid w:val="002E7E85"/>
    <w:rsid w:val="002F0010"/>
    <w:rsid w:val="002F0056"/>
    <w:rsid w:val="002F0078"/>
    <w:rsid w:val="002F00BD"/>
    <w:rsid w:val="002F010B"/>
    <w:rsid w:val="002F0139"/>
    <w:rsid w:val="002F01E5"/>
    <w:rsid w:val="002F0227"/>
    <w:rsid w:val="002F0269"/>
    <w:rsid w:val="002F02FF"/>
    <w:rsid w:val="002F0327"/>
    <w:rsid w:val="002F0361"/>
    <w:rsid w:val="002F0379"/>
    <w:rsid w:val="002F0391"/>
    <w:rsid w:val="002F03AA"/>
    <w:rsid w:val="002F03D3"/>
    <w:rsid w:val="002F0410"/>
    <w:rsid w:val="002F04E0"/>
    <w:rsid w:val="002F053C"/>
    <w:rsid w:val="002F05B4"/>
    <w:rsid w:val="002F05BA"/>
    <w:rsid w:val="002F0620"/>
    <w:rsid w:val="002F063A"/>
    <w:rsid w:val="002F064F"/>
    <w:rsid w:val="002F0699"/>
    <w:rsid w:val="002F0738"/>
    <w:rsid w:val="002F0746"/>
    <w:rsid w:val="002F0779"/>
    <w:rsid w:val="002F0780"/>
    <w:rsid w:val="002F07A6"/>
    <w:rsid w:val="002F07D0"/>
    <w:rsid w:val="002F088A"/>
    <w:rsid w:val="002F08AC"/>
    <w:rsid w:val="002F08E5"/>
    <w:rsid w:val="002F08FB"/>
    <w:rsid w:val="002F0918"/>
    <w:rsid w:val="002F09A1"/>
    <w:rsid w:val="002F0A02"/>
    <w:rsid w:val="002F0A21"/>
    <w:rsid w:val="002F0A35"/>
    <w:rsid w:val="002F0AF0"/>
    <w:rsid w:val="002F0AF7"/>
    <w:rsid w:val="002F0B67"/>
    <w:rsid w:val="002F0BB3"/>
    <w:rsid w:val="002F0BB9"/>
    <w:rsid w:val="002F0C86"/>
    <w:rsid w:val="002F0D87"/>
    <w:rsid w:val="002F0DC5"/>
    <w:rsid w:val="002F0DDD"/>
    <w:rsid w:val="002F0EF4"/>
    <w:rsid w:val="002F0F15"/>
    <w:rsid w:val="002F0F1B"/>
    <w:rsid w:val="002F0F1D"/>
    <w:rsid w:val="002F0F6C"/>
    <w:rsid w:val="002F0F72"/>
    <w:rsid w:val="002F104F"/>
    <w:rsid w:val="002F10F1"/>
    <w:rsid w:val="002F1124"/>
    <w:rsid w:val="002F119D"/>
    <w:rsid w:val="002F119F"/>
    <w:rsid w:val="002F120D"/>
    <w:rsid w:val="002F127A"/>
    <w:rsid w:val="002F129F"/>
    <w:rsid w:val="002F12CF"/>
    <w:rsid w:val="002F1310"/>
    <w:rsid w:val="002F1338"/>
    <w:rsid w:val="002F134C"/>
    <w:rsid w:val="002F1447"/>
    <w:rsid w:val="002F147F"/>
    <w:rsid w:val="002F149A"/>
    <w:rsid w:val="002F14C5"/>
    <w:rsid w:val="002F150B"/>
    <w:rsid w:val="002F15A1"/>
    <w:rsid w:val="002F16C5"/>
    <w:rsid w:val="002F1722"/>
    <w:rsid w:val="002F1744"/>
    <w:rsid w:val="002F1769"/>
    <w:rsid w:val="002F1818"/>
    <w:rsid w:val="002F18FB"/>
    <w:rsid w:val="002F1966"/>
    <w:rsid w:val="002F19F8"/>
    <w:rsid w:val="002F1A37"/>
    <w:rsid w:val="002F1A77"/>
    <w:rsid w:val="002F1A89"/>
    <w:rsid w:val="002F1A8E"/>
    <w:rsid w:val="002F1AA3"/>
    <w:rsid w:val="002F1B0D"/>
    <w:rsid w:val="002F1B2C"/>
    <w:rsid w:val="002F1B63"/>
    <w:rsid w:val="002F1B7D"/>
    <w:rsid w:val="002F1BE8"/>
    <w:rsid w:val="002F1C18"/>
    <w:rsid w:val="002F1C45"/>
    <w:rsid w:val="002F1C4C"/>
    <w:rsid w:val="002F1CC0"/>
    <w:rsid w:val="002F1CC5"/>
    <w:rsid w:val="002F1CED"/>
    <w:rsid w:val="002F1E42"/>
    <w:rsid w:val="002F1EE2"/>
    <w:rsid w:val="002F1F89"/>
    <w:rsid w:val="002F1FC1"/>
    <w:rsid w:val="002F2096"/>
    <w:rsid w:val="002F20B7"/>
    <w:rsid w:val="002F2141"/>
    <w:rsid w:val="002F2154"/>
    <w:rsid w:val="002F21CF"/>
    <w:rsid w:val="002F229F"/>
    <w:rsid w:val="002F22DC"/>
    <w:rsid w:val="002F231D"/>
    <w:rsid w:val="002F232D"/>
    <w:rsid w:val="002F2341"/>
    <w:rsid w:val="002F234E"/>
    <w:rsid w:val="002F2368"/>
    <w:rsid w:val="002F2372"/>
    <w:rsid w:val="002F23BC"/>
    <w:rsid w:val="002F247C"/>
    <w:rsid w:val="002F247D"/>
    <w:rsid w:val="002F2513"/>
    <w:rsid w:val="002F2517"/>
    <w:rsid w:val="002F2518"/>
    <w:rsid w:val="002F254A"/>
    <w:rsid w:val="002F2672"/>
    <w:rsid w:val="002F2708"/>
    <w:rsid w:val="002F2740"/>
    <w:rsid w:val="002F2770"/>
    <w:rsid w:val="002F2774"/>
    <w:rsid w:val="002F2872"/>
    <w:rsid w:val="002F28F3"/>
    <w:rsid w:val="002F2905"/>
    <w:rsid w:val="002F2944"/>
    <w:rsid w:val="002F2951"/>
    <w:rsid w:val="002F29BA"/>
    <w:rsid w:val="002F2AD2"/>
    <w:rsid w:val="002F2BBC"/>
    <w:rsid w:val="002F2C0B"/>
    <w:rsid w:val="002F2CDB"/>
    <w:rsid w:val="002F2CE9"/>
    <w:rsid w:val="002F2E0C"/>
    <w:rsid w:val="002F2E21"/>
    <w:rsid w:val="002F2E71"/>
    <w:rsid w:val="002F2F2D"/>
    <w:rsid w:val="002F3010"/>
    <w:rsid w:val="002F3022"/>
    <w:rsid w:val="002F30D1"/>
    <w:rsid w:val="002F3109"/>
    <w:rsid w:val="002F3210"/>
    <w:rsid w:val="002F3284"/>
    <w:rsid w:val="002F32E1"/>
    <w:rsid w:val="002F32F7"/>
    <w:rsid w:val="002F3376"/>
    <w:rsid w:val="002F33D2"/>
    <w:rsid w:val="002F34DA"/>
    <w:rsid w:val="002F35FF"/>
    <w:rsid w:val="002F3646"/>
    <w:rsid w:val="002F36CE"/>
    <w:rsid w:val="002F36D8"/>
    <w:rsid w:val="002F3715"/>
    <w:rsid w:val="002F3751"/>
    <w:rsid w:val="002F3757"/>
    <w:rsid w:val="002F38E8"/>
    <w:rsid w:val="002F38F3"/>
    <w:rsid w:val="002F39CC"/>
    <w:rsid w:val="002F3B10"/>
    <w:rsid w:val="002F3CC3"/>
    <w:rsid w:val="002F3DD2"/>
    <w:rsid w:val="002F3DEE"/>
    <w:rsid w:val="002F3F25"/>
    <w:rsid w:val="002F4071"/>
    <w:rsid w:val="002F40C4"/>
    <w:rsid w:val="002F40F4"/>
    <w:rsid w:val="002F4105"/>
    <w:rsid w:val="002F4202"/>
    <w:rsid w:val="002F4230"/>
    <w:rsid w:val="002F426B"/>
    <w:rsid w:val="002F4275"/>
    <w:rsid w:val="002F4293"/>
    <w:rsid w:val="002F44B2"/>
    <w:rsid w:val="002F44C9"/>
    <w:rsid w:val="002F4500"/>
    <w:rsid w:val="002F4505"/>
    <w:rsid w:val="002F450C"/>
    <w:rsid w:val="002F462B"/>
    <w:rsid w:val="002F462C"/>
    <w:rsid w:val="002F4654"/>
    <w:rsid w:val="002F474F"/>
    <w:rsid w:val="002F49CF"/>
    <w:rsid w:val="002F49F8"/>
    <w:rsid w:val="002F4AA0"/>
    <w:rsid w:val="002F4AE3"/>
    <w:rsid w:val="002F4AF6"/>
    <w:rsid w:val="002F4BC5"/>
    <w:rsid w:val="002F4C44"/>
    <w:rsid w:val="002F4CA8"/>
    <w:rsid w:val="002F4D53"/>
    <w:rsid w:val="002F4D9E"/>
    <w:rsid w:val="002F4E3E"/>
    <w:rsid w:val="002F4E57"/>
    <w:rsid w:val="002F4EB4"/>
    <w:rsid w:val="002F4F10"/>
    <w:rsid w:val="002F4F64"/>
    <w:rsid w:val="002F4F7A"/>
    <w:rsid w:val="002F4FD9"/>
    <w:rsid w:val="002F4FDC"/>
    <w:rsid w:val="002F5006"/>
    <w:rsid w:val="002F5075"/>
    <w:rsid w:val="002F508A"/>
    <w:rsid w:val="002F508C"/>
    <w:rsid w:val="002F50C8"/>
    <w:rsid w:val="002F5100"/>
    <w:rsid w:val="002F5198"/>
    <w:rsid w:val="002F51A7"/>
    <w:rsid w:val="002F52EB"/>
    <w:rsid w:val="002F5342"/>
    <w:rsid w:val="002F5383"/>
    <w:rsid w:val="002F539D"/>
    <w:rsid w:val="002F5461"/>
    <w:rsid w:val="002F5480"/>
    <w:rsid w:val="002F54A9"/>
    <w:rsid w:val="002F5525"/>
    <w:rsid w:val="002F56B0"/>
    <w:rsid w:val="002F56E7"/>
    <w:rsid w:val="002F575B"/>
    <w:rsid w:val="002F57B3"/>
    <w:rsid w:val="002F583E"/>
    <w:rsid w:val="002F5870"/>
    <w:rsid w:val="002F58E8"/>
    <w:rsid w:val="002F5932"/>
    <w:rsid w:val="002F59F5"/>
    <w:rsid w:val="002F5AAA"/>
    <w:rsid w:val="002F5ADC"/>
    <w:rsid w:val="002F5BB1"/>
    <w:rsid w:val="002F5BDE"/>
    <w:rsid w:val="002F5C2F"/>
    <w:rsid w:val="002F5C7A"/>
    <w:rsid w:val="002F5C97"/>
    <w:rsid w:val="002F5CAF"/>
    <w:rsid w:val="002F5CBF"/>
    <w:rsid w:val="002F5D22"/>
    <w:rsid w:val="002F5D32"/>
    <w:rsid w:val="002F5D53"/>
    <w:rsid w:val="002F5D77"/>
    <w:rsid w:val="002F5D9A"/>
    <w:rsid w:val="002F5DE0"/>
    <w:rsid w:val="002F5DEC"/>
    <w:rsid w:val="002F5F13"/>
    <w:rsid w:val="002F605F"/>
    <w:rsid w:val="002F6169"/>
    <w:rsid w:val="002F61D9"/>
    <w:rsid w:val="002F6297"/>
    <w:rsid w:val="002F62B3"/>
    <w:rsid w:val="002F6346"/>
    <w:rsid w:val="002F6382"/>
    <w:rsid w:val="002F63DA"/>
    <w:rsid w:val="002F6423"/>
    <w:rsid w:val="002F6468"/>
    <w:rsid w:val="002F64F0"/>
    <w:rsid w:val="002F65D5"/>
    <w:rsid w:val="002F65DD"/>
    <w:rsid w:val="002F66AE"/>
    <w:rsid w:val="002F66B9"/>
    <w:rsid w:val="002F676F"/>
    <w:rsid w:val="002F67BB"/>
    <w:rsid w:val="002F681F"/>
    <w:rsid w:val="002F6837"/>
    <w:rsid w:val="002F6885"/>
    <w:rsid w:val="002F689A"/>
    <w:rsid w:val="002F68E8"/>
    <w:rsid w:val="002F68EC"/>
    <w:rsid w:val="002F68F2"/>
    <w:rsid w:val="002F6927"/>
    <w:rsid w:val="002F6A29"/>
    <w:rsid w:val="002F6A4A"/>
    <w:rsid w:val="002F6B60"/>
    <w:rsid w:val="002F6CA2"/>
    <w:rsid w:val="002F6DCF"/>
    <w:rsid w:val="002F6E38"/>
    <w:rsid w:val="002F6E77"/>
    <w:rsid w:val="002F6E92"/>
    <w:rsid w:val="002F6EC9"/>
    <w:rsid w:val="002F6EF3"/>
    <w:rsid w:val="002F6F2F"/>
    <w:rsid w:val="002F6F75"/>
    <w:rsid w:val="002F6FE1"/>
    <w:rsid w:val="002F7072"/>
    <w:rsid w:val="002F7075"/>
    <w:rsid w:val="002F707D"/>
    <w:rsid w:val="002F722B"/>
    <w:rsid w:val="002F7238"/>
    <w:rsid w:val="002F738A"/>
    <w:rsid w:val="002F738C"/>
    <w:rsid w:val="002F739F"/>
    <w:rsid w:val="002F7402"/>
    <w:rsid w:val="002F745D"/>
    <w:rsid w:val="002F7480"/>
    <w:rsid w:val="002F74AC"/>
    <w:rsid w:val="002F74E4"/>
    <w:rsid w:val="002F74F3"/>
    <w:rsid w:val="002F7561"/>
    <w:rsid w:val="002F7568"/>
    <w:rsid w:val="002F75C6"/>
    <w:rsid w:val="002F76C1"/>
    <w:rsid w:val="002F7731"/>
    <w:rsid w:val="002F77D8"/>
    <w:rsid w:val="002F7823"/>
    <w:rsid w:val="002F786C"/>
    <w:rsid w:val="002F798A"/>
    <w:rsid w:val="002F7A38"/>
    <w:rsid w:val="002F7B1A"/>
    <w:rsid w:val="002F7B62"/>
    <w:rsid w:val="002F7B66"/>
    <w:rsid w:val="002F7B9E"/>
    <w:rsid w:val="002F7BA6"/>
    <w:rsid w:val="002F7BB8"/>
    <w:rsid w:val="002F7CA2"/>
    <w:rsid w:val="002F7D76"/>
    <w:rsid w:val="002F7E45"/>
    <w:rsid w:val="002F7EEB"/>
    <w:rsid w:val="002F7F09"/>
    <w:rsid w:val="002F7F50"/>
    <w:rsid w:val="002F7F76"/>
    <w:rsid w:val="0030005C"/>
    <w:rsid w:val="003000F7"/>
    <w:rsid w:val="00300145"/>
    <w:rsid w:val="003001A6"/>
    <w:rsid w:val="003001E1"/>
    <w:rsid w:val="003001F3"/>
    <w:rsid w:val="00300257"/>
    <w:rsid w:val="00300279"/>
    <w:rsid w:val="003004AF"/>
    <w:rsid w:val="0030053D"/>
    <w:rsid w:val="0030063D"/>
    <w:rsid w:val="00300655"/>
    <w:rsid w:val="003006BE"/>
    <w:rsid w:val="003006F9"/>
    <w:rsid w:val="003007BA"/>
    <w:rsid w:val="003007E3"/>
    <w:rsid w:val="00300808"/>
    <w:rsid w:val="0030082F"/>
    <w:rsid w:val="003008C1"/>
    <w:rsid w:val="00300A86"/>
    <w:rsid w:val="00300A89"/>
    <w:rsid w:val="00300AE2"/>
    <w:rsid w:val="00300B10"/>
    <w:rsid w:val="00300BAE"/>
    <w:rsid w:val="00300BC8"/>
    <w:rsid w:val="00300C0F"/>
    <w:rsid w:val="00300D59"/>
    <w:rsid w:val="00300E1D"/>
    <w:rsid w:val="00300E85"/>
    <w:rsid w:val="00300F19"/>
    <w:rsid w:val="00300F32"/>
    <w:rsid w:val="00300F66"/>
    <w:rsid w:val="00300F74"/>
    <w:rsid w:val="0030101A"/>
    <w:rsid w:val="00301020"/>
    <w:rsid w:val="00301046"/>
    <w:rsid w:val="003010D3"/>
    <w:rsid w:val="00301107"/>
    <w:rsid w:val="0030112B"/>
    <w:rsid w:val="0030113E"/>
    <w:rsid w:val="0030124D"/>
    <w:rsid w:val="003012AC"/>
    <w:rsid w:val="00301324"/>
    <w:rsid w:val="003013D4"/>
    <w:rsid w:val="00301601"/>
    <w:rsid w:val="00301631"/>
    <w:rsid w:val="0030171E"/>
    <w:rsid w:val="00301776"/>
    <w:rsid w:val="00301861"/>
    <w:rsid w:val="00301882"/>
    <w:rsid w:val="003018AB"/>
    <w:rsid w:val="00301948"/>
    <w:rsid w:val="00301A0F"/>
    <w:rsid w:val="00301A8B"/>
    <w:rsid w:val="00301A8D"/>
    <w:rsid w:val="00301B0E"/>
    <w:rsid w:val="00301B0F"/>
    <w:rsid w:val="00301B71"/>
    <w:rsid w:val="00301C3B"/>
    <w:rsid w:val="00301C3F"/>
    <w:rsid w:val="00301C7D"/>
    <w:rsid w:val="00301CEA"/>
    <w:rsid w:val="00301D11"/>
    <w:rsid w:val="00301DED"/>
    <w:rsid w:val="00301E20"/>
    <w:rsid w:val="00301E6B"/>
    <w:rsid w:val="00301E75"/>
    <w:rsid w:val="00301EB7"/>
    <w:rsid w:val="00301F28"/>
    <w:rsid w:val="00301F94"/>
    <w:rsid w:val="003020CB"/>
    <w:rsid w:val="00302167"/>
    <w:rsid w:val="0030219E"/>
    <w:rsid w:val="00302213"/>
    <w:rsid w:val="00302230"/>
    <w:rsid w:val="00302240"/>
    <w:rsid w:val="003022BD"/>
    <w:rsid w:val="00302338"/>
    <w:rsid w:val="00302352"/>
    <w:rsid w:val="00302355"/>
    <w:rsid w:val="0030240A"/>
    <w:rsid w:val="0030242D"/>
    <w:rsid w:val="003024E3"/>
    <w:rsid w:val="0030257F"/>
    <w:rsid w:val="003025B6"/>
    <w:rsid w:val="003025BC"/>
    <w:rsid w:val="00302615"/>
    <w:rsid w:val="00302668"/>
    <w:rsid w:val="0030267D"/>
    <w:rsid w:val="00302692"/>
    <w:rsid w:val="003026ED"/>
    <w:rsid w:val="00302724"/>
    <w:rsid w:val="00302766"/>
    <w:rsid w:val="00302783"/>
    <w:rsid w:val="003027A1"/>
    <w:rsid w:val="00302852"/>
    <w:rsid w:val="003028A6"/>
    <w:rsid w:val="003028A7"/>
    <w:rsid w:val="00302A64"/>
    <w:rsid w:val="00302AAA"/>
    <w:rsid w:val="00302B51"/>
    <w:rsid w:val="00302B90"/>
    <w:rsid w:val="00302C3C"/>
    <w:rsid w:val="00302CC7"/>
    <w:rsid w:val="00302CF1"/>
    <w:rsid w:val="00302E16"/>
    <w:rsid w:val="00302E29"/>
    <w:rsid w:val="00302E3E"/>
    <w:rsid w:val="00302ED0"/>
    <w:rsid w:val="00302F92"/>
    <w:rsid w:val="00302FBC"/>
    <w:rsid w:val="003030E0"/>
    <w:rsid w:val="00303102"/>
    <w:rsid w:val="00303149"/>
    <w:rsid w:val="0030316F"/>
    <w:rsid w:val="003032B2"/>
    <w:rsid w:val="003032EB"/>
    <w:rsid w:val="00303353"/>
    <w:rsid w:val="0030339D"/>
    <w:rsid w:val="003034D9"/>
    <w:rsid w:val="003034E9"/>
    <w:rsid w:val="00303571"/>
    <w:rsid w:val="003035D7"/>
    <w:rsid w:val="003035F2"/>
    <w:rsid w:val="00303612"/>
    <w:rsid w:val="003036AF"/>
    <w:rsid w:val="003036EE"/>
    <w:rsid w:val="00303701"/>
    <w:rsid w:val="00303776"/>
    <w:rsid w:val="00303788"/>
    <w:rsid w:val="0030380B"/>
    <w:rsid w:val="0030385C"/>
    <w:rsid w:val="0030387A"/>
    <w:rsid w:val="003038FF"/>
    <w:rsid w:val="003039AC"/>
    <w:rsid w:val="003039D4"/>
    <w:rsid w:val="003039E7"/>
    <w:rsid w:val="003039FA"/>
    <w:rsid w:val="00303B1E"/>
    <w:rsid w:val="00303BD3"/>
    <w:rsid w:val="00303BDB"/>
    <w:rsid w:val="00303C35"/>
    <w:rsid w:val="00303CA8"/>
    <w:rsid w:val="00303CD6"/>
    <w:rsid w:val="00303D30"/>
    <w:rsid w:val="00303D44"/>
    <w:rsid w:val="00303D69"/>
    <w:rsid w:val="00303E60"/>
    <w:rsid w:val="00303FF9"/>
    <w:rsid w:val="0030402C"/>
    <w:rsid w:val="003041B8"/>
    <w:rsid w:val="003041BB"/>
    <w:rsid w:val="003041C9"/>
    <w:rsid w:val="003041E8"/>
    <w:rsid w:val="00304208"/>
    <w:rsid w:val="0030423F"/>
    <w:rsid w:val="00304290"/>
    <w:rsid w:val="003042B3"/>
    <w:rsid w:val="003042E9"/>
    <w:rsid w:val="00304312"/>
    <w:rsid w:val="0030437D"/>
    <w:rsid w:val="00304467"/>
    <w:rsid w:val="003044B0"/>
    <w:rsid w:val="003044E5"/>
    <w:rsid w:val="0030450D"/>
    <w:rsid w:val="0030453C"/>
    <w:rsid w:val="00304621"/>
    <w:rsid w:val="00304738"/>
    <w:rsid w:val="0030476E"/>
    <w:rsid w:val="00304850"/>
    <w:rsid w:val="0030490D"/>
    <w:rsid w:val="003049B8"/>
    <w:rsid w:val="003049BD"/>
    <w:rsid w:val="003049DF"/>
    <w:rsid w:val="00304A63"/>
    <w:rsid w:val="00304BB4"/>
    <w:rsid w:val="00304C3B"/>
    <w:rsid w:val="00304C5D"/>
    <w:rsid w:val="00304CD2"/>
    <w:rsid w:val="00304EA0"/>
    <w:rsid w:val="00304EB4"/>
    <w:rsid w:val="00304F03"/>
    <w:rsid w:val="00304F36"/>
    <w:rsid w:val="00304F49"/>
    <w:rsid w:val="00304F59"/>
    <w:rsid w:val="00304FE8"/>
    <w:rsid w:val="00305009"/>
    <w:rsid w:val="00305095"/>
    <w:rsid w:val="00305255"/>
    <w:rsid w:val="0030530A"/>
    <w:rsid w:val="00305317"/>
    <w:rsid w:val="0030536C"/>
    <w:rsid w:val="0030538E"/>
    <w:rsid w:val="003053B5"/>
    <w:rsid w:val="003053C1"/>
    <w:rsid w:val="00305452"/>
    <w:rsid w:val="003054A4"/>
    <w:rsid w:val="003054AB"/>
    <w:rsid w:val="003054D6"/>
    <w:rsid w:val="003054FE"/>
    <w:rsid w:val="00305513"/>
    <w:rsid w:val="00305554"/>
    <w:rsid w:val="003055EE"/>
    <w:rsid w:val="00305680"/>
    <w:rsid w:val="003056F4"/>
    <w:rsid w:val="0030571E"/>
    <w:rsid w:val="00305792"/>
    <w:rsid w:val="00305815"/>
    <w:rsid w:val="003058A5"/>
    <w:rsid w:val="0030592C"/>
    <w:rsid w:val="00305968"/>
    <w:rsid w:val="00305A5C"/>
    <w:rsid w:val="00305B26"/>
    <w:rsid w:val="00305B81"/>
    <w:rsid w:val="00305CA5"/>
    <w:rsid w:val="00305E30"/>
    <w:rsid w:val="00305E43"/>
    <w:rsid w:val="00305E67"/>
    <w:rsid w:val="00305E7F"/>
    <w:rsid w:val="00305E95"/>
    <w:rsid w:val="00305E9A"/>
    <w:rsid w:val="00305EB5"/>
    <w:rsid w:val="00305F5D"/>
    <w:rsid w:val="00305FBD"/>
    <w:rsid w:val="003060BC"/>
    <w:rsid w:val="003061F8"/>
    <w:rsid w:val="00306239"/>
    <w:rsid w:val="00306278"/>
    <w:rsid w:val="00306326"/>
    <w:rsid w:val="003063F0"/>
    <w:rsid w:val="003064B8"/>
    <w:rsid w:val="003064E2"/>
    <w:rsid w:val="003065DB"/>
    <w:rsid w:val="003066D7"/>
    <w:rsid w:val="003066E0"/>
    <w:rsid w:val="003067C1"/>
    <w:rsid w:val="00306809"/>
    <w:rsid w:val="003069B2"/>
    <w:rsid w:val="00306A1F"/>
    <w:rsid w:val="00306A4D"/>
    <w:rsid w:val="00306A5E"/>
    <w:rsid w:val="00306AB2"/>
    <w:rsid w:val="00306B8C"/>
    <w:rsid w:val="00306C09"/>
    <w:rsid w:val="00306C3D"/>
    <w:rsid w:val="00306D04"/>
    <w:rsid w:val="00306D79"/>
    <w:rsid w:val="00306DAB"/>
    <w:rsid w:val="00306DCB"/>
    <w:rsid w:val="00306E02"/>
    <w:rsid w:val="00306F71"/>
    <w:rsid w:val="00306FB3"/>
    <w:rsid w:val="00306FB9"/>
    <w:rsid w:val="00306FBA"/>
    <w:rsid w:val="00307048"/>
    <w:rsid w:val="003070F3"/>
    <w:rsid w:val="00307106"/>
    <w:rsid w:val="00307195"/>
    <w:rsid w:val="003071AA"/>
    <w:rsid w:val="0030721E"/>
    <w:rsid w:val="00307235"/>
    <w:rsid w:val="0030723F"/>
    <w:rsid w:val="00307254"/>
    <w:rsid w:val="00307293"/>
    <w:rsid w:val="003072AA"/>
    <w:rsid w:val="0030731A"/>
    <w:rsid w:val="00307338"/>
    <w:rsid w:val="0030734A"/>
    <w:rsid w:val="0030738B"/>
    <w:rsid w:val="003073DB"/>
    <w:rsid w:val="003073FF"/>
    <w:rsid w:val="00307417"/>
    <w:rsid w:val="0030742E"/>
    <w:rsid w:val="003075E7"/>
    <w:rsid w:val="0030767D"/>
    <w:rsid w:val="0030770A"/>
    <w:rsid w:val="0030777B"/>
    <w:rsid w:val="003077A4"/>
    <w:rsid w:val="00307836"/>
    <w:rsid w:val="00307894"/>
    <w:rsid w:val="003078AD"/>
    <w:rsid w:val="003078E2"/>
    <w:rsid w:val="0030791F"/>
    <w:rsid w:val="0030794A"/>
    <w:rsid w:val="00307964"/>
    <w:rsid w:val="0030798E"/>
    <w:rsid w:val="00307A23"/>
    <w:rsid w:val="00307BBB"/>
    <w:rsid w:val="00307BE8"/>
    <w:rsid w:val="00307D9B"/>
    <w:rsid w:val="00307DA8"/>
    <w:rsid w:val="00307DEF"/>
    <w:rsid w:val="00307EC9"/>
    <w:rsid w:val="00307ECF"/>
    <w:rsid w:val="00307F92"/>
    <w:rsid w:val="00307FA0"/>
    <w:rsid w:val="00307FD9"/>
    <w:rsid w:val="00310014"/>
    <w:rsid w:val="0031018D"/>
    <w:rsid w:val="0031018F"/>
    <w:rsid w:val="003101A2"/>
    <w:rsid w:val="003101A4"/>
    <w:rsid w:val="003101FB"/>
    <w:rsid w:val="003101FE"/>
    <w:rsid w:val="003102F7"/>
    <w:rsid w:val="0031031E"/>
    <w:rsid w:val="003103AD"/>
    <w:rsid w:val="0031045F"/>
    <w:rsid w:val="00310470"/>
    <w:rsid w:val="003104CC"/>
    <w:rsid w:val="00310598"/>
    <w:rsid w:val="003105DC"/>
    <w:rsid w:val="00310668"/>
    <w:rsid w:val="003106ED"/>
    <w:rsid w:val="0031081B"/>
    <w:rsid w:val="0031083E"/>
    <w:rsid w:val="003108CF"/>
    <w:rsid w:val="00310927"/>
    <w:rsid w:val="00310929"/>
    <w:rsid w:val="00310945"/>
    <w:rsid w:val="00310A39"/>
    <w:rsid w:val="00310ADA"/>
    <w:rsid w:val="00310B1B"/>
    <w:rsid w:val="00310C5B"/>
    <w:rsid w:val="00310C77"/>
    <w:rsid w:val="00310CAA"/>
    <w:rsid w:val="00310D01"/>
    <w:rsid w:val="00310D0E"/>
    <w:rsid w:val="00310E2B"/>
    <w:rsid w:val="00310E5B"/>
    <w:rsid w:val="00310E6A"/>
    <w:rsid w:val="00310E88"/>
    <w:rsid w:val="00310E90"/>
    <w:rsid w:val="00310ECC"/>
    <w:rsid w:val="00310EEB"/>
    <w:rsid w:val="00310F18"/>
    <w:rsid w:val="00310F31"/>
    <w:rsid w:val="00310F41"/>
    <w:rsid w:val="00310F53"/>
    <w:rsid w:val="00310FFF"/>
    <w:rsid w:val="003110A0"/>
    <w:rsid w:val="0031111D"/>
    <w:rsid w:val="003111A0"/>
    <w:rsid w:val="003111E9"/>
    <w:rsid w:val="0031124C"/>
    <w:rsid w:val="00311260"/>
    <w:rsid w:val="0031127D"/>
    <w:rsid w:val="0031131F"/>
    <w:rsid w:val="0031136E"/>
    <w:rsid w:val="003113E9"/>
    <w:rsid w:val="00311433"/>
    <w:rsid w:val="003114A3"/>
    <w:rsid w:val="003114AC"/>
    <w:rsid w:val="003114D7"/>
    <w:rsid w:val="00311546"/>
    <w:rsid w:val="00311687"/>
    <w:rsid w:val="00311693"/>
    <w:rsid w:val="00311779"/>
    <w:rsid w:val="003117D1"/>
    <w:rsid w:val="003118EB"/>
    <w:rsid w:val="003118FF"/>
    <w:rsid w:val="00311943"/>
    <w:rsid w:val="003119B8"/>
    <w:rsid w:val="00311A14"/>
    <w:rsid w:val="00311A53"/>
    <w:rsid w:val="00311AB7"/>
    <w:rsid w:val="00311ADB"/>
    <w:rsid w:val="00311AFE"/>
    <w:rsid w:val="00311B3C"/>
    <w:rsid w:val="00311BC1"/>
    <w:rsid w:val="00311C99"/>
    <w:rsid w:val="00311CE4"/>
    <w:rsid w:val="00311E03"/>
    <w:rsid w:val="00311FE4"/>
    <w:rsid w:val="0031214D"/>
    <w:rsid w:val="00312175"/>
    <w:rsid w:val="0031219E"/>
    <w:rsid w:val="003121C6"/>
    <w:rsid w:val="003121E8"/>
    <w:rsid w:val="0031221A"/>
    <w:rsid w:val="00312245"/>
    <w:rsid w:val="00312271"/>
    <w:rsid w:val="00312272"/>
    <w:rsid w:val="00312304"/>
    <w:rsid w:val="00312364"/>
    <w:rsid w:val="00312380"/>
    <w:rsid w:val="003123D2"/>
    <w:rsid w:val="0031241E"/>
    <w:rsid w:val="003124EB"/>
    <w:rsid w:val="00312528"/>
    <w:rsid w:val="0031266C"/>
    <w:rsid w:val="0031269E"/>
    <w:rsid w:val="003126E6"/>
    <w:rsid w:val="0031273C"/>
    <w:rsid w:val="003127B4"/>
    <w:rsid w:val="0031281C"/>
    <w:rsid w:val="003128DE"/>
    <w:rsid w:val="003128F8"/>
    <w:rsid w:val="00312959"/>
    <w:rsid w:val="0031299A"/>
    <w:rsid w:val="00312A58"/>
    <w:rsid w:val="00312A8E"/>
    <w:rsid w:val="00312B67"/>
    <w:rsid w:val="00312B9A"/>
    <w:rsid w:val="00312BBC"/>
    <w:rsid w:val="00312BD3"/>
    <w:rsid w:val="00312BDE"/>
    <w:rsid w:val="00312C1D"/>
    <w:rsid w:val="00312C4E"/>
    <w:rsid w:val="00312C65"/>
    <w:rsid w:val="00312C74"/>
    <w:rsid w:val="00312CB3"/>
    <w:rsid w:val="00312D08"/>
    <w:rsid w:val="00312D40"/>
    <w:rsid w:val="00312D43"/>
    <w:rsid w:val="00312D5E"/>
    <w:rsid w:val="00312D89"/>
    <w:rsid w:val="00312E1A"/>
    <w:rsid w:val="00312E1B"/>
    <w:rsid w:val="00312E2E"/>
    <w:rsid w:val="00312E40"/>
    <w:rsid w:val="00312EE4"/>
    <w:rsid w:val="00312F57"/>
    <w:rsid w:val="00312FD3"/>
    <w:rsid w:val="00312FE1"/>
    <w:rsid w:val="00312FFD"/>
    <w:rsid w:val="00313279"/>
    <w:rsid w:val="003132DB"/>
    <w:rsid w:val="00313394"/>
    <w:rsid w:val="003133B2"/>
    <w:rsid w:val="00313408"/>
    <w:rsid w:val="003134C2"/>
    <w:rsid w:val="00313527"/>
    <w:rsid w:val="00313531"/>
    <w:rsid w:val="00313745"/>
    <w:rsid w:val="003137AE"/>
    <w:rsid w:val="00313805"/>
    <w:rsid w:val="00313814"/>
    <w:rsid w:val="0031387B"/>
    <w:rsid w:val="00313892"/>
    <w:rsid w:val="003138A3"/>
    <w:rsid w:val="003138D1"/>
    <w:rsid w:val="003138DA"/>
    <w:rsid w:val="00313A68"/>
    <w:rsid w:val="00313A6E"/>
    <w:rsid w:val="00313A90"/>
    <w:rsid w:val="00313AB0"/>
    <w:rsid w:val="00313ABD"/>
    <w:rsid w:val="00313AC6"/>
    <w:rsid w:val="00313B41"/>
    <w:rsid w:val="00313BAB"/>
    <w:rsid w:val="00313BFB"/>
    <w:rsid w:val="00313D5E"/>
    <w:rsid w:val="00313E05"/>
    <w:rsid w:val="00313ECC"/>
    <w:rsid w:val="0031400E"/>
    <w:rsid w:val="00314040"/>
    <w:rsid w:val="00314081"/>
    <w:rsid w:val="003140C9"/>
    <w:rsid w:val="003140CA"/>
    <w:rsid w:val="003140E7"/>
    <w:rsid w:val="0031411F"/>
    <w:rsid w:val="0031416A"/>
    <w:rsid w:val="003141B0"/>
    <w:rsid w:val="003141C0"/>
    <w:rsid w:val="0031420B"/>
    <w:rsid w:val="0031424F"/>
    <w:rsid w:val="003142A7"/>
    <w:rsid w:val="003142F9"/>
    <w:rsid w:val="00314333"/>
    <w:rsid w:val="0031446E"/>
    <w:rsid w:val="0031447C"/>
    <w:rsid w:val="003144FE"/>
    <w:rsid w:val="00314562"/>
    <w:rsid w:val="003145BB"/>
    <w:rsid w:val="003145BE"/>
    <w:rsid w:val="003145EC"/>
    <w:rsid w:val="003146ED"/>
    <w:rsid w:val="0031472E"/>
    <w:rsid w:val="0031474C"/>
    <w:rsid w:val="0031477C"/>
    <w:rsid w:val="00314848"/>
    <w:rsid w:val="003148F5"/>
    <w:rsid w:val="0031496C"/>
    <w:rsid w:val="00314974"/>
    <w:rsid w:val="003149AF"/>
    <w:rsid w:val="003149CA"/>
    <w:rsid w:val="00314A1B"/>
    <w:rsid w:val="00314A1E"/>
    <w:rsid w:val="00314A8F"/>
    <w:rsid w:val="00314AFE"/>
    <w:rsid w:val="00314B60"/>
    <w:rsid w:val="00314B67"/>
    <w:rsid w:val="00314C8F"/>
    <w:rsid w:val="00314CB3"/>
    <w:rsid w:val="00314D73"/>
    <w:rsid w:val="00314D7E"/>
    <w:rsid w:val="00314F06"/>
    <w:rsid w:val="00314F38"/>
    <w:rsid w:val="00314F59"/>
    <w:rsid w:val="003150B0"/>
    <w:rsid w:val="0031510F"/>
    <w:rsid w:val="00315126"/>
    <w:rsid w:val="0031513F"/>
    <w:rsid w:val="003151B9"/>
    <w:rsid w:val="00315256"/>
    <w:rsid w:val="0031528F"/>
    <w:rsid w:val="003153D1"/>
    <w:rsid w:val="0031543D"/>
    <w:rsid w:val="00315450"/>
    <w:rsid w:val="0031546F"/>
    <w:rsid w:val="0031547E"/>
    <w:rsid w:val="00315482"/>
    <w:rsid w:val="00315486"/>
    <w:rsid w:val="00315550"/>
    <w:rsid w:val="00315586"/>
    <w:rsid w:val="003155CF"/>
    <w:rsid w:val="003156DF"/>
    <w:rsid w:val="0031578F"/>
    <w:rsid w:val="0031579A"/>
    <w:rsid w:val="003157AF"/>
    <w:rsid w:val="0031580D"/>
    <w:rsid w:val="003158B6"/>
    <w:rsid w:val="003158B7"/>
    <w:rsid w:val="003158F3"/>
    <w:rsid w:val="0031594B"/>
    <w:rsid w:val="00315A18"/>
    <w:rsid w:val="00315A2D"/>
    <w:rsid w:val="00315AA3"/>
    <w:rsid w:val="00315B27"/>
    <w:rsid w:val="00315B29"/>
    <w:rsid w:val="00315B85"/>
    <w:rsid w:val="00315C0C"/>
    <w:rsid w:val="00315C19"/>
    <w:rsid w:val="00315C56"/>
    <w:rsid w:val="00315C8F"/>
    <w:rsid w:val="00315C93"/>
    <w:rsid w:val="00315CE4"/>
    <w:rsid w:val="00315CEF"/>
    <w:rsid w:val="00315CF7"/>
    <w:rsid w:val="00315E8F"/>
    <w:rsid w:val="00315E9A"/>
    <w:rsid w:val="00315ED0"/>
    <w:rsid w:val="00315F21"/>
    <w:rsid w:val="00316058"/>
    <w:rsid w:val="003160ED"/>
    <w:rsid w:val="00316159"/>
    <w:rsid w:val="003161D2"/>
    <w:rsid w:val="003161EB"/>
    <w:rsid w:val="0031622F"/>
    <w:rsid w:val="00316232"/>
    <w:rsid w:val="00316244"/>
    <w:rsid w:val="00316363"/>
    <w:rsid w:val="003163B4"/>
    <w:rsid w:val="003163C4"/>
    <w:rsid w:val="00316417"/>
    <w:rsid w:val="00316418"/>
    <w:rsid w:val="0031646A"/>
    <w:rsid w:val="0031648B"/>
    <w:rsid w:val="003164D7"/>
    <w:rsid w:val="0031652F"/>
    <w:rsid w:val="00316605"/>
    <w:rsid w:val="00316650"/>
    <w:rsid w:val="003166C8"/>
    <w:rsid w:val="00316772"/>
    <w:rsid w:val="003167EB"/>
    <w:rsid w:val="00316816"/>
    <w:rsid w:val="0031683B"/>
    <w:rsid w:val="00316853"/>
    <w:rsid w:val="00316889"/>
    <w:rsid w:val="0031689F"/>
    <w:rsid w:val="003168C7"/>
    <w:rsid w:val="0031697F"/>
    <w:rsid w:val="003169C7"/>
    <w:rsid w:val="003169FC"/>
    <w:rsid w:val="00316A89"/>
    <w:rsid w:val="00316A91"/>
    <w:rsid w:val="00316A9D"/>
    <w:rsid w:val="00316B63"/>
    <w:rsid w:val="00316C17"/>
    <w:rsid w:val="00316CD1"/>
    <w:rsid w:val="00316D1C"/>
    <w:rsid w:val="00316DAB"/>
    <w:rsid w:val="00316DC0"/>
    <w:rsid w:val="00316DF0"/>
    <w:rsid w:val="00316E44"/>
    <w:rsid w:val="00316E4D"/>
    <w:rsid w:val="00316EE3"/>
    <w:rsid w:val="00316F4D"/>
    <w:rsid w:val="00316F79"/>
    <w:rsid w:val="00316F81"/>
    <w:rsid w:val="00316F94"/>
    <w:rsid w:val="00317097"/>
    <w:rsid w:val="0031710D"/>
    <w:rsid w:val="00317180"/>
    <w:rsid w:val="0031719E"/>
    <w:rsid w:val="003171D5"/>
    <w:rsid w:val="003172A7"/>
    <w:rsid w:val="00317348"/>
    <w:rsid w:val="00317389"/>
    <w:rsid w:val="003173BA"/>
    <w:rsid w:val="003173F0"/>
    <w:rsid w:val="0031742A"/>
    <w:rsid w:val="00317475"/>
    <w:rsid w:val="0031748E"/>
    <w:rsid w:val="003174BE"/>
    <w:rsid w:val="003174EE"/>
    <w:rsid w:val="00317609"/>
    <w:rsid w:val="0031763A"/>
    <w:rsid w:val="003176F2"/>
    <w:rsid w:val="0031774D"/>
    <w:rsid w:val="00317819"/>
    <w:rsid w:val="0031783C"/>
    <w:rsid w:val="0031793A"/>
    <w:rsid w:val="00317941"/>
    <w:rsid w:val="003179E4"/>
    <w:rsid w:val="003179E8"/>
    <w:rsid w:val="00317C2F"/>
    <w:rsid w:val="00317C94"/>
    <w:rsid w:val="00317D27"/>
    <w:rsid w:val="00317DCD"/>
    <w:rsid w:val="00317E69"/>
    <w:rsid w:val="00317E74"/>
    <w:rsid w:val="00317F45"/>
    <w:rsid w:val="00317F48"/>
    <w:rsid w:val="003200D9"/>
    <w:rsid w:val="00320208"/>
    <w:rsid w:val="0032027D"/>
    <w:rsid w:val="003202B1"/>
    <w:rsid w:val="003202F9"/>
    <w:rsid w:val="0032036C"/>
    <w:rsid w:val="003203ED"/>
    <w:rsid w:val="003203EE"/>
    <w:rsid w:val="00320464"/>
    <w:rsid w:val="0032049D"/>
    <w:rsid w:val="003204C9"/>
    <w:rsid w:val="003205DC"/>
    <w:rsid w:val="003206B5"/>
    <w:rsid w:val="003206D2"/>
    <w:rsid w:val="0032072A"/>
    <w:rsid w:val="00320789"/>
    <w:rsid w:val="0032087A"/>
    <w:rsid w:val="00320894"/>
    <w:rsid w:val="003208CA"/>
    <w:rsid w:val="003208DC"/>
    <w:rsid w:val="00320910"/>
    <w:rsid w:val="0032093C"/>
    <w:rsid w:val="0032095B"/>
    <w:rsid w:val="00320A1B"/>
    <w:rsid w:val="00320A20"/>
    <w:rsid w:val="00320AD5"/>
    <w:rsid w:val="00320AE6"/>
    <w:rsid w:val="00320B7F"/>
    <w:rsid w:val="00320BC5"/>
    <w:rsid w:val="00320BF0"/>
    <w:rsid w:val="00320CD8"/>
    <w:rsid w:val="00320D81"/>
    <w:rsid w:val="00320DB9"/>
    <w:rsid w:val="00320EF1"/>
    <w:rsid w:val="00320EF4"/>
    <w:rsid w:val="00320F25"/>
    <w:rsid w:val="00320F2E"/>
    <w:rsid w:val="00320FA6"/>
    <w:rsid w:val="00320FA8"/>
    <w:rsid w:val="00321005"/>
    <w:rsid w:val="003210B5"/>
    <w:rsid w:val="003211A6"/>
    <w:rsid w:val="003212BE"/>
    <w:rsid w:val="00321336"/>
    <w:rsid w:val="00321393"/>
    <w:rsid w:val="003213B1"/>
    <w:rsid w:val="00321487"/>
    <w:rsid w:val="00321496"/>
    <w:rsid w:val="0032149F"/>
    <w:rsid w:val="0032159B"/>
    <w:rsid w:val="003215F5"/>
    <w:rsid w:val="00321601"/>
    <w:rsid w:val="00321602"/>
    <w:rsid w:val="00321694"/>
    <w:rsid w:val="003216E7"/>
    <w:rsid w:val="003216EA"/>
    <w:rsid w:val="0032172B"/>
    <w:rsid w:val="00321806"/>
    <w:rsid w:val="00321823"/>
    <w:rsid w:val="00321859"/>
    <w:rsid w:val="00321906"/>
    <w:rsid w:val="00321942"/>
    <w:rsid w:val="0032196B"/>
    <w:rsid w:val="003219DB"/>
    <w:rsid w:val="003219DF"/>
    <w:rsid w:val="00321ACD"/>
    <w:rsid w:val="00321ADA"/>
    <w:rsid w:val="00321BDB"/>
    <w:rsid w:val="00321C46"/>
    <w:rsid w:val="00321C52"/>
    <w:rsid w:val="00321CCF"/>
    <w:rsid w:val="00321D22"/>
    <w:rsid w:val="00321D40"/>
    <w:rsid w:val="00321D46"/>
    <w:rsid w:val="00321D77"/>
    <w:rsid w:val="00321E1A"/>
    <w:rsid w:val="00321E40"/>
    <w:rsid w:val="00321E7A"/>
    <w:rsid w:val="00321F00"/>
    <w:rsid w:val="00321F18"/>
    <w:rsid w:val="00321F3B"/>
    <w:rsid w:val="00321F7C"/>
    <w:rsid w:val="00321FD0"/>
    <w:rsid w:val="00322119"/>
    <w:rsid w:val="00322139"/>
    <w:rsid w:val="00322163"/>
    <w:rsid w:val="003221B0"/>
    <w:rsid w:val="003221DD"/>
    <w:rsid w:val="003221FF"/>
    <w:rsid w:val="00322215"/>
    <w:rsid w:val="00322228"/>
    <w:rsid w:val="0032225F"/>
    <w:rsid w:val="0032227F"/>
    <w:rsid w:val="00322352"/>
    <w:rsid w:val="003223D8"/>
    <w:rsid w:val="00322408"/>
    <w:rsid w:val="003224B8"/>
    <w:rsid w:val="003224EF"/>
    <w:rsid w:val="0032251F"/>
    <w:rsid w:val="0032252A"/>
    <w:rsid w:val="00322621"/>
    <w:rsid w:val="0032269C"/>
    <w:rsid w:val="003226EB"/>
    <w:rsid w:val="0032289A"/>
    <w:rsid w:val="003228C3"/>
    <w:rsid w:val="00322906"/>
    <w:rsid w:val="00322916"/>
    <w:rsid w:val="00322973"/>
    <w:rsid w:val="00322A27"/>
    <w:rsid w:val="00322A55"/>
    <w:rsid w:val="00322ADB"/>
    <w:rsid w:val="00322B40"/>
    <w:rsid w:val="00322C19"/>
    <w:rsid w:val="00322CDB"/>
    <w:rsid w:val="00322CE7"/>
    <w:rsid w:val="00322D4B"/>
    <w:rsid w:val="00322D60"/>
    <w:rsid w:val="00322D88"/>
    <w:rsid w:val="00322EE8"/>
    <w:rsid w:val="00322EF4"/>
    <w:rsid w:val="00322F14"/>
    <w:rsid w:val="00322FD0"/>
    <w:rsid w:val="003230A9"/>
    <w:rsid w:val="003230B0"/>
    <w:rsid w:val="00323107"/>
    <w:rsid w:val="003231C4"/>
    <w:rsid w:val="003231DC"/>
    <w:rsid w:val="003231F6"/>
    <w:rsid w:val="00323237"/>
    <w:rsid w:val="00323280"/>
    <w:rsid w:val="003232B4"/>
    <w:rsid w:val="0032333E"/>
    <w:rsid w:val="003233C9"/>
    <w:rsid w:val="003233E3"/>
    <w:rsid w:val="003233FF"/>
    <w:rsid w:val="00323409"/>
    <w:rsid w:val="0032343C"/>
    <w:rsid w:val="0032349B"/>
    <w:rsid w:val="003234AD"/>
    <w:rsid w:val="00323569"/>
    <w:rsid w:val="0032357A"/>
    <w:rsid w:val="0032359B"/>
    <w:rsid w:val="0032361B"/>
    <w:rsid w:val="0032363A"/>
    <w:rsid w:val="00323647"/>
    <w:rsid w:val="003236F8"/>
    <w:rsid w:val="00323746"/>
    <w:rsid w:val="00323790"/>
    <w:rsid w:val="003238FF"/>
    <w:rsid w:val="00323951"/>
    <w:rsid w:val="003239FE"/>
    <w:rsid w:val="00323AD0"/>
    <w:rsid w:val="00323B38"/>
    <w:rsid w:val="00323B6C"/>
    <w:rsid w:val="00323B87"/>
    <w:rsid w:val="00323C1C"/>
    <w:rsid w:val="00323C21"/>
    <w:rsid w:val="00323C39"/>
    <w:rsid w:val="00323C77"/>
    <w:rsid w:val="00323CEF"/>
    <w:rsid w:val="00323DA1"/>
    <w:rsid w:val="00323DB3"/>
    <w:rsid w:val="00323E3D"/>
    <w:rsid w:val="00323E71"/>
    <w:rsid w:val="00323EA1"/>
    <w:rsid w:val="00323F33"/>
    <w:rsid w:val="0032400B"/>
    <w:rsid w:val="003240F8"/>
    <w:rsid w:val="00324206"/>
    <w:rsid w:val="00324253"/>
    <w:rsid w:val="00324267"/>
    <w:rsid w:val="00324277"/>
    <w:rsid w:val="0032427E"/>
    <w:rsid w:val="0032439B"/>
    <w:rsid w:val="003243B7"/>
    <w:rsid w:val="00324481"/>
    <w:rsid w:val="00324509"/>
    <w:rsid w:val="00324565"/>
    <w:rsid w:val="003245BA"/>
    <w:rsid w:val="0032477E"/>
    <w:rsid w:val="003247CA"/>
    <w:rsid w:val="0032481C"/>
    <w:rsid w:val="00324825"/>
    <w:rsid w:val="0032482A"/>
    <w:rsid w:val="00324833"/>
    <w:rsid w:val="00324856"/>
    <w:rsid w:val="00324861"/>
    <w:rsid w:val="003248D5"/>
    <w:rsid w:val="0032495F"/>
    <w:rsid w:val="00324997"/>
    <w:rsid w:val="003249CE"/>
    <w:rsid w:val="003249D0"/>
    <w:rsid w:val="003249ED"/>
    <w:rsid w:val="00324A02"/>
    <w:rsid w:val="00324A04"/>
    <w:rsid w:val="00324A16"/>
    <w:rsid w:val="00324A4B"/>
    <w:rsid w:val="00324AB6"/>
    <w:rsid w:val="00324BD5"/>
    <w:rsid w:val="00324C00"/>
    <w:rsid w:val="00324C07"/>
    <w:rsid w:val="00324CA9"/>
    <w:rsid w:val="00324CBE"/>
    <w:rsid w:val="00324CE2"/>
    <w:rsid w:val="00324D04"/>
    <w:rsid w:val="00324D3E"/>
    <w:rsid w:val="00324D96"/>
    <w:rsid w:val="00324E24"/>
    <w:rsid w:val="00324E58"/>
    <w:rsid w:val="00324F89"/>
    <w:rsid w:val="00324FA8"/>
    <w:rsid w:val="0032507D"/>
    <w:rsid w:val="003250DF"/>
    <w:rsid w:val="0032515A"/>
    <w:rsid w:val="003251BE"/>
    <w:rsid w:val="0032522E"/>
    <w:rsid w:val="00325281"/>
    <w:rsid w:val="003252B4"/>
    <w:rsid w:val="00325353"/>
    <w:rsid w:val="003253A6"/>
    <w:rsid w:val="00325416"/>
    <w:rsid w:val="00325554"/>
    <w:rsid w:val="00325585"/>
    <w:rsid w:val="003255A7"/>
    <w:rsid w:val="003255B4"/>
    <w:rsid w:val="00325600"/>
    <w:rsid w:val="00325744"/>
    <w:rsid w:val="003257BE"/>
    <w:rsid w:val="003258BB"/>
    <w:rsid w:val="003258FE"/>
    <w:rsid w:val="0032591B"/>
    <w:rsid w:val="0032591E"/>
    <w:rsid w:val="00325926"/>
    <w:rsid w:val="00325933"/>
    <w:rsid w:val="003259DA"/>
    <w:rsid w:val="00325A3F"/>
    <w:rsid w:val="00325B27"/>
    <w:rsid w:val="00325BC4"/>
    <w:rsid w:val="00325D5C"/>
    <w:rsid w:val="00325E75"/>
    <w:rsid w:val="00325EBA"/>
    <w:rsid w:val="00325F42"/>
    <w:rsid w:val="00325FB6"/>
    <w:rsid w:val="00325FEB"/>
    <w:rsid w:val="0032600E"/>
    <w:rsid w:val="003260D4"/>
    <w:rsid w:val="003260EF"/>
    <w:rsid w:val="0032617F"/>
    <w:rsid w:val="003261D1"/>
    <w:rsid w:val="00326283"/>
    <w:rsid w:val="003262B5"/>
    <w:rsid w:val="003262EC"/>
    <w:rsid w:val="00326322"/>
    <w:rsid w:val="00326343"/>
    <w:rsid w:val="003263EC"/>
    <w:rsid w:val="0032648A"/>
    <w:rsid w:val="0032648E"/>
    <w:rsid w:val="003265D2"/>
    <w:rsid w:val="00326627"/>
    <w:rsid w:val="003266A4"/>
    <w:rsid w:val="003266A9"/>
    <w:rsid w:val="0032676E"/>
    <w:rsid w:val="003267A6"/>
    <w:rsid w:val="003268AF"/>
    <w:rsid w:val="003269B0"/>
    <w:rsid w:val="00326A84"/>
    <w:rsid w:val="00326B0F"/>
    <w:rsid w:val="00326B41"/>
    <w:rsid w:val="00326B91"/>
    <w:rsid w:val="00326BAA"/>
    <w:rsid w:val="00326C73"/>
    <w:rsid w:val="00326CE3"/>
    <w:rsid w:val="00326D39"/>
    <w:rsid w:val="00326D79"/>
    <w:rsid w:val="00326EBC"/>
    <w:rsid w:val="00326EC3"/>
    <w:rsid w:val="00326F07"/>
    <w:rsid w:val="00327007"/>
    <w:rsid w:val="00327057"/>
    <w:rsid w:val="0032706A"/>
    <w:rsid w:val="00327088"/>
    <w:rsid w:val="00327149"/>
    <w:rsid w:val="00327156"/>
    <w:rsid w:val="00327172"/>
    <w:rsid w:val="003271CF"/>
    <w:rsid w:val="00327224"/>
    <w:rsid w:val="0032722E"/>
    <w:rsid w:val="00327309"/>
    <w:rsid w:val="00327335"/>
    <w:rsid w:val="003273B6"/>
    <w:rsid w:val="003273D6"/>
    <w:rsid w:val="003273EE"/>
    <w:rsid w:val="00327477"/>
    <w:rsid w:val="00327497"/>
    <w:rsid w:val="003274EC"/>
    <w:rsid w:val="00327590"/>
    <w:rsid w:val="00327592"/>
    <w:rsid w:val="003275E8"/>
    <w:rsid w:val="0032761F"/>
    <w:rsid w:val="00327627"/>
    <w:rsid w:val="0032762E"/>
    <w:rsid w:val="003276A4"/>
    <w:rsid w:val="00327774"/>
    <w:rsid w:val="0032781D"/>
    <w:rsid w:val="00327A04"/>
    <w:rsid w:val="00327A1C"/>
    <w:rsid w:val="00327A3F"/>
    <w:rsid w:val="00327A49"/>
    <w:rsid w:val="00327A5F"/>
    <w:rsid w:val="00327A79"/>
    <w:rsid w:val="00327AD2"/>
    <w:rsid w:val="00327AF4"/>
    <w:rsid w:val="00327C33"/>
    <w:rsid w:val="00327C83"/>
    <w:rsid w:val="00327D0D"/>
    <w:rsid w:val="00327DD8"/>
    <w:rsid w:val="00327EC7"/>
    <w:rsid w:val="0033002E"/>
    <w:rsid w:val="0033003F"/>
    <w:rsid w:val="003300A7"/>
    <w:rsid w:val="00330151"/>
    <w:rsid w:val="00330260"/>
    <w:rsid w:val="00330283"/>
    <w:rsid w:val="003302B2"/>
    <w:rsid w:val="00330365"/>
    <w:rsid w:val="003303ED"/>
    <w:rsid w:val="00330458"/>
    <w:rsid w:val="003306AD"/>
    <w:rsid w:val="00330710"/>
    <w:rsid w:val="0033072F"/>
    <w:rsid w:val="003308EC"/>
    <w:rsid w:val="003308F5"/>
    <w:rsid w:val="0033093E"/>
    <w:rsid w:val="0033094A"/>
    <w:rsid w:val="00330959"/>
    <w:rsid w:val="003309C0"/>
    <w:rsid w:val="00330A0D"/>
    <w:rsid w:val="00330AC9"/>
    <w:rsid w:val="00330B6D"/>
    <w:rsid w:val="00330BDB"/>
    <w:rsid w:val="00330BFF"/>
    <w:rsid w:val="00330C68"/>
    <w:rsid w:val="00330CBE"/>
    <w:rsid w:val="00330CC9"/>
    <w:rsid w:val="00330D41"/>
    <w:rsid w:val="00330D44"/>
    <w:rsid w:val="00330D99"/>
    <w:rsid w:val="00330E4F"/>
    <w:rsid w:val="00330E6C"/>
    <w:rsid w:val="00330F2E"/>
    <w:rsid w:val="0033104B"/>
    <w:rsid w:val="0033114B"/>
    <w:rsid w:val="00331225"/>
    <w:rsid w:val="00331237"/>
    <w:rsid w:val="0033126F"/>
    <w:rsid w:val="003312C9"/>
    <w:rsid w:val="003312CF"/>
    <w:rsid w:val="003313A7"/>
    <w:rsid w:val="003313B4"/>
    <w:rsid w:val="003313C3"/>
    <w:rsid w:val="00331408"/>
    <w:rsid w:val="00331412"/>
    <w:rsid w:val="0033143C"/>
    <w:rsid w:val="00331456"/>
    <w:rsid w:val="003314E8"/>
    <w:rsid w:val="00331510"/>
    <w:rsid w:val="00331566"/>
    <w:rsid w:val="003315B9"/>
    <w:rsid w:val="00331655"/>
    <w:rsid w:val="003316C9"/>
    <w:rsid w:val="003316FE"/>
    <w:rsid w:val="003317F1"/>
    <w:rsid w:val="00331871"/>
    <w:rsid w:val="003318C2"/>
    <w:rsid w:val="00331945"/>
    <w:rsid w:val="003319B7"/>
    <w:rsid w:val="003319BD"/>
    <w:rsid w:val="003319FD"/>
    <w:rsid w:val="00331A76"/>
    <w:rsid w:val="00331AF9"/>
    <w:rsid w:val="00331B1C"/>
    <w:rsid w:val="00331B9E"/>
    <w:rsid w:val="00331BAD"/>
    <w:rsid w:val="00331BE9"/>
    <w:rsid w:val="00331C4F"/>
    <w:rsid w:val="00331C93"/>
    <w:rsid w:val="00331CA4"/>
    <w:rsid w:val="00331CE3"/>
    <w:rsid w:val="00331D14"/>
    <w:rsid w:val="00331D90"/>
    <w:rsid w:val="00331E4D"/>
    <w:rsid w:val="00331F51"/>
    <w:rsid w:val="00331F60"/>
    <w:rsid w:val="00331FEE"/>
    <w:rsid w:val="00332077"/>
    <w:rsid w:val="0033210B"/>
    <w:rsid w:val="00332155"/>
    <w:rsid w:val="0033250F"/>
    <w:rsid w:val="0033255A"/>
    <w:rsid w:val="00332600"/>
    <w:rsid w:val="00332621"/>
    <w:rsid w:val="0033277C"/>
    <w:rsid w:val="003327E2"/>
    <w:rsid w:val="00332865"/>
    <w:rsid w:val="00332918"/>
    <w:rsid w:val="0033295A"/>
    <w:rsid w:val="00332A03"/>
    <w:rsid w:val="00332A3F"/>
    <w:rsid w:val="00332AC3"/>
    <w:rsid w:val="00332AE3"/>
    <w:rsid w:val="00332AF4"/>
    <w:rsid w:val="00332B0E"/>
    <w:rsid w:val="00332BFC"/>
    <w:rsid w:val="00332C60"/>
    <w:rsid w:val="00332C77"/>
    <w:rsid w:val="00332E9D"/>
    <w:rsid w:val="00332EB0"/>
    <w:rsid w:val="00332F69"/>
    <w:rsid w:val="00332FF0"/>
    <w:rsid w:val="0033302D"/>
    <w:rsid w:val="003330A8"/>
    <w:rsid w:val="003331CF"/>
    <w:rsid w:val="003332A7"/>
    <w:rsid w:val="00333362"/>
    <w:rsid w:val="00333398"/>
    <w:rsid w:val="003333A3"/>
    <w:rsid w:val="0033344E"/>
    <w:rsid w:val="00333486"/>
    <w:rsid w:val="003334F5"/>
    <w:rsid w:val="00333542"/>
    <w:rsid w:val="003335AC"/>
    <w:rsid w:val="003335E3"/>
    <w:rsid w:val="0033361B"/>
    <w:rsid w:val="00333624"/>
    <w:rsid w:val="0033369B"/>
    <w:rsid w:val="0033369F"/>
    <w:rsid w:val="003336AF"/>
    <w:rsid w:val="003336B6"/>
    <w:rsid w:val="003336EE"/>
    <w:rsid w:val="00333708"/>
    <w:rsid w:val="00333726"/>
    <w:rsid w:val="00333810"/>
    <w:rsid w:val="00333822"/>
    <w:rsid w:val="003338DC"/>
    <w:rsid w:val="00333952"/>
    <w:rsid w:val="0033395E"/>
    <w:rsid w:val="00333998"/>
    <w:rsid w:val="00333BE3"/>
    <w:rsid w:val="00333C31"/>
    <w:rsid w:val="00333D6C"/>
    <w:rsid w:val="00333D8F"/>
    <w:rsid w:val="00333DC5"/>
    <w:rsid w:val="00333DE2"/>
    <w:rsid w:val="00333E19"/>
    <w:rsid w:val="00333E22"/>
    <w:rsid w:val="00333EC7"/>
    <w:rsid w:val="00333EFE"/>
    <w:rsid w:val="00333FDA"/>
    <w:rsid w:val="00334077"/>
    <w:rsid w:val="003340B3"/>
    <w:rsid w:val="003340C4"/>
    <w:rsid w:val="00334108"/>
    <w:rsid w:val="0033411B"/>
    <w:rsid w:val="003341C4"/>
    <w:rsid w:val="003341EC"/>
    <w:rsid w:val="003342CC"/>
    <w:rsid w:val="00334308"/>
    <w:rsid w:val="003343C9"/>
    <w:rsid w:val="003343CD"/>
    <w:rsid w:val="00334495"/>
    <w:rsid w:val="003344F0"/>
    <w:rsid w:val="0033471E"/>
    <w:rsid w:val="00334750"/>
    <w:rsid w:val="003347D9"/>
    <w:rsid w:val="00334827"/>
    <w:rsid w:val="00334885"/>
    <w:rsid w:val="003348D8"/>
    <w:rsid w:val="00334924"/>
    <w:rsid w:val="00334960"/>
    <w:rsid w:val="0033497B"/>
    <w:rsid w:val="003349E8"/>
    <w:rsid w:val="00334A1E"/>
    <w:rsid w:val="00334B70"/>
    <w:rsid w:val="00334C1F"/>
    <w:rsid w:val="00334C3F"/>
    <w:rsid w:val="00334C46"/>
    <w:rsid w:val="00334CAA"/>
    <w:rsid w:val="00334CC5"/>
    <w:rsid w:val="00334CD9"/>
    <w:rsid w:val="00334E84"/>
    <w:rsid w:val="00334FD7"/>
    <w:rsid w:val="00335043"/>
    <w:rsid w:val="0033506C"/>
    <w:rsid w:val="003350BB"/>
    <w:rsid w:val="00335193"/>
    <w:rsid w:val="00335205"/>
    <w:rsid w:val="00335241"/>
    <w:rsid w:val="003352C4"/>
    <w:rsid w:val="003354BF"/>
    <w:rsid w:val="003354C5"/>
    <w:rsid w:val="003355C9"/>
    <w:rsid w:val="0033560D"/>
    <w:rsid w:val="00335682"/>
    <w:rsid w:val="00335691"/>
    <w:rsid w:val="003356DD"/>
    <w:rsid w:val="003356EC"/>
    <w:rsid w:val="0033581E"/>
    <w:rsid w:val="00335A05"/>
    <w:rsid w:val="00335A4F"/>
    <w:rsid w:val="00335A92"/>
    <w:rsid w:val="00335AD4"/>
    <w:rsid w:val="00335AE2"/>
    <w:rsid w:val="00335B0B"/>
    <w:rsid w:val="00335B1F"/>
    <w:rsid w:val="00335B23"/>
    <w:rsid w:val="00335B3E"/>
    <w:rsid w:val="00335BB2"/>
    <w:rsid w:val="00335BBA"/>
    <w:rsid w:val="00335BDB"/>
    <w:rsid w:val="00335C07"/>
    <w:rsid w:val="00335C67"/>
    <w:rsid w:val="00335D40"/>
    <w:rsid w:val="00335E4B"/>
    <w:rsid w:val="00335E74"/>
    <w:rsid w:val="00335E95"/>
    <w:rsid w:val="00335EED"/>
    <w:rsid w:val="00335F03"/>
    <w:rsid w:val="00335F70"/>
    <w:rsid w:val="00335F98"/>
    <w:rsid w:val="00335FAB"/>
    <w:rsid w:val="00335FAC"/>
    <w:rsid w:val="00335FB1"/>
    <w:rsid w:val="00335FCD"/>
    <w:rsid w:val="00335FE3"/>
    <w:rsid w:val="00336047"/>
    <w:rsid w:val="00336142"/>
    <w:rsid w:val="00336144"/>
    <w:rsid w:val="00336242"/>
    <w:rsid w:val="00336316"/>
    <w:rsid w:val="00336372"/>
    <w:rsid w:val="00336389"/>
    <w:rsid w:val="003363BF"/>
    <w:rsid w:val="003363C7"/>
    <w:rsid w:val="003363E6"/>
    <w:rsid w:val="0033644E"/>
    <w:rsid w:val="00336456"/>
    <w:rsid w:val="00336523"/>
    <w:rsid w:val="00336539"/>
    <w:rsid w:val="00336562"/>
    <w:rsid w:val="003365A5"/>
    <w:rsid w:val="003365BB"/>
    <w:rsid w:val="003365E2"/>
    <w:rsid w:val="003366E7"/>
    <w:rsid w:val="00336780"/>
    <w:rsid w:val="003367D1"/>
    <w:rsid w:val="003368DA"/>
    <w:rsid w:val="00336921"/>
    <w:rsid w:val="00336927"/>
    <w:rsid w:val="00336994"/>
    <w:rsid w:val="003369AD"/>
    <w:rsid w:val="00336AB9"/>
    <w:rsid w:val="00336BD0"/>
    <w:rsid w:val="00336C08"/>
    <w:rsid w:val="00336C85"/>
    <w:rsid w:val="00336C86"/>
    <w:rsid w:val="00336CE2"/>
    <w:rsid w:val="00336DE4"/>
    <w:rsid w:val="00336E4A"/>
    <w:rsid w:val="00336F0B"/>
    <w:rsid w:val="00336F39"/>
    <w:rsid w:val="00336F85"/>
    <w:rsid w:val="00337044"/>
    <w:rsid w:val="003370D1"/>
    <w:rsid w:val="0033716D"/>
    <w:rsid w:val="0033717F"/>
    <w:rsid w:val="003371E2"/>
    <w:rsid w:val="00337201"/>
    <w:rsid w:val="0033722E"/>
    <w:rsid w:val="00337290"/>
    <w:rsid w:val="00337334"/>
    <w:rsid w:val="0033735B"/>
    <w:rsid w:val="0033736D"/>
    <w:rsid w:val="00337397"/>
    <w:rsid w:val="003373B8"/>
    <w:rsid w:val="0033741A"/>
    <w:rsid w:val="0033751D"/>
    <w:rsid w:val="003375A2"/>
    <w:rsid w:val="0033767E"/>
    <w:rsid w:val="00337723"/>
    <w:rsid w:val="00337761"/>
    <w:rsid w:val="0033778D"/>
    <w:rsid w:val="00337792"/>
    <w:rsid w:val="003377AE"/>
    <w:rsid w:val="00337853"/>
    <w:rsid w:val="0033795B"/>
    <w:rsid w:val="003379C9"/>
    <w:rsid w:val="003379FC"/>
    <w:rsid w:val="00337A32"/>
    <w:rsid w:val="00337A7B"/>
    <w:rsid w:val="00337B1C"/>
    <w:rsid w:val="00337B56"/>
    <w:rsid w:val="00337BF0"/>
    <w:rsid w:val="00337BFB"/>
    <w:rsid w:val="00337C3E"/>
    <w:rsid w:val="00337C51"/>
    <w:rsid w:val="00337D72"/>
    <w:rsid w:val="00337DD9"/>
    <w:rsid w:val="00337DDE"/>
    <w:rsid w:val="00337DF9"/>
    <w:rsid w:val="00337E15"/>
    <w:rsid w:val="00337E64"/>
    <w:rsid w:val="00337EAE"/>
    <w:rsid w:val="00337F01"/>
    <w:rsid w:val="00337F2C"/>
    <w:rsid w:val="00337F73"/>
    <w:rsid w:val="00337FE3"/>
    <w:rsid w:val="00340032"/>
    <w:rsid w:val="003400E8"/>
    <w:rsid w:val="003401B1"/>
    <w:rsid w:val="003401FB"/>
    <w:rsid w:val="00340215"/>
    <w:rsid w:val="00340248"/>
    <w:rsid w:val="00340300"/>
    <w:rsid w:val="00340312"/>
    <w:rsid w:val="0034034E"/>
    <w:rsid w:val="00340389"/>
    <w:rsid w:val="003403B8"/>
    <w:rsid w:val="0034041D"/>
    <w:rsid w:val="003406B8"/>
    <w:rsid w:val="00340731"/>
    <w:rsid w:val="0034077A"/>
    <w:rsid w:val="00340817"/>
    <w:rsid w:val="0034093F"/>
    <w:rsid w:val="00340941"/>
    <w:rsid w:val="003409A5"/>
    <w:rsid w:val="003409DE"/>
    <w:rsid w:val="00340A1D"/>
    <w:rsid w:val="00340A83"/>
    <w:rsid w:val="00340ABC"/>
    <w:rsid w:val="00340B09"/>
    <w:rsid w:val="00340C37"/>
    <w:rsid w:val="00340C7D"/>
    <w:rsid w:val="00340CF9"/>
    <w:rsid w:val="00340D37"/>
    <w:rsid w:val="00340D3E"/>
    <w:rsid w:val="00340D41"/>
    <w:rsid w:val="00340D49"/>
    <w:rsid w:val="00340D75"/>
    <w:rsid w:val="00340DB2"/>
    <w:rsid w:val="00340DC6"/>
    <w:rsid w:val="00340E3F"/>
    <w:rsid w:val="00340F1E"/>
    <w:rsid w:val="0034101D"/>
    <w:rsid w:val="00341025"/>
    <w:rsid w:val="0034102B"/>
    <w:rsid w:val="00341092"/>
    <w:rsid w:val="0034114F"/>
    <w:rsid w:val="0034117E"/>
    <w:rsid w:val="00341209"/>
    <w:rsid w:val="003412A8"/>
    <w:rsid w:val="003412D5"/>
    <w:rsid w:val="003412EA"/>
    <w:rsid w:val="0034135C"/>
    <w:rsid w:val="00341382"/>
    <w:rsid w:val="0034139A"/>
    <w:rsid w:val="003413BA"/>
    <w:rsid w:val="003413D6"/>
    <w:rsid w:val="0034144A"/>
    <w:rsid w:val="00341495"/>
    <w:rsid w:val="0034154A"/>
    <w:rsid w:val="0034163C"/>
    <w:rsid w:val="0034166C"/>
    <w:rsid w:val="003417B9"/>
    <w:rsid w:val="003417D5"/>
    <w:rsid w:val="003417E0"/>
    <w:rsid w:val="0034182A"/>
    <w:rsid w:val="00341884"/>
    <w:rsid w:val="00341888"/>
    <w:rsid w:val="003418B0"/>
    <w:rsid w:val="003418B3"/>
    <w:rsid w:val="003418D1"/>
    <w:rsid w:val="003419BD"/>
    <w:rsid w:val="003419F8"/>
    <w:rsid w:val="00341A0D"/>
    <w:rsid w:val="00341AB7"/>
    <w:rsid w:val="00341B0E"/>
    <w:rsid w:val="00341BB1"/>
    <w:rsid w:val="00341C31"/>
    <w:rsid w:val="00341C36"/>
    <w:rsid w:val="00341CA0"/>
    <w:rsid w:val="00341D57"/>
    <w:rsid w:val="00341D6C"/>
    <w:rsid w:val="00341D79"/>
    <w:rsid w:val="00341DED"/>
    <w:rsid w:val="00341E50"/>
    <w:rsid w:val="00341E6F"/>
    <w:rsid w:val="00341EC9"/>
    <w:rsid w:val="00341F7D"/>
    <w:rsid w:val="00341FE5"/>
    <w:rsid w:val="00342056"/>
    <w:rsid w:val="0034209A"/>
    <w:rsid w:val="003420C1"/>
    <w:rsid w:val="00342117"/>
    <w:rsid w:val="00342122"/>
    <w:rsid w:val="00342152"/>
    <w:rsid w:val="003421C8"/>
    <w:rsid w:val="0034224A"/>
    <w:rsid w:val="0034226A"/>
    <w:rsid w:val="003422B8"/>
    <w:rsid w:val="003423A9"/>
    <w:rsid w:val="0034244A"/>
    <w:rsid w:val="003424B9"/>
    <w:rsid w:val="003424CC"/>
    <w:rsid w:val="003425AA"/>
    <w:rsid w:val="003425F4"/>
    <w:rsid w:val="00342644"/>
    <w:rsid w:val="0034264A"/>
    <w:rsid w:val="00342740"/>
    <w:rsid w:val="00342763"/>
    <w:rsid w:val="00342846"/>
    <w:rsid w:val="00342855"/>
    <w:rsid w:val="00342869"/>
    <w:rsid w:val="003428AF"/>
    <w:rsid w:val="003428E0"/>
    <w:rsid w:val="00342951"/>
    <w:rsid w:val="0034296C"/>
    <w:rsid w:val="0034299E"/>
    <w:rsid w:val="003429BA"/>
    <w:rsid w:val="003429E1"/>
    <w:rsid w:val="003429F4"/>
    <w:rsid w:val="00342A01"/>
    <w:rsid w:val="00342AC3"/>
    <w:rsid w:val="00342ADC"/>
    <w:rsid w:val="00342B27"/>
    <w:rsid w:val="00342B86"/>
    <w:rsid w:val="00342C1C"/>
    <w:rsid w:val="00342C69"/>
    <w:rsid w:val="00342C6A"/>
    <w:rsid w:val="00342C8A"/>
    <w:rsid w:val="00342D23"/>
    <w:rsid w:val="00342D4A"/>
    <w:rsid w:val="00342D8C"/>
    <w:rsid w:val="00342E75"/>
    <w:rsid w:val="00342F42"/>
    <w:rsid w:val="00342FE0"/>
    <w:rsid w:val="003430AD"/>
    <w:rsid w:val="003430DE"/>
    <w:rsid w:val="0034313E"/>
    <w:rsid w:val="003431D3"/>
    <w:rsid w:val="0034322B"/>
    <w:rsid w:val="0034324F"/>
    <w:rsid w:val="003432EA"/>
    <w:rsid w:val="00343380"/>
    <w:rsid w:val="003433BC"/>
    <w:rsid w:val="0034359E"/>
    <w:rsid w:val="003436AC"/>
    <w:rsid w:val="003436CE"/>
    <w:rsid w:val="00343720"/>
    <w:rsid w:val="00343845"/>
    <w:rsid w:val="0034387A"/>
    <w:rsid w:val="003438DC"/>
    <w:rsid w:val="00343951"/>
    <w:rsid w:val="003439A7"/>
    <w:rsid w:val="00343AC1"/>
    <w:rsid w:val="00343AEE"/>
    <w:rsid w:val="00343B88"/>
    <w:rsid w:val="00343BBC"/>
    <w:rsid w:val="00343BE4"/>
    <w:rsid w:val="00343C57"/>
    <w:rsid w:val="00343D8F"/>
    <w:rsid w:val="00343E33"/>
    <w:rsid w:val="00343E77"/>
    <w:rsid w:val="00343EC0"/>
    <w:rsid w:val="00343F66"/>
    <w:rsid w:val="00343FD1"/>
    <w:rsid w:val="00343FF3"/>
    <w:rsid w:val="0034404D"/>
    <w:rsid w:val="00344100"/>
    <w:rsid w:val="0034410F"/>
    <w:rsid w:val="00344185"/>
    <w:rsid w:val="00344190"/>
    <w:rsid w:val="00344200"/>
    <w:rsid w:val="00344273"/>
    <w:rsid w:val="003442AC"/>
    <w:rsid w:val="00344346"/>
    <w:rsid w:val="0034437C"/>
    <w:rsid w:val="003443BE"/>
    <w:rsid w:val="00344452"/>
    <w:rsid w:val="0034450A"/>
    <w:rsid w:val="003445AA"/>
    <w:rsid w:val="00344763"/>
    <w:rsid w:val="003447D6"/>
    <w:rsid w:val="003447E4"/>
    <w:rsid w:val="00344845"/>
    <w:rsid w:val="0034486F"/>
    <w:rsid w:val="00344889"/>
    <w:rsid w:val="00344894"/>
    <w:rsid w:val="0034493C"/>
    <w:rsid w:val="003449F2"/>
    <w:rsid w:val="00344A4A"/>
    <w:rsid w:val="00344A95"/>
    <w:rsid w:val="00344B10"/>
    <w:rsid w:val="00344B28"/>
    <w:rsid w:val="00344BC2"/>
    <w:rsid w:val="00344CEC"/>
    <w:rsid w:val="00344D81"/>
    <w:rsid w:val="00344E3F"/>
    <w:rsid w:val="00344FB4"/>
    <w:rsid w:val="00345030"/>
    <w:rsid w:val="0034503F"/>
    <w:rsid w:val="00345064"/>
    <w:rsid w:val="00345078"/>
    <w:rsid w:val="003450E0"/>
    <w:rsid w:val="003450ED"/>
    <w:rsid w:val="00345121"/>
    <w:rsid w:val="0034513D"/>
    <w:rsid w:val="00345143"/>
    <w:rsid w:val="0034514F"/>
    <w:rsid w:val="0034525E"/>
    <w:rsid w:val="00345374"/>
    <w:rsid w:val="003453BB"/>
    <w:rsid w:val="0034542D"/>
    <w:rsid w:val="00345486"/>
    <w:rsid w:val="0034549C"/>
    <w:rsid w:val="0034556F"/>
    <w:rsid w:val="00345573"/>
    <w:rsid w:val="003455A6"/>
    <w:rsid w:val="00345621"/>
    <w:rsid w:val="003457AE"/>
    <w:rsid w:val="003457CD"/>
    <w:rsid w:val="00345833"/>
    <w:rsid w:val="0034587D"/>
    <w:rsid w:val="003458E7"/>
    <w:rsid w:val="003458F0"/>
    <w:rsid w:val="00345967"/>
    <w:rsid w:val="003459CD"/>
    <w:rsid w:val="00345A52"/>
    <w:rsid w:val="00345AEF"/>
    <w:rsid w:val="00345BDE"/>
    <w:rsid w:val="00345C1E"/>
    <w:rsid w:val="00345CE6"/>
    <w:rsid w:val="00345DF0"/>
    <w:rsid w:val="00345E0B"/>
    <w:rsid w:val="00345E87"/>
    <w:rsid w:val="00345EF7"/>
    <w:rsid w:val="00345FD3"/>
    <w:rsid w:val="00346005"/>
    <w:rsid w:val="00346039"/>
    <w:rsid w:val="00346087"/>
    <w:rsid w:val="003460D8"/>
    <w:rsid w:val="00346114"/>
    <w:rsid w:val="003461A9"/>
    <w:rsid w:val="00346254"/>
    <w:rsid w:val="003462A0"/>
    <w:rsid w:val="003462DC"/>
    <w:rsid w:val="00346394"/>
    <w:rsid w:val="0034658E"/>
    <w:rsid w:val="00346611"/>
    <w:rsid w:val="003466A9"/>
    <w:rsid w:val="003466DF"/>
    <w:rsid w:val="00346733"/>
    <w:rsid w:val="00346748"/>
    <w:rsid w:val="00346797"/>
    <w:rsid w:val="003468A2"/>
    <w:rsid w:val="0034697B"/>
    <w:rsid w:val="00346A37"/>
    <w:rsid w:val="00346AE5"/>
    <w:rsid w:val="00346B7E"/>
    <w:rsid w:val="00346BB0"/>
    <w:rsid w:val="00346BC2"/>
    <w:rsid w:val="00346C7B"/>
    <w:rsid w:val="00346CBD"/>
    <w:rsid w:val="00346D7F"/>
    <w:rsid w:val="00346DC4"/>
    <w:rsid w:val="00346DDA"/>
    <w:rsid w:val="00346E1E"/>
    <w:rsid w:val="00346E8F"/>
    <w:rsid w:val="00346F3C"/>
    <w:rsid w:val="0034708F"/>
    <w:rsid w:val="003470BE"/>
    <w:rsid w:val="00347111"/>
    <w:rsid w:val="003471C7"/>
    <w:rsid w:val="003471E1"/>
    <w:rsid w:val="00347208"/>
    <w:rsid w:val="003472A1"/>
    <w:rsid w:val="003472C6"/>
    <w:rsid w:val="003472D6"/>
    <w:rsid w:val="00347312"/>
    <w:rsid w:val="00347355"/>
    <w:rsid w:val="00347367"/>
    <w:rsid w:val="0034743E"/>
    <w:rsid w:val="00347448"/>
    <w:rsid w:val="003474AF"/>
    <w:rsid w:val="003474E9"/>
    <w:rsid w:val="003475FA"/>
    <w:rsid w:val="003475FC"/>
    <w:rsid w:val="00347604"/>
    <w:rsid w:val="00347656"/>
    <w:rsid w:val="0034776D"/>
    <w:rsid w:val="0034788E"/>
    <w:rsid w:val="003478B7"/>
    <w:rsid w:val="003478EC"/>
    <w:rsid w:val="00347935"/>
    <w:rsid w:val="00347965"/>
    <w:rsid w:val="003479A2"/>
    <w:rsid w:val="003479A5"/>
    <w:rsid w:val="003479DD"/>
    <w:rsid w:val="00347A19"/>
    <w:rsid w:val="00347A56"/>
    <w:rsid w:val="00347ADC"/>
    <w:rsid w:val="00347BA8"/>
    <w:rsid w:val="00347BC9"/>
    <w:rsid w:val="00347BCC"/>
    <w:rsid w:val="00347CA8"/>
    <w:rsid w:val="00347D5B"/>
    <w:rsid w:val="00347D70"/>
    <w:rsid w:val="00347D71"/>
    <w:rsid w:val="00347E4E"/>
    <w:rsid w:val="00347EBE"/>
    <w:rsid w:val="00347FEB"/>
    <w:rsid w:val="00347FF9"/>
    <w:rsid w:val="00350004"/>
    <w:rsid w:val="00350018"/>
    <w:rsid w:val="00350042"/>
    <w:rsid w:val="003500B5"/>
    <w:rsid w:val="00350111"/>
    <w:rsid w:val="0035019C"/>
    <w:rsid w:val="003501B8"/>
    <w:rsid w:val="00350287"/>
    <w:rsid w:val="00350309"/>
    <w:rsid w:val="0035031B"/>
    <w:rsid w:val="00350395"/>
    <w:rsid w:val="003503DD"/>
    <w:rsid w:val="0035045D"/>
    <w:rsid w:val="00350658"/>
    <w:rsid w:val="00350719"/>
    <w:rsid w:val="00350724"/>
    <w:rsid w:val="003507D6"/>
    <w:rsid w:val="00350927"/>
    <w:rsid w:val="003509D4"/>
    <w:rsid w:val="00350A25"/>
    <w:rsid w:val="00350A69"/>
    <w:rsid w:val="00350A99"/>
    <w:rsid w:val="00350B3A"/>
    <w:rsid w:val="00350B56"/>
    <w:rsid w:val="00350B99"/>
    <w:rsid w:val="00350B9F"/>
    <w:rsid w:val="00350C1E"/>
    <w:rsid w:val="00350C2B"/>
    <w:rsid w:val="00350CCC"/>
    <w:rsid w:val="00350CE7"/>
    <w:rsid w:val="00350D88"/>
    <w:rsid w:val="00350E07"/>
    <w:rsid w:val="00350E0B"/>
    <w:rsid w:val="00350ED8"/>
    <w:rsid w:val="00350EE4"/>
    <w:rsid w:val="00350F7F"/>
    <w:rsid w:val="00351022"/>
    <w:rsid w:val="00351028"/>
    <w:rsid w:val="00351066"/>
    <w:rsid w:val="003510DC"/>
    <w:rsid w:val="0035112C"/>
    <w:rsid w:val="00351134"/>
    <w:rsid w:val="003511D7"/>
    <w:rsid w:val="0035120B"/>
    <w:rsid w:val="0035127F"/>
    <w:rsid w:val="00351323"/>
    <w:rsid w:val="00351379"/>
    <w:rsid w:val="00351430"/>
    <w:rsid w:val="00351542"/>
    <w:rsid w:val="00351545"/>
    <w:rsid w:val="00351618"/>
    <w:rsid w:val="0035167E"/>
    <w:rsid w:val="00351727"/>
    <w:rsid w:val="003517B4"/>
    <w:rsid w:val="003517F7"/>
    <w:rsid w:val="0035181D"/>
    <w:rsid w:val="00351849"/>
    <w:rsid w:val="00351856"/>
    <w:rsid w:val="0035185E"/>
    <w:rsid w:val="0035188B"/>
    <w:rsid w:val="00351993"/>
    <w:rsid w:val="00351A01"/>
    <w:rsid w:val="00351A0C"/>
    <w:rsid w:val="00351BDD"/>
    <w:rsid w:val="00351C76"/>
    <w:rsid w:val="00351D05"/>
    <w:rsid w:val="00351E74"/>
    <w:rsid w:val="0035206A"/>
    <w:rsid w:val="003520F0"/>
    <w:rsid w:val="003521C1"/>
    <w:rsid w:val="0035227D"/>
    <w:rsid w:val="003522A3"/>
    <w:rsid w:val="003522FE"/>
    <w:rsid w:val="00352349"/>
    <w:rsid w:val="003523B3"/>
    <w:rsid w:val="003523EE"/>
    <w:rsid w:val="0035242F"/>
    <w:rsid w:val="003524CF"/>
    <w:rsid w:val="00352519"/>
    <w:rsid w:val="00352570"/>
    <w:rsid w:val="003525E0"/>
    <w:rsid w:val="00352606"/>
    <w:rsid w:val="003526A9"/>
    <w:rsid w:val="003526E8"/>
    <w:rsid w:val="003526EB"/>
    <w:rsid w:val="003526EC"/>
    <w:rsid w:val="003527CC"/>
    <w:rsid w:val="0035281B"/>
    <w:rsid w:val="0035286D"/>
    <w:rsid w:val="003528C1"/>
    <w:rsid w:val="00352955"/>
    <w:rsid w:val="003529A1"/>
    <w:rsid w:val="00352A05"/>
    <w:rsid w:val="00352A3D"/>
    <w:rsid w:val="00352A79"/>
    <w:rsid w:val="00352AAF"/>
    <w:rsid w:val="00352ABA"/>
    <w:rsid w:val="00352AEA"/>
    <w:rsid w:val="00352B7F"/>
    <w:rsid w:val="00352BC1"/>
    <w:rsid w:val="00352BCB"/>
    <w:rsid w:val="00352C0C"/>
    <w:rsid w:val="00352C6B"/>
    <w:rsid w:val="00352C8A"/>
    <w:rsid w:val="00352C97"/>
    <w:rsid w:val="00352C9D"/>
    <w:rsid w:val="00352CCB"/>
    <w:rsid w:val="00352D0E"/>
    <w:rsid w:val="00352D61"/>
    <w:rsid w:val="00352D85"/>
    <w:rsid w:val="00352DB2"/>
    <w:rsid w:val="00352DF5"/>
    <w:rsid w:val="00352E8C"/>
    <w:rsid w:val="00352EA0"/>
    <w:rsid w:val="00352EF1"/>
    <w:rsid w:val="00352FCE"/>
    <w:rsid w:val="00352FDF"/>
    <w:rsid w:val="003530C6"/>
    <w:rsid w:val="003530C7"/>
    <w:rsid w:val="00353181"/>
    <w:rsid w:val="003531A1"/>
    <w:rsid w:val="00353279"/>
    <w:rsid w:val="0035327D"/>
    <w:rsid w:val="0035327F"/>
    <w:rsid w:val="0035333D"/>
    <w:rsid w:val="00353387"/>
    <w:rsid w:val="003533B8"/>
    <w:rsid w:val="003533F8"/>
    <w:rsid w:val="00353425"/>
    <w:rsid w:val="00353474"/>
    <w:rsid w:val="003534C8"/>
    <w:rsid w:val="00353527"/>
    <w:rsid w:val="00353576"/>
    <w:rsid w:val="0035360A"/>
    <w:rsid w:val="00353763"/>
    <w:rsid w:val="00353778"/>
    <w:rsid w:val="0035377B"/>
    <w:rsid w:val="00353836"/>
    <w:rsid w:val="0035386D"/>
    <w:rsid w:val="0035388D"/>
    <w:rsid w:val="00353895"/>
    <w:rsid w:val="00353985"/>
    <w:rsid w:val="0035399C"/>
    <w:rsid w:val="00353B2D"/>
    <w:rsid w:val="00353B87"/>
    <w:rsid w:val="00353C17"/>
    <w:rsid w:val="00353C33"/>
    <w:rsid w:val="00353C72"/>
    <w:rsid w:val="00353CC4"/>
    <w:rsid w:val="00353D29"/>
    <w:rsid w:val="00353D7A"/>
    <w:rsid w:val="00353DDD"/>
    <w:rsid w:val="00353E4C"/>
    <w:rsid w:val="00353EAC"/>
    <w:rsid w:val="00353EAE"/>
    <w:rsid w:val="00353EC9"/>
    <w:rsid w:val="00353F19"/>
    <w:rsid w:val="0035400B"/>
    <w:rsid w:val="00354016"/>
    <w:rsid w:val="00354095"/>
    <w:rsid w:val="003540F7"/>
    <w:rsid w:val="00354104"/>
    <w:rsid w:val="0035413D"/>
    <w:rsid w:val="003541B3"/>
    <w:rsid w:val="003541DF"/>
    <w:rsid w:val="00354250"/>
    <w:rsid w:val="00354268"/>
    <w:rsid w:val="00354318"/>
    <w:rsid w:val="0035434F"/>
    <w:rsid w:val="0035437A"/>
    <w:rsid w:val="003543A0"/>
    <w:rsid w:val="003543F9"/>
    <w:rsid w:val="0035441A"/>
    <w:rsid w:val="00354461"/>
    <w:rsid w:val="003544F1"/>
    <w:rsid w:val="00354516"/>
    <w:rsid w:val="00354519"/>
    <w:rsid w:val="003545FC"/>
    <w:rsid w:val="00354636"/>
    <w:rsid w:val="00354661"/>
    <w:rsid w:val="00354708"/>
    <w:rsid w:val="0035470F"/>
    <w:rsid w:val="00354735"/>
    <w:rsid w:val="0035479F"/>
    <w:rsid w:val="003547DD"/>
    <w:rsid w:val="00354814"/>
    <w:rsid w:val="0035481E"/>
    <w:rsid w:val="00354872"/>
    <w:rsid w:val="003548A1"/>
    <w:rsid w:val="003548A3"/>
    <w:rsid w:val="0035493F"/>
    <w:rsid w:val="00354ADE"/>
    <w:rsid w:val="00354AEC"/>
    <w:rsid w:val="00354BED"/>
    <w:rsid w:val="00354C1A"/>
    <w:rsid w:val="00354C1D"/>
    <w:rsid w:val="00354C35"/>
    <w:rsid w:val="00354C4E"/>
    <w:rsid w:val="00354D28"/>
    <w:rsid w:val="00354D62"/>
    <w:rsid w:val="00354D81"/>
    <w:rsid w:val="00354DD7"/>
    <w:rsid w:val="00354DDD"/>
    <w:rsid w:val="00354E22"/>
    <w:rsid w:val="00354F13"/>
    <w:rsid w:val="00354F9C"/>
    <w:rsid w:val="00355045"/>
    <w:rsid w:val="00355163"/>
    <w:rsid w:val="003551C7"/>
    <w:rsid w:val="00355215"/>
    <w:rsid w:val="00355238"/>
    <w:rsid w:val="0035527A"/>
    <w:rsid w:val="003552C8"/>
    <w:rsid w:val="00355342"/>
    <w:rsid w:val="00355344"/>
    <w:rsid w:val="0035534A"/>
    <w:rsid w:val="003553AA"/>
    <w:rsid w:val="00355405"/>
    <w:rsid w:val="00355421"/>
    <w:rsid w:val="00355450"/>
    <w:rsid w:val="00355454"/>
    <w:rsid w:val="003554ED"/>
    <w:rsid w:val="00355540"/>
    <w:rsid w:val="00355545"/>
    <w:rsid w:val="0035558B"/>
    <w:rsid w:val="00355620"/>
    <w:rsid w:val="00355659"/>
    <w:rsid w:val="00355701"/>
    <w:rsid w:val="00355730"/>
    <w:rsid w:val="00355749"/>
    <w:rsid w:val="0035578C"/>
    <w:rsid w:val="003557C5"/>
    <w:rsid w:val="00355851"/>
    <w:rsid w:val="00355891"/>
    <w:rsid w:val="00355944"/>
    <w:rsid w:val="00355950"/>
    <w:rsid w:val="00355954"/>
    <w:rsid w:val="00355965"/>
    <w:rsid w:val="0035598B"/>
    <w:rsid w:val="003559E0"/>
    <w:rsid w:val="00355A05"/>
    <w:rsid w:val="00355A2F"/>
    <w:rsid w:val="00355A8D"/>
    <w:rsid w:val="00355B53"/>
    <w:rsid w:val="00355B77"/>
    <w:rsid w:val="00355BA0"/>
    <w:rsid w:val="00355BF0"/>
    <w:rsid w:val="00355C58"/>
    <w:rsid w:val="00355C65"/>
    <w:rsid w:val="00355C8B"/>
    <w:rsid w:val="00355CB4"/>
    <w:rsid w:val="00355D40"/>
    <w:rsid w:val="00355DA6"/>
    <w:rsid w:val="00355DE4"/>
    <w:rsid w:val="00355E41"/>
    <w:rsid w:val="00355E57"/>
    <w:rsid w:val="00355F17"/>
    <w:rsid w:val="00355F37"/>
    <w:rsid w:val="00355F82"/>
    <w:rsid w:val="00355FC8"/>
    <w:rsid w:val="0035619C"/>
    <w:rsid w:val="0035619F"/>
    <w:rsid w:val="003561C2"/>
    <w:rsid w:val="0035622C"/>
    <w:rsid w:val="00356259"/>
    <w:rsid w:val="003562EC"/>
    <w:rsid w:val="00356322"/>
    <w:rsid w:val="003563A2"/>
    <w:rsid w:val="003563DC"/>
    <w:rsid w:val="003563DE"/>
    <w:rsid w:val="0035646A"/>
    <w:rsid w:val="0035647A"/>
    <w:rsid w:val="0035648E"/>
    <w:rsid w:val="00356496"/>
    <w:rsid w:val="0035655B"/>
    <w:rsid w:val="0035656D"/>
    <w:rsid w:val="0035679A"/>
    <w:rsid w:val="003567B8"/>
    <w:rsid w:val="003567DB"/>
    <w:rsid w:val="0035683D"/>
    <w:rsid w:val="00356852"/>
    <w:rsid w:val="00356935"/>
    <w:rsid w:val="0035697F"/>
    <w:rsid w:val="00356999"/>
    <w:rsid w:val="003569D3"/>
    <w:rsid w:val="00356A52"/>
    <w:rsid w:val="00356AEC"/>
    <w:rsid w:val="00356B8C"/>
    <w:rsid w:val="00356C60"/>
    <w:rsid w:val="00356C7D"/>
    <w:rsid w:val="00356C8F"/>
    <w:rsid w:val="00356C91"/>
    <w:rsid w:val="00356DB4"/>
    <w:rsid w:val="00356DDE"/>
    <w:rsid w:val="00356F3E"/>
    <w:rsid w:val="00356FAC"/>
    <w:rsid w:val="0035707B"/>
    <w:rsid w:val="00357084"/>
    <w:rsid w:val="003570DF"/>
    <w:rsid w:val="00357164"/>
    <w:rsid w:val="00357178"/>
    <w:rsid w:val="00357196"/>
    <w:rsid w:val="003571B3"/>
    <w:rsid w:val="003571D7"/>
    <w:rsid w:val="00357242"/>
    <w:rsid w:val="00357258"/>
    <w:rsid w:val="0035732F"/>
    <w:rsid w:val="00357337"/>
    <w:rsid w:val="00357491"/>
    <w:rsid w:val="00357569"/>
    <w:rsid w:val="00357584"/>
    <w:rsid w:val="00357606"/>
    <w:rsid w:val="00357640"/>
    <w:rsid w:val="0035775C"/>
    <w:rsid w:val="00357780"/>
    <w:rsid w:val="003577CB"/>
    <w:rsid w:val="003577D6"/>
    <w:rsid w:val="00357869"/>
    <w:rsid w:val="00357876"/>
    <w:rsid w:val="00357889"/>
    <w:rsid w:val="003578BB"/>
    <w:rsid w:val="003578CC"/>
    <w:rsid w:val="003579E6"/>
    <w:rsid w:val="00357B8E"/>
    <w:rsid w:val="00357C44"/>
    <w:rsid w:val="00357C47"/>
    <w:rsid w:val="00357CAC"/>
    <w:rsid w:val="00357CCC"/>
    <w:rsid w:val="00357CF2"/>
    <w:rsid w:val="00357D43"/>
    <w:rsid w:val="00357E74"/>
    <w:rsid w:val="00357F1E"/>
    <w:rsid w:val="0036001D"/>
    <w:rsid w:val="0036004E"/>
    <w:rsid w:val="003600F4"/>
    <w:rsid w:val="0036015C"/>
    <w:rsid w:val="003601A1"/>
    <w:rsid w:val="0036021C"/>
    <w:rsid w:val="003602B0"/>
    <w:rsid w:val="003602EA"/>
    <w:rsid w:val="003603AC"/>
    <w:rsid w:val="003603C1"/>
    <w:rsid w:val="003603F8"/>
    <w:rsid w:val="00360459"/>
    <w:rsid w:val="00360488"/>
    <w:rsid w:val="00360568"/>
    <w:rsid w:val="00360634"/>
    <w:rsid w:val="003606B4"/>
    <w:rsid w:val="003606EA"/>
    <w:rsid w:val="0036074B"/>
    <w:rsid w:val="0036076A"/>
    <w:rsid w:val="0036078B"/>
    <w:rsid w:val="00360853"/>
    <w:rsid w:val="003608AD"/>
    <w:rsid w:val="00360910"/>
    <w:rsid w:val="00360A06"/>
    <w:rsid w:val="00360A95"/>
    <w:rsid w:val="00360B78"/>
    <w:rsid w:val="00360BA6"/>
    <w:rsid w:val="00360BD0"/>
    <w:rsid w:val="00360C7A"/>
    <w:rsid w:val="00360CD1"/>
    <w:rsid w:val="00360D1B"/>
    <w:rsid w:val="00360DD3"/>
    <w:rsid w:val="00360E81"/>
    <w:rsid w:val="00360E95"/>
    <w:rsid w:val="00360EA6"/>
    <w:rsid w:val="00360FDD"/>
    <w:rsid w:val="00361034"/>
    <w:rsid w:val="003610E5"/>
    <w:rsid w:val="0036114F"/>
    <w:rsid w:val="0036120C"/>
    <w:rsid w:val="00361264"/>
    <w:rsid w:val="003612C7"/>
    <w:rsid w:val="00361317"/>
    <w:rsid w:val="00361331"/>
    <w:rsid w:val="00361430"/>
    <w:rsid w:val="003614B7"/>
    <w:rsid w:val="00361612"/>
    <w:rsid w:val="00361633"/>
    <w:rsid w:val="00361708"/>
    <w:rsid w:val="00361759"/>
    <w:rsid w:val="00361764"/>
    <w:rsid w:val="00361870"/>
    <w:rsid w:val="0036187D"/>
    <w:rsid w:val="003618C8"/>
    <w:rsid w:val="00361909"/>
    <w:rsid w:val="0036194A"/>
    <w:rsid w:val="00361978"/>
    <w:rsid w:val="00361AA8"/>
    <w:rsid w:val="00361AE1"/>
    <w:rsid w:val="00361BA4"/>
    <w:rsid w:val="00361C1A"/>
    <w:rsid w:val="00361C6D"/>
    <w:rsid w:val="00361CC1"/>
    <w:rsid w:val="00361D81"/>
    <w:rsid w:val="00361DB5"/>
    <w:rsid w:val="00361DE6"/>
    <w:rsid w:val="00361E16"/>
    <w:rsid w:val="00361E4F"/>
    <w:rsid w:val="00361F25"/>
    <w:rsid w:val="00362013"/>
    <w:rsid w:val="00362035"/>
    <w:rsid w:val="0036203A"/>
    <w:rsid w:val="0036211F"/>
    <w:rsid w:val="0036212A"/>
    <w:rsid w:val="0036215F"/>
    <w:rsid w:val="00362178"/>
    <w:rsid w:val="003621A5"/>
    <w:rsid w:val="003621B4"/>
    <w:rsid w:val="003622A0"/>
    <w:rsid w:val="003622A9"/>
    <w:rsid w:val="003622DD"/>
    <w:rsid w:val="003622EA"/>
    <w:rsid w:val="003622F1"/>
    <w:rsid w:val="003622FF"/>
    <w:rsid w:val="0036233E"/>
    <w:rsid w:val="003623E3"/>
    <w:rsid w:val="003625F1"/>
    <w:rsid w:val="00362662"/>
    <w:rsid w:val="003626D8"/>
    <w:rsid w:val="003626EE"/>
    <w:rsid w:val="00362717"/>
    <w:rsid w:val="00362783"/>
    <w:rsid w:val="00362860"/>
    <w:rsid w:val="00362940"/>
    <w:rsid w:val="0036298A"/>
    <w:rsid w:val="003629A8"/>
    <w:rsid w:val="003629D1"/>
    <w:rsid w:val="00362A11"/>
    <w:rsid w:val="00362A8C"/>
    <w:rsid w:val="00362B95"/>
    <w:rsid w:val="00362CA0"/>
    <w:rsid w:val="00362D24"/>
    <w:rsid w:val="00362E0B"/>
    <w:rsid w:val="00362E97"/>
    <w:rsid w:val="00362EB3"/>
    <w:rsid w:val="00362EDE"/>
    <w:rsid w:val="00362EEB"/>
    <w:rsid w:val="00362F20"/>
    <w:rsid w:val="00362FE4"/>
    <w:rsid w:val="0036306E"/>
    <w:rsid w:val="0036311B"/>
    <w:rsid w:val="00363125"/>
    <w:rsid w:val="00363129"/>
    <w:rsid w:val="0036317E"/>
    <w:rsid w:val="003631D0"/>
    <w:rsid w:val="0036323B"/>
    <w:rsid w:val="0036323E"/>
    <w:rsid w:val="0036324A"/>
    <w:rsid w:val="0036324E"/>
    <w:rsid w:val="003632F4"/>
    <w:rsid w:val="00363312"/>
    <w:rsid w:val="00363386"/>
    <w:rsid w:val="0036339C"/>
    <w:rsid w:val="003633BA"/>
    <w:rsid w:val="003633CE"/>
    <w:rsid w:val="003633D6"/>
    <w:rsid w:val="0036349C"/>
    <w:rsid w:val="0036364E"/>
    <w:rsid w:val="003636AA"/>
    <w:rsid w:val="00363720"/>
    <w:rsid w:val="003637A2"/>
    <w:rsid w:val="003638B8"/>
    <w:rsid w:val="003638D5"/>
    <w:rsid w:val="003638FE"/>
    <w:rsid w:val="0036395B"/>
    <w:rsid w:val="0036398C"/>
    <w:rsid w:val="003639D7"/>
    <w:rsid w:val="00363AA6"/>
    <w:rsid w:val="00363B26"/>
    <w:rsid w:val="00363B48"/>
    <w:rsid w:val="00363B57"/>
    <w:rsid w:val="00363BA0"/>
    <w:rsid w:val="00363BBD"/>
    <w:rsid w:val="00363C09"/>
    <w:rsid w:val="00363C1E"/>
    <w:rsid w:val="00363C31"/>
    <w:rsid w:val="00363CCF"/>
    <w:rsid w:val="00363D82"/>
    <w:rsid w:val="00363E20"/>
    <w:rsid w:val="00363F3A"/>
    <w:rsid w:val="00363FCF"/>
    <w:rsid w:val="00364036"/>
    <w:rsid w:val="0036409B"/>
    <w:rsid w:val="003640CE"/>
    <w:rsid w:val="003642A9"/>
    <w:rsid w:val="003642CA"/>
    <w:rsid w:val="003642F9"/>
    <w:rsid w:val="00364323"/>
    <w:rsid w:val="0036439E"/>
    <w:rsid w:val="0036443D"/>
    <w:rsid w:val="0036453C"/>
    <w:rsid w:val="003645D9"/>
    <w:rsid w:val="003646D2"/>
    <w:rsid w:val="00364714"/>
    <w:rsid w:val="00364726"/>
    <w:rsid w:val="00364855"/>
    <w:rsid w:val="00364863"/>
    <w:rsid w:val="0036495B"/>
    <w:rsid w:val="003649AB"/>
    <w:rsid w:val="003649C0"/>
    <w:rsid w:val="003649D7"/>
    <w:rsid w:val="00364A3E"/>
    <w:rsid w:val="00364AB8"/>
    <w:rsid w:val="00364ABD"/>
    <w:rsid w:val="00364B4F"/>
    <w:rsid w:val="00364B66"/>
    <w:rsid w:val="00364BA1"/>
    <w:rsid w:val="00364C15"/>
    <w:rsid w:val="00364C9E"/>
    <w:rsid w:val="00364D3E"/>
    <w:rsid w:val="00364D53"/>
    <w:rsid w:val="00364DE1"/>
    <w:rsid w:val="00364E22"/>
    <w:rsid w:val="00364E99"/>
    <w:rsid w:val="00365094"/>
    <w:rsid w:val="00365099"/>
    <w:rsid w:val="0036515C"/>
    <w:rsid w:val="003652EA"/>
    <w:rsid w:val="00365301"/>
    <w:rsid w:val="00365334"/>
    <w:rsid w:val="00365387"/>
    <w:rsid w:val="00365424"/>
    <w:rsid w:val="00365427"/>
    <w:rsid w:val="00365476"/>
    <w:rsid w:val="00365614"/>
    <w:rsid w:val="003656AB"/>
    <w:rsid w:val="00365762"/>
    <w:rsid w:val="00365770"/>
    <w:rsid w:val="00365850"/>
    <w:rsid w:val="00365888"/>
    <w:rsid w:val="003658B1"/>
    <w:rsid w:val="003658EF"/>
    <w:rsid w:val="00365923"/>
    <w:rsid w:val="003659CE"/>
    <w:rsid w:val="003659DA"/>
    <w:rsid w:val="00365A2C"/>
    <w:rsid w:val="00365A2E"/>
    <w:rsid w:val="00365A2F"/>
    <w:rsid w:val="00365B22"/>
    <w:rsid w:val="00365B4B"/>
    <w:rsid w:val="00365BBC"/>
    <w:rsid w:val="00365C7C"/>
    <w:rsid w:val="00365D12"/>
    <w:rsid w:val="00365D9C"/>
    <w:rsid w:val="00365DB2"/>
    <w:rsid w:val="00365DE5"/>
    <w:rsid w:val="00365E3E"/>
    <w:rsid w:val="00365E45"/>
    <w:rsid w:val="00365EAC"/>
    <w:rsid w:val="00365EC0"/>
    <w:rsid w:val="00365ECC"/>
    <w:rsid w:val="00365EFE"/>
    <w:rsid w:val="00365F87"/>
    <w:rsid w:val="00365F91"/>
    <w:rsid w:val="00366037"/>
    <w:rsid w:val="00366117"/>
    <w:rsid w:val="0036611E"/>
    <w:rsid w:val="0036615B"/>
    <w:rsid w:val="003661BB"/>
    <w:rsid w:val="00366234"/>
    <w:rsid w:val="00366235"/>
    <w:rsid w:val="00366236"/>
    <w:rsid w:val="003663E7"/>
    <w:rsid w:val="00366502"/>
    <w:rsid w:val="0036651A"/>
    <w:rsid w:val="00366527"/>
    <w:rsid w:val="00366791"/>
    <w:rsid w:val="0036683E"/>
    <w:rsid w:val="0036683F"/>
    <w:rsid w:val="0036688D"/>
    <w:rsid w:val="0036691B"/>
    <w:rsid w:val="003669AD"/>
    <w:rsid w:val="00366A25"/>
    <w:rsid w:val="00366A7E"/>
    <w:rsid w:val="00366AF0"/>
    <w:rsid w:val="00366B2F"/>
    <w:rsid w:val="00366BDE"/>
    <w:rsid w:val="00366C27"/>
    <w:rsid w:val="00366C2E"/>
    <w:rsid w:val="00366CAE"/>
    <w:rsid w:val="00366D18"/>
    <w:rsid w:val="00366DBC"/>
    <w:rsid w:val="00366DBE"/>
    <w:rsid w:val="00366E2A"/>
    <w:rsid w:val="00366ED6"/>
    <w:rsid w:val="00366EF2"/>
    <w:rsid w:val="00366F84"/>
    <w:rsid w:val="00367013"/>
    <w:rsid w:val="00367086"/>
    <w:rsid w:val="00367121"/>
    <w:rsid w:val="00367195"/>
    <w:rsid w:val="00367220"/>
    <w:rsid w:val="0036731C"/>
    <w:rsid w:val="00367325"/>
    <w:rsid w:val="0036735A"/>
    <w:rsid w:val="0036739D"/>
    <w:rsid w:val="003673B7"/>
    <w:rsid w:val="003673FF"/>
    <w:rsid w:val="00367451"/>
    <w:rsid w:val="003674F5"/>
    <w:rsid w:val="0036755B"/>
    <w:rsid w:val="0036757D"/>
    <w:rsid w:val="003675EF"/>
    <w:rsid w:val="003675FE"/>
    <w:rsid w:val="00367645"/>
    <w:rsid w:val="003676A3"/>
    <w:rsid w:val="00367842"/>
    <w:rsid w:val="00367A94"/>
    <w:rsid w:val="00367AB7"/>
    <w:rsid w:val="00367B4D"/>
    <w:rsid w:val="00367B9A"/>
    <w:rsid w:val="00367CD6"/>
    <w:rsid w:val="00367D6F"/>
    <w:rsid w:val="00367DAB"/>
    <w:rsid w:val="00367DCC"/>
    <w:rsid w:val="00367F2F"/>
    <w:rsid w:val="00367F52"/>
    <w:rsid w:val="00367F9A"/>
    <w:rsid w:val="00367FC7"/>
    <w:rsid w:val="00367FF9"/>
    <w:rsid w:val="00367FFC"/>
    <w:rsid w:val="0036FE66"/>
    <w:rsid w:val="00370004"/>
    <w:rsid w:val="00370059"/>
    <w:rsid w:val="003701EA"/>
    <w:rsid w:val="003701EB"/>
    <w:rsid w:val="00370272"/>
    <w:rsid w:val="003703E7"/>
    <w:rsid w:val="0037042F"/>
    <w:rsid w:val="00370488"/>
    <w:rsid w:val="003705D6"/>
    <w:rsid w:val="00370654"/>
    <w:rsid w:val="00370686"/>
    <w:rsid w:val="00370795"/>
    <w:rsid w:val="0037085F"/>
    <w:rsid w:val="00370A4D"/>
    <w:rsid w:val="00370B49"/>
    <w:rsid w:val="00370B99"/>
    <w:rsid w:val="00370BC1"/>
    <w:rsid w:val="00370BE4"/>
    <w:rsid w:val="00370D79"/>
    <w:rsid w:val="00370E76"/>
    <w:rsid w:val="00370EF0"/>
    <w:rsid w:val="00370F3A"/>
    <w:rsid w:val="00370F6B"/>
    <w:rsid w:val="00370F87"/>
    <w:rsid w:val="00370FA3"/>
    <w:rsid w:val="0037101F"/>
    <w:rsid w:val="0037107E"/>
    <w:rsid w:val="0037111B"/>
    <w:rsid w:val="00371148"/>
    <w:rsid w:val="0037115F"/>
    <w:rsid w:val="00371195"/>
    <w:rsid w:val="003711B9"/>
    <w:rsid w:val="003711DD"/>
    <w:rsid w:val="003713A9"/>
    <w:rsid w:val="003713B5"/>
    <w:rsid w:val="00371409"/>
    <w:rsid w:val="003714E9"/>
    <w:rsid w:val="00371532"/>
    <w:rsid w:val="00371547"/>
    <w:rsid w:val="003715C2"/>
    <w:rsid w:val="00371808"/>
    <w:rsid w:val="00371868"/>
    <w:rsid w:val="0037192E"/>
    <w:rsid w:val="00371A1C"/>
    <w:rsid w:val="00371A5E"/>
    <w:rsid w:val="00371A7D"/>
    <w:rsid w:val="00371B47"/>
    <w:rsid w:val="00371BB5"/>
    <w:rsid w:val="00371BBA"/>
    <w:rsid w:val="00371C33"/>
    <w:rsid w:val="00371C66"/>
    <w:rsid w:val="00371CB0"/>
    <w:rsid w:val="00371CD0"/>
    <w:rsid w:val="00371CDF"/>
    <w:rsid w:val="00371CF2"/>
    <w:rsid w:val="00371DB7"/>
    <w:rsid w:val="00371DBA"/>
    <w:rsid w:val="00371DEF"/>
    <w:rsid w:val="00371F5A"/>
    <w:rsid w:val="00371F6D"/>
    <w:rsid w:val="00371F99"/>
    <w:rsid w:val="00371FEF"/>
    <w:rsid w:val="00372074"/>
    <w:rsid w:val="0037208C"/>
    <w:rsid w:val="003721F5"/>
    <w:rsid w:val="00372213"/>
    <w:rsid w:val="0037229E"/>
    <w:rsid w:val="003722A8"/>
    <w:rsid w:val="003722F5"/>
    <w:rsid w:val="0037234C"/>
    <w:rsid w:val="00372362"/>
    <w:rsid w:val="003723A3"/>
    <w:rsid w:val="003723A5"/>
    <w:rsid w:val="003723B2"/>
    <w:rsid w:val="003723FC"/>
    <w:rsid w:val="00372462"/>
    <w:rsid w:val="003724BC"/>
    <w:rsid w:val="003724C0"/>
    <w:rsid w:val="003724E0"/>
    <w:rsid w:val="00372510"/>
    <w:rsid w:val="003725A8"/>
    <w:rsid w:val="003725AC"/>
    <w:rsid w:val="0037260B"/>
    <w:rsid w:val="0037263F"/>
    <w:rsid w:val="00372659"/>
    <w:rsid w:val="003726B6"/>
    <w:rsid w:val="00372726"/>
    <w:rsid w:val="00372782"/>
    <w:rsid w:val="003727C0"/>
    <w:rsid w:val="00372839"/>
    <w:rsid w:val="0037284A"/>
    <w:rsid w:val="0037290A"/>
    <w:rsid w:val="0037294A"/>
    <w:rsid w:val="0037296B"/>
    <w:rsid w:val="00372997"/>
    <w:rsid w:val="0037299E"/>
    <w:rsid w:val="003729D8"/>
    <w:rsid w:val="003729EA"/>
    <w:rsid w:val="00372A1A"/>
    <w:rsid w:val="00372A97"/>
    <w:rsid w:val="00372ABA"/>
    <w:rsid w:val="00372AD4"/>
    <w:rsid w:val="00372B85"/>
    <w:rsid w:val="00372B96"/>
    <w:rsid w:val="00372BD6"/>
    <w:rsid w:val="00372C7D"/>
    <w:rsid w:val="00372C7F"/>
    <w:rsid w:val="00372CB3"/>
    <w:rsid w:val="00372D31"/>
    <w:rsid w:val="00372D74"/>
    <w:rsid w:val="00372DB6"/>
    <w:rsid w:val="00372DBC"/>
    <w:rsid w:val="00372FC9"/>
    <w:rsid w:val="00373036"/>
    <w:rsid w:val="00373114"/>
    <w:rsid w:val="00373145"/>
    <w:rsid w:val="003731C8"/>
    <w:rsid w:val="003732A8"/>
    <w:rsid w:val="003732CF"/>
    <w:rsid w:val="00373355"/>
    <w:rsid w:val="003733A4"/>
    <w:rsid w:val="00373464"/>
    <w:rsid w:val="003734F6"/>
    <w:rsid w:val="00373588"/>
    <w:rsid w:val="003735A0"/>
    <w:rsid w:val="003736DA"/>
    <w:rsid w:val="003736E2"/>
    <w:rsid w:val="0037370A"/>
    <w:rsid w:val="00373716"/>
    <w:rsid w:val="0037376C"/>
    <w:rsid w:val="00373780"/>
    <w:rsid w:val="003737C2"/>
    <w:rsid w:val="003737FD"/>
    <w:rsid w:val="0037382E"/>
    <w:rsid w:val="003738CE"/>
    <w:rsid w:val="0037392F"/>
    <w:rsid w:val="0037396A"/>
    <w:rsid w:val="00373AD8"/>
    <w:rsid w:val="00373AE8"/>
    <w:rsid w:val="00373B23"/>
    <w:rsid w:val="00373B79"/>
    <w:rsid w:val="00373BEA"/>
    <w:rsid w:val="00373C24"/>
    <w:rsid w:val="00373C90"/>
    <w:rsid w:val="00373CC5"/>
    <w:rsid w:val="00373DBE"/>
    <w:rsid w:val="00373E04"/>
    <w:rsid w:val="00373E48"/>
    <w:rsid w:val="00373E78"/>
    <w:rsid w:val="00373EB8"/>
    <w:rsid w:val="00373F8C"/>
    <w:rsid w:val="00373FCB"/>
    <w:rsid w:val="00373FE6"/>
    <w:rsid w:val="00373FEB"/>
    <w:rsid w:val="00374038"/>
    <w:rsid w:val="003740C3"/>
    <w:rsid w:val="00374151"/>
    <w:rsid w:val="00374175"/>
    <w:rsid w:val="0037423B"/>
    <w:rsid w:val="00374246"/>
    <w:rsid w:val="0037433C"/>
    <w:rsid w:val="00374351"/>
    <w:rsid w:val="003743F7"/>
    <w:rsid w:val="00374416"/>
    <w:rsid w:val="00374474"/>
    <w:rsid w:val="003744E1"/>
    <w:rsid w:val="00374573"/>
    <w:rsid w:val="003745F4"/>
    <w:rsid w:val="00374623"/>
    <w:rsid w:val="00374674"/>
    <w:rsid w:val="0037467A"/>
    <w:rsid w:val="00374697"/>
    <w:rsid w:val="003746F5"/>
    <w:rsid w:val="003747F3"/>
    <w:rsid w:val="00374817"/>
    <w:rsid w:val="00374838"/>
    <w:rsid w:val="00374870"/>
    <w:rsid w:val="003748D3"/>
    <w:rsid w:val="00374A61"/>
    <w:rsid w:val="00374A7C"/>
    <w:rsid w:val="00374A94"/>
    <w:rsid w:val="00374AC3"/>
    <w:rsid w:val="00374B44"/>
    <w:rsid w:val="00374BDA"/>
    <w:rsid w:val="00374C35"/>
    <w:rsid w:val="00374C93"/>
    <w:rsid w:val="00374CB5"/>
    <w:rsid w:val="00374D63"/>
    <w:rsid w:val="00374D7B"/>
    <w:rsid w:val="00374DE0"/>
    <w:rsid w:val="00374E4D"/>
    <w:rsid w:val="00374E76"/>
    <w:rsid w:val="00374E81"/>
    <w:rsid w:val="00374EE9"/>
    <w:rsid w:val="00374F1C"/>
    <w:rsid w:val="00374F63"/>
    <w:rsid w:val="00374F7A"/>
    <w:rsid w:val="00375065"/>
    <w:rsid w:val="00375084"/>
    <w:rsid w:val="00375099"/>
    <w:rsid w:val="003750AF"/>
    <w:rsid w:val="0037510B"/>
    <w:rsid w:val="00375120"/>
    <w:rsid w:val="00375129"/>
    <w:rsid w:val="00375135"/>
    <w:rsid w:val="003751F6"/>
    <w:rsid w:val="0037522A"/>
    <w:rsid w:val="0037523A"/>
    <w:rsid w:val="00375394"/>
    <w:rsid w:val="0037548A"/>
    <w:rsid w:val="0037552E"/>
    <w:rsid w:val="003755C7"/>
    <w:rsid w:val="0037563C"/>
    <w:rsid w:val="00375641"/>
    <w:rsid w:val="003757C8"/>
    <w:rsid w:val="00375832"/>
    <w:rsid w:val="0037585A"/>
    <w:rsid w:val="00375870"/>
    <w:rsid w:val="003758FE"/>
    <w:rsid w:val="0037598A"/>
    <w:rsid w:val="00375A7C"/>
    <w:rsid w:val="00375B04"/>
    <w:rsid w:val="00375B42"/>
    <w:rsid w:val="00375B83"/>
    <w:rsid w:val="00375C21"/>
    <w:rsid w:val="00375C72"/>
    <w:rsid w:val="00375CA7"/>
    <w:rsid w:val="00375CC1"/>
    <w:rsid w:val="00375CEF"/>
    <w:rsid w:val="00375D5F"/>
    <w:rsid w:val="00375D8D"/>
    <w:rsid w:val="00375D94"/>
    <w:rsid w:val="00375DAC"/>
    <w:rsid w:val="00375DF4"/>
    <w:rsid w:val="00375E3B"/>
    <w:rsid w:val="00375E83"/>
    <w:rsid w:val="00375EEA"/>
    <w:rsid w:val="00375F6E"/>
    <w:rsid w:val="00375F96"/>
    <w:rsid w:val="00375FE2"/>
    <w:rsid w:val="00376036"/>
    <w:rsid w:val="0037606C"/>
    <w:rsid w:val="00376099"/>
    <w:rsid w:val="00376138"/>
    <w:rsid w:val="0037613E"/>
    <w:rsid w:val="00376141"/>
    <w:rsid w:val="00376157"/>
    <w:rsid w:val="003761E7"/>
    <w:rsid w:val="003762A5"/>
    <w:rsid w:val="003762E1"/>
    <w:rsid w:val="003762E9"/>
    <w:rsid w:val="00376392"/>
    <w:rsid w:val="003763B7"/>
    <w:rsid w:val="0037643E"/>
    <w:rsid w:val="003764B6"/>
    <w:rsid w:val="00376507"/>
    <w:rsid w:val="00376554"/>
    <w:rsid w:val="0037661A"/>
    <w:rsid w:val="0037662D"/>
    <w:rsid w:val="0037666A"/>
    <w:rsid w:val="00376706"/>
    <w:rsid w:val="0037670D"/>
    <w:rsid w:val="0037671A"/>
    <w:rsid w:val="00376742"/>
    <w:rsid w:val="003767EE"/>
    <w:rsid w:val="00376908"/>
    <w:rsid w:val="0037696D"/>
    <w:rsid w:val="00376981"/>
    <w:rsid w:val="00376983"/>
    <w:rsid w:val="00376AC9"/>
    <w:rsid w:val="00376B07"/>
    <w:rsid w:val="00376B3E"/>
    <w:rsid w:val="00376BD7"/>
    <w:rsid w:val="00376BF7"/>
    <w:rsid w:val="00376C10"/>
    <w:rsid w:val="00376C28"/>
    <w:rsid w:val="00376C41"/>
    <w:rsid w:val="00376C65"/>
    <w:rsid w:val="00376C83"/>
    <w:rsid w:val="00376CE9"/>
    <w:rsid w:val="0037711B"/>
    <w:rsid w:val="00377149"/>
    <w:rsid w:val="0037718C"/>
    <w:rsid w:val="003771CB"/>
    <w:rsid w:val="0037721D"/>
    <w:rsid w:val="00377223"/>
    <w:rsid w:val="0037723B"/>
    <w:rsid w:val="00377292"/>
    <w:rsid w:val="0037731F"/>
    <w:rsid w:val="00377329"/>
    <w:rsid w:val="003773F5"/>
    <w:rsid w:val="00377452"/>
    <w:rsid w:val="003774DA"/>
    <w:rsid w:val="00377591"/>
    <w:rsid w:val="003775C5"/>
    <w:rsid w:val="00377731"/>
    <w:rsid w:val="003777FA"/>
    <w:rsid w:val="00377884"/>
    <w:rsid w:val="003778CB"/>
    <w:rsid w:val="003778ED"/>
    <w:rsid w:val="00377924"/>
    <w:rsid w:val="00377971"/>
    <w:rsid w:val="003779DA"/>
    <w:rsid w:val="00377A85"/>
    <w:rsid w:val="00377B4F"/>
    <w:rsid w:val="00377B63"/>
    <w:rsid w:val="00377B64"/>
    <w:rsid w:val="00377C16"/>
    <w:rsid w:val="00377C81"/>
    <w:rsid w:val="00377CC2"/>
    <w:rsid w:val="00377CC6"/>
    <w:rsid w:val="00377E3B"/>
    <w:rsid w:val="00377E3C"/>
    <w:rsid w:val="00377E86"/>
    <w:rsid w:val="00377F10"/>
    <w:rsid w:val="0038004B"/>
    <w:rsid w:val="00380247"/>
    <w:rsid w:val="003803A6"/>
    <w:rsid w:val="003803C6"/>
    <w:rsid w:val="003803D0"/>
    <w:rsid w:val="00380564"/>
    <w:rsid w:val="003805AC"/>
    <w:rsid w:val="00380657"/>
    <w:rsid w:val="0038067E"/>
    <w:rsid w:val="00380760"/>
    <w:rsid w:val="0038077F"/>
    <w:rsid w:val="003807F0"/>
    <w:rsid w:val="00380817"/>
    <w:rsid w:val="003808B5"/>
    <w:rsid w:val="00380923"/>
    <w:rsid w:val="00380956"/>
    <w:rsid w:val="0038098C"/>
    <w:rsid w:val="003809FA"/>
    <w:rsid w:val="00380A02"/>
    <w:rsid w:val="00380A78"/>
    <w:rsid w:val="00380AAE"/>
    <w:rsid w:val="00380AE9"/>
    <w:rsid w:val="00380B25"/>
    <w:rsid w:val="00380B51"/>
    <w:rsid w:val="00380C0B"/>
    <w:rsid w:val="00380CF4"/>
    <w:rsid w:val="00380D09"/>
    <w:rsid w:val="00380D17"/>
    <w:rsid w:val="00380D49"/>
    <w:rsid w:val="00380D4A"/>
    <w:rsid w:val="00380DE0"/>
    <w:rsid w:val="00380E0F"/>
    <w:rsid w:val="00380E1B"/>
    <w:rsid w:val="00380E37"/>
    <w:rsid w:val="0038107B"/>
    <w:rsid w:val="003810A7"/>
    <w:rsid w:val="003810B8"/>
    <w:rsid w:val="003810BB"/>
    <w:rsid w:val="003810EF"/>
    <w:rsid w:val="00381125"/>
    <w:rsid w:val="00381134"/>
    <w:rsid w:val="003811E4"/>
    <w:rsid w:val="0038120E"/>
    <w:rsid w:val="00381258"/>
    <w:rsid w:val="003812DB"/>
    <w:rsid w:val="003812F1"/>
    <w:rsid w:val="0038133A"/>
    <w:rsid w:val="0038137D"/>
    <w:rsid w:val="00381383"/>
    <w:rsid w:val="003813C0"/>
    <w:rsid w:val="003813DA"/>
    <w:rsid w:val="003813DE"/>
    <w:rsid w:val="0038142E"/>
    <w:rsid w:val="00381444"/>
    <w:rsid w:val="00381491"/>
    <w:rsid w:val="003814A3"/>
    <w:rsid w:val="0038161E"/>
    <w:rsid w:val="003816A7"/>
    <w:rsid w:val="003816B1"/>
    <w:rsid w:val="003816B8"/>
    <w:rsid w:val="003817E8"/>
    <w:rsid w:val="003817FA"/>
    <w:rsid w:val="003818FC"/>
    <w:rsid w:val="00381911"/>
    <w:rsid w:val="00381926"/>
    <w:rsid w:val="00381934"/>
    <w:rsid w:val="00381955"/>
    <w:rsid w:val="0038196D"/>
    <w:rsid w:val="00381A08"/>
    <w:rsid w:val="00381A2E"/>
    <w:rsid w:val="00381A94"/>
    <w:rsid w:val="00381AD6"/>
    <w:rsid w:val="00381B2A"/>
    <w:rsid w:val="00381D29"/>
    <w:rsid w:val="00381D4F"/>
    <w:rsid w:val="00381DF7"/>
    <w:rsid w:val="00381E1F"/>
    <w:rsid w:val="00381E34"/>
    <w:rsid w:val="00381E59"/>
    <w:rsid w:val="00381EE9"/>
    <w:rsid w:val="00381F55"/>
    <w:rsid w:val="00382014"/>
    <w:rsid w:val="00382078"/>
    <w:rsid w:val="003820C8"/>
    <w:rsid w:val="00382114"/>
    <w:rsid w:val="00382134"/>
    <w:rsid w:val="003821A5"/>
    <w:rsid w:val="003821C9"/>
    <w:rsid w:val="003821D2"/>
    <w:rsid w:val="00382223"/>
    <w:rsid w:val="00382251"/>
    <w:rsid w:val="003822CE"/>
    <w:rsid w:val="003823E3"/>
    <w:rsid w:val="00382567"/>
    <w:rsid w:val="003825E7"/>
    <w:rsid w:val="003826CF"/>
    <w:rsid w:val="00382739"/>
    <w:rsid w:val="00382769"/>
    <w:rsid w:val="003827A1"/>
    <w:rsid w:val="003827EF"/>
    <w:rsid w:val="0038282B"/>
    <w:rsid w:val="0038290F"/>
    <w:rsid w:val="00382925"/>
    <w:rsid w:val="00382978"/>
    <w:rsid w:val="00382994"/>
    <w:rsid w:val="003829C4"/>
    <w:rsid w:val="00382A46"/>
    <w:rsid w:val="00382A6E"/>
    <w:rsid w:val="00382B12"/>
    <w:rsid w:val="00382B29"/>
    <w:rsid w:val="00382B49"/>
    <w:rsid w:val="00382B99"/>
    <w:rsid w:val="00382BB1"/>
    <w:rsid w:val="00382BC3"/>
    <w:rsid w:val="00382C89"/>
    <w:rsid w:val="00382CC2"/>
    <w:rsid w:val="00382D98"/>
    <w:rsid w:val="00382F1B"/>
    <w:rsid w:val="00382F60"/>
    <w:rsid w:val="00382FE0"/>
    <w:rsid w:val="0038304E"/>
    <w:rsid w:val="003830DF"/>
    <w:rsid w:val="003830E3"/>
    <w:rsid w:val="00383114"/>
    <w:rsid w:val="003831EE"/>
    <w:rsid w:val="003832BB"/>
    <w:rsid w:val="003832D7"/>
    <w:rsid w:val="003832DB"/>
    <w:rsid w:val="003832F9"/>
    <w:rsid w:val="00383326"/>
    <w:rsid w:val="00383350"/>
    <w:rsid w:val="00383383"/>
    <w:rsid w:val="003833BA"/>
    <w:rsid w:val="00383435"/>
    <w:rsid w:val="0038349E"/>
    <w:rsid w:val="003834FA"/>
    <w:rsid w:val="0038350A"/>
    <w:rsid w:val="0038351A"/>
    <w:rsid w:val="00383572"/>
    <w:rsid w:val="0038358E"/>
    <w:rsid w:val="003835BC"/>
    <w:rsid w:val="00383645"/>
    <w:rsid w:val="00383690"/>
    <w:rsid w:val="003836AA"/>
    <w:rsid w:val="003837A2"/>
    <w:rsid w:val="003837C4"/>
    <w:rsid w:val="00383905"/>
    <w:rsid w:val="0038396D"/>
    <w:rsid w:val="00383979"/>
    <w:rsid w:val="00383984"/>
    <w:rsid w:val="003839E6"/>
    <w:rsid w:val="00383A1D"/>
    <w:rsid w:val="00383A77"/>
    <w:rsid w:val="00383AC7"/>
    <w:rsid w:val="00383AF8"/>
    <w:rsid w:val="00383B85"/>
    <w:rsid w:val="00383BE0"/>
    <w:rsid w:val="00383DA5"/>
    <w:rsid w:val="00383DFD"/>
    <w:rsid w:val="00383E7E"/>
    <w:rsid w:val="00383EDE"/>
    <w:rsid w:val="00383F3D"/>
    <w:rsid w:val="00383FFD"/>
    <w:rsid w:val="0038409D"/>
    <w:rsid w:val="00384155"/>
    <w:rsid w:val="0038415D"/>
    <w:rsid w:val="00384205"/>
    <w:rsid w:val="00384297"/>
    <w:rsid w:val="003842B0"/>
    <w:rsid w:val="0038433D"/>
    <w:rsid w:val="00384477"/>
    <w:rsid w:val="00384529"/>
    <w:rsid w:val="003846CD"/>
    <w:rsid w:val="00384708"/>
    <w:rsid w:val="00384741"/>
    <w:rsid w:val="003847C7"/>
    <w:rsid w:val="00384845"/>
    <w:rsid w:val="003848CD"/>
    <w:rsid w:val="0038490D"/>
    <w:rsid w:val="00384A34"/>
    <w:rsid w:val="00384A9B"/>
    <w:rsid w:val="00384A9C"/>
    <w:rsid w:val="00384ABD"/>
    <w:rsid w:val="00384AD4"/>
    <w:rsid w:val="00384ADF"/>
    <w:rsid w:val="00384B0C"/>
    <w:rsid w:val="00384B92"/>
    <w:rsid w:val="00384B9C"/>
    <w:rsid w:val="00384B9E"/>
    <w:rsid w:val="00384C3F"/>
    <w:rsid w:val="00384C44"/>
    <w:rsid w:val="00384C92"/>
    <w:rsid w:val="00384CA3"/>
    <w:rsid w:val="00384D11"/>
    <w:rsid w:val="00384D74"/>
    <w:rsid w:val="00384D95"/>
    <w:rsid w:val="00384DC0"/>
    <w:rsid w:val="00384DD2"/>
    <w:rsid w:val="00384DEB"/>
    <w:rsid w:val="00384E71"/>
    <w:rsid w:val="00384F00"/>
    <w:rsid w:val="00384FE2"/>
    <w:rsid w:val="00385021"/>
    <w:rsid w:val="00385084"/>
    <w:rsid w:val="003850A9"/>
    <w:rsid w:val="003850E2"/>
    <w:rsid w:val="003850E7"/>
    <w:rsid w:val="00385130"/>
    <w:rsid w:val="003851D8"/>
    <w:rsid w:val="00385273"/>
    <w:rsid w:val="003852CE"/>
    <w:rsid w:val="00385318"/>
    <w:rsid w:val="00385347"/>
    <w:rsid w:val="0038536C"/>
    <w:rsid w:val="003853D0"/>
    <w:rsid w:val="003854D8"/>
    <w:rsid w:val="003854FE"/>
    <w:rsid w:val="00385501"/>
    <w:rsid w:val="0038550A"/>
    <w:rsid w:val="00385549"/>
    <w:rsid w:val="00385569"/>
    <w:rsid w:val="00385582"/>
    <w:rsid w:val="003855CF"/>
    <w:rsid w:val="003855D1"/>
    <w:rsid w:val="0038564B"/>
    <w:rsid w:val="003856B7"/>
    <w:rsid w:val="00385758"/>
    <w:rsid w:val="003857A7"/>
    <w:rsid w:val="00385884"/>
    <w:rsid w:val="0038594B"/>
    <w:rsid w:val="0038594E"/>
    <w:rsid w:val="0038595D"/>
    <w:rsid w:val="003859FE"/>
    <w:rsid w:val="00385AAD"/>
    <w:rsid w:val="00385AD4"/>
    <w:rsid w:val="00385C04"/>
    <w:rsid w:val="00385C22"/>
    <w:rsid w:val="00385C41"/>
    <w:rsid w:val="00385C61"/>
    <w:rsid w:val="00385CE7"/>
    <w:rsid w:val="00385DF7"/>
    <w:rsid w:val="00385E24"/>
    <w:rsid w:val="00385E7B"/>
    <w:rsid w:val="00385F4C"/>
    <w:rsid w:val="00385F96"/>
    <w:rsid w:val="00385FB6"/>
    <w:rsid w:val="00385FC1"/>
    <w:rsid w:val="00385FE3"/>
    <w:rsid w:val="00386004"/>
    <w:rsid w:val="0038600D"/>
    <w:rsid w:val="0038603A"/>
    <w:rsid w:val="003860AA"/>
    <w:rsid w:val="003860B3"/>
    <w:rsid w:val="00386118"/>
    <w:rsid w:val="00386184"/>
    <w:rsid w:val="0038618A"/>
    <w:rsid w:val="00386211"/>
    <w:rsid w:val="0038621C"/>
    <w:rsid w:val="00386264"/>
    <w:rsid w:val="0038627C"/>
    <w:rsid w:val="0038632E"/>
    <w:rsid w:val="003863BB"/>
    <w:rsid w:val="003863E0"/>
    <w:rsid w:val="0038648D"/>
    <w:rsid w:val="003864B4"/>
    <w:rsid w:val="003864DD"/>
    <w:rsid w:val="003865CF"/>
    <w:rsid w:val="003865FD"/>
    <w:rsid w:val="0038669F"/>
    <w:rsid w:val="003866AA"/>
    <w:rsid w:val="0038671A"/>
    <w:rsid w:val="003867BA"/>
    <w:rsid w:val="00386892"/>
    <w:rsid w:val="003868A2"/>
    <w:rsid w:val="003868C0"/>
    <w:rsid w:val="00386939"/>
    <w:rsid w:val="0038693A"/>
    <w:rsid w:val="003869C8"/>
    <w:rsid w:val="00386AE8"/>
    <w:rsid w:val="00386BA5"/>
    <w:rsid w:val="00386BDE"/>
    <w:rsid w:val="00386BF3"/>
    <w:rsid w:val="00386C1F"/>
    <w:rsid w:val="00386C80"/>
    <w:rsid w:val="00386CB3"/>
    <w:rsid w:val="00386CE0"/>
    <w:rsid w:val="00386D37"/>
    <w:rsid w:val="00386D49"/>
    <w:rsid w:val="00386D9C"/>
    <w:rsid w:val="00386E28"/>
    <w:rsid w:val="00386E5C"/>
    <w:rsid w:val="00386E8D"/>
    <w:rsid w:val="00387055"/>
    <w:rsid w:val="003870BF"/>
    <w:rsid w:val="003870D2"/>
    <w:rsid w:val="003870D8"/>
    <w:rsid w:val="0038717E"/>
    <w:rsid w:val="003871BE"/>
    <w:rsid w:val="00387276"/>
    <w:rsid w:val="0038737A"/>
    <w:rsid w:val="0038744B"/>
    <w:rsid w:val="00387467"/>
    <w:rsid w:val="0038749B"/>
    <w:rsid w:val="0038749C"/>
    <w:rsid w:val="003874BB"/>
    <w:rsid w:val="003874E2"/>
    <w:rsid w:val="003874EE"/>
    <w:rsid w:val="00387541"/>
    <w:rsid w:val="0038756F"/>
    <w:rsid w:val="00387588"/>
    <w:rsid w:val="003875A0"/>
    <w:rsid w:val="003875BF"/>
    <w:rsid w:val="0038761C"/>
    <w:rsid w:val="00387621"/>
    <w:rsid w:val="00387683"/>
    <w:rsid w:val="003876D9"/>
    <w:rsid w:val="003876F4"/>
    <w:rsid w:val="00387739"/>
    <w:rsid w:val="003877A2"/>
    <w:rsid w:val="003877C1"/>
    <w:rsid w:val="00387899"/>
    <w:rsid w:val="00387905"/>
    <w:rsid w:val="00387929"/>
    <w:rsid w:val="0038792C"/>
    <w:rsid w:val="0038795B"/>
    <w:rsid w:val="003879BB"/>
    <w:rsid w:val="003879C4"/>
    <w:rsid w:val="00387BBD"/>
    <w:rsid w:val="00387C89"/>
    <w:rsid w:val="00387D6E"/>
    <w:rsid w:val="00387E14"/>
    <w:rsid w:val="00387EA1"/>
    <w:rsid w:val="00387EF5"/>
    <w:rsid w:val="00387F1E"/>
    <w:rsid w:val="00387F32"/>
    <w:rsid w:val="00387F49"/>
    <w:rsid w:val="00387FEB"/>
    <w:rsid w:val="00390003"/>
    <w:rsid w:val="0039006B"/>
    <w:rsid w:val="00390132"/>
    <w:rsid w:val="0039014F"/>
    <w:rsid w:val="0039016F"/>
    <w:rsid w:val="003902E5"/>
    <w:rsid w:val="00390338"/>
    <w:rsid w:val="003903E9"/>
    <w:rsid w:val="003903FA"/>
    <w:rsid w:val="0039041E"/>
    <w:rsid w:val="00390498"/>
    <w:rsid w:val="003904EB"/>
    <w:rsid w:val="003905A1"/>
    <w:rsid w:val="003905A2"/>
    <w:rsid w:val="003905A7"/>
    <w:rsid w:val="003905AC"/>
    <w:rsid w:val="003905CB"/>
    <w:rsid w:val="003905DC"/>
    <w:rsid w:val="003905E3"/>
    <w:rsid w:val="00390685"/>
    <w:rsid w:val="00390696"/>
    <w:rsid w:val="003906AD"/>
    <w:rsid w:val="003906D8"/>
    <w:rsid w:val="003906E7"/>
    <w:rsid w:val="0039083F"/>
    <w:rsid w:val="00390893"/>
    <w:rsid w:val="003908DB"/>
    <w:rsid w:val="0039092D"/>
    <w:rsid w:val="00390A09"/>
    <w:rsid w:val="00390A74"/>
    <w:rsid w:val="00390B00"/>
    <w:rsid w:val="00390B04"/>
    <w:rsid w:val="00390B3C"/>
    <w:rsid w:val="00390B75"/>
    <w:rsid w:val="00390C19"/>
    <w:rsid w:val="00390C78"/>
    <w:rsid w:val="00390D0A"/>
    <w:rsid w:val="00390D34"/>
    <w:rsid w:val="00390F86"/>
    <w:rsid w:val="00390FC2"/>
    <w:rsid w:val="00391111"/>
    <w:rsid w:val="0039117A"/>
    <w:rsid w:val="00391291"/>
    <w:rsid w:val="003913AE"/>
    <w:rsid w:val="003913BC"/>
    <w:rsid w:val="003913D4"/>
    <w:rsid w:val="0039148C"/>
    <w:rsid w:val="003914E6"/>
    <w:rsid w:val="00391584"/>
    <w:rsid w:val="0039158D"/>
    <w:rsid w:val="00391631"/>
    <w:rsid w:val="003916A3"/>
    <w:rsid w:val="0039170E"/>
    <w:rsid w:val="0039174C"/>
    <w:rsid w:val="00391759"/>
    <w:rsid w:val="0039179C"/>
    <w:rsid w:val="0039183F"/>
    <w:rsid w:val="00391858"/>
    <w:rsid w:val="0039185D"/>
    <w:rsid w:val="0039186A"/>
    <w:rsid w:val="003918DC"/>
    <w:rsid w:val="003918F1"/>
    <w:rsid w:val="00391917"/>
    <w:rsid w:val="00391968"/>
    <w:rsid w:val="003919E9"/>
    <w:rsid w:val="003919F6"/>
    <w:rsid w:val="00391A34"/>
    <w:rsid w:val="00391AA6"/>
    <w:rsid w:val="00391BCB"/>
    <w:rsid w:val="00391C8A"/>
    <w:rsid w:val="00391D97"/>
    <w:rsid w:val="00391D9D"/>
    <w:rsid w:val="00391DD5"/>
    <w:rsid w:val="00391EB7"/>
    <w:rsid w:val="00391F46"/>
    <w:rsid w:val="00391FCD"/>
    <w:rsid w:val="00391FD7"/>
    <w:rsid w:val="0039202A"/>
    <w:rsid w:val="00392095"/>
    <w:rsid w:val="00392097"/>
    <w:rsid w:val="003920DF"/>
    <w:rsid w:val="0039214B"/>
    <w:rsid w:val="00392194"/>
    <w:rsid w:val="003921DC"/>
    <w:rsid w:val="0039227E"/>
    <w:rsid w:val="00392338"/>
    <w:rsid w:val="003923B0"/>
    <w:rsid w:val="00392492"/>
    <w:rsid w:val="003924B2"/>
    <w:rsid w:val="003924C4"/>
    <w:rsid w:val="003924EC"/>
    <w:rsid w:val="0039254F"/>
    <w:rsid w:val="003925C1"/>
    <w:rsid w:val="00392695"/>
    <w:rsid w:val="003926C3"/>
    <w:rsid w:val="00392739"/>
    <w:rsid w:val="0039273B"/>
    <w:rsid w:val="00392844"/>
    <w:rsid w:val="0039287E"/>
    <w:rsid w:val="003928AA"/>
    <w:rsid w:val="003928BA"/>
    <w:rsid w:val="00392962"/>
    <w:rsid w:val="0039296B"/>
    <w:rsid w:val="003929AF"/>
    <w:rsid w:val="00392A71"/>
    <w:rsid w:val="00392A89"/>
    <w:rsid w:val="00392B58"/>
    <w:rsid w:val="00392CF0"/>
    <w:rsid w:val="00392D29"/>
    <w:rsid w:val="00392D74"/>
    <w:rsid w:val="00392DEB"/>
    <w:rsid w:val="00392E37"/>
    <w:rsid w:val="00392E79"/>
    <w:rsid w:val="00392E88"/>
    <w:rsid w:val="00392E96"/>
    <w:rsid w:val="00392F5F"/>
    <w:rsid w:val="00392F77"/>
    <w:rsid w:val="00392F85"/>
    <w:rsid w:val="0039303A"/>
    <w:rsid w:val="0039309E"/>
    <w:rsid w:val="003930E1"/>
    <w:rsid w:val="00393105"/>
    <w:rsid w:val="0039311A"/>
    <w:rsid w:val="0039312A"/>
    <w:rsid w:val="003931E7"/>
    <w:rsid w:val="00393230"/>
    <w:rsid w:val="00393232"/>
    <w:rsid w:val="00393322"/>
    <w:rsid w:val="0039348B"/>
    <w:rsid w:val="003934BA"/>
    <w:rsid w:val="0039350B"/>
    <w:rsid w:val="0039363B"/>
    <w:rsid w:val="003936F5"/>
    <w:rsid w:val="003939FF"/>
    <w:rsid w:val="00393AE5"/>
    <w:rsid w:val="00393AE9"/>
    <w:rsid w:val="00393BC7"/>
    <w:rsid w:val="00393C65"/>
    <w:rsid w:val="00393CB6"/>
    <w:rsid w:val="00393DDC"/>
    <w:rsid w:val="00393DDD"/>
    <w:rsid w:val="00393E43"/>
    <w:rsid w:val="00393EAF"/>
    <w:rsid w:val="00393EB8"/>
    <w:rsid w:val="00393ECA"/>
    <w:rsid w:val="00393EE8"/>
    <w:rsid w:val="00393F1B"/>
    <w:rsid w:val="00393FB4"/>
    <w:rsid w:val="00393FE6"/>
    <w:rsid w:val="00393FEE"/>
    <w:rsid w:val="003940CA"/>
    <w:rsid w:val="00394133"/>
    <w:rsid w:val="0039419D"/>
    <w:rsid w:val="003941BF"/>
    <w:rsid w:val="0039430B"/>
    <w:rsid w:val="00394372"/>
    <w:rsid w:val="003943DA"/>
    <w:rsid w:val="003944FD"/>
    <w:rsid w:val="00394575"/>
    <w:rsid w:val="003945F3"/>
    <w:rsid w:val="00394611"/>
    <w:rsid w:val="00394692"/>
    <w:rsid w:val="0039471B"/>
    <w:rsid w:val="00394742"/>
    <w:rsid w:val="003948D1"/>
    <w:rsid w:val="0039492F"/>
    <w:rsid w:val="0039493A"/>
    <w:rsid w:val="00394942"/>
    <w:rsid w:val="00394953"/>
    <w:rsid w:val="00394955"/>
    <w:rsid w:val="003949A0"/>
    <w:rsid w:val="003949CF"/>
    <w:rsid w:val="003949FE"/>
    <w:rsid w:val="00394A27"/>
    <w:rsid w:val="00394A8D"/>
    <w:rsid w:val="00394ACC"/>
    <w:rsid w:val="00394ACE"/>
    <w:rsid w:val="00394AF7"/>
    <w:rsid w:val="00394B44"/>
    <w:rsid w:val="00394BA6"/>
    <w:rsid w:val="00394E61"/>
    <w:rsid w:val="00394F27"/>
    <w:rsid w:val="00394F88"/>
    <w:rsid w:val="00394FCE"/>
    <w:rsid w:val="00394FD4"/>
    <w:rsid w:val="0039501B"/>
    <w:rsid w:val="00395037"/>
    <w:rsid w:val="00395078"/>
    <w:rsid w:val="00395092"/>
    <w:rsid w:val="003950ED"/>
    <w:rsid w:val="00395123"/>
    <w:rsid w:val="0039518D"/>
    <w:rsid w:val="003951F6"/>
    <w:rsid w:val="00395247"/>
    <w:rsid w:val="0039538D"/>
    <w:rsid w:val="00395418"/>
    <w:rsid w:val="00395494"/>
    <w:rsid w:val="003954E2"/>
    <w:rsid w:val="003954EE"/>
    <w:rsid w:val="0039553F"/>
    <w:rsid w:val="003956D4"/>
    <w:rsid w:val="00395757"/>
    <w:rsid w:val="003957D2"/>
    <w:rsid w:val="003957DD"/>
    <w:rsid w:val="0039582D"/>
    <w:rsid w:val="0039589D"/>
    <w:rsid w:val="003958E7"/>
    <w:rsid w:val="00395967"/>
    <w:rsid w:val="0039596D"/>
    <w:rsid w:val="003959A2"/>
    <w:rsid w:val="003959A8"/>
    <w:rsid w:val="003959AC"/>
    <w:rsid w:val="003959E6"/>
    <w:rsid w:val="00395A19"/>
    <w:rsid w:val="00395ADB"/>
    <w:rsid w:val="00395BC4"/>
    <w:rsid w:val="00395C83"/>
    <w:rsid w:val="00395CBA"/>
    <w:rsid w:val="00395CC5"/>
    <w:rsid w:val="00395CCB"/>
    <w:rsid w:val="00395DB5"/>
    <w:rsid w:val="00395DC8"/>
    <w:rsid w:val="00395E6F"/>
    <w:rsid w:val="00395EB7"/>
    <w:rsid w:val="00395F0D"/>
    <w:rsid w:val="00395F34"/>
    <w:rsid w:val="00395F36"/>
    <w:rsid w:val="00396020"/>
    <w:rsid w:val="0039602C"/>
    <w:rsid w:val="003960AB"/>
    <w:rsid w:val="003960C9"/>
    <w:rsid w:val="00396141"/>
    <w:rsid w:val="00396142"/>
    <w:rsid w:val="0039628C"/>
    <w:rsid w:val="003962DE"/>
    <w:rsid w:val="003962F5"/>
    <w:rsid w:val="0039631B"/>
    <w:rsid w:val="0039645A"/>
    <w:rsid w:val="00396483"/>
    <w:rsid w:val="00396503"/>
    <w:rsid w:val="00396538"/>
    <w:rsid w:val="003965BA"/>
    <w:rsid w:val="003965C0"/>
    <w:rsid w:val="003965DA"/>
    <w:rsid w:val="00396609"/>
    <w:rsid w:val="0039662F"/>
    <w:rsid w:val="00396642"/>
    <w:rsid w:val="00396837"/>
    <w:rsid w:val="003968C4"/>
    <w:rsid w:val="003968F8"/>
    <w:rsid w:val="0039693E"/>
    <w:rsid w:val="003969CC"/>
    <w:rsid w:val="00396A0F"/>
    <w:rsid w:val="00396A47"/>
    <w:rsid w:val="00396A67"/>
    <w:rsid w:val="00396AA7"/>
    <w:rsid w:val="00396B20"/>
    <w:rsid w:val="00396B2B"/>
    <w:rsid w:val="00396B36"/>
    <w:rsid w:val="00396CBF"/>
    <w:rsid w:val="00396E1C"/>
    <w:rsid w:val="00396E71"/>
    <w:rsid w:val="00396F88"/>
    <w:rsid w:val="00396FE3"/>
    <w:rsid w:val="00397055"/>
    <w:rsid w:val="0039705E"/>
    <w:rsid w:val="00397219"/>
    <w:rsid w:val="0039740A"/>
    <w:rsid w:val="0039743E"/>
    <w:rsid w:val="00397514"/>
    <w:rsid w:val="00397564"/>
    <w:rsid w:val="003975E1"/>
    <w:rsid w:val="00397606"/>
    <w:rsid w:val="0039766E"/>
    <w:rsid w:val="00397741"/>
    <w:rsid w:val="00397742"/>
    <w:rsid w:val="0039778C"/>
    <w:rsid w:val="00397826"/>
    <w:rsid w:val="0039788B"/>
    <w:rsid w:val="00397974"/>
    <w:rsid w:val="003979B1"/>
    <w:rsid w:val="00397A2B"/>
    <w:rsid w:val="00397AAD"/>
    <w:rsid w:val="00397B5B"/>
    <w:rsid w:val="00397B80"/>
    <w:rsid w:val="00397BC0"/>
    <w:rsid w:val="00397BE3"/>
    <w:rsid w:val="00397C65"/>
    <w:rsid w:val="00397CD4"/>
    <w:rsid w:val="00397CF1"/>
    <w:rsid w:val="00397D88"/>
    <w:rsid w:val="00397DA1"/>
    <w:rsid w:val="00397DC2"/>
    <w:rsid w:val="00397DE9"/>
    <w:rsid w:val="00397E23"/>
    <w:rsid w:val="00397E5C"/>
    <w:rsid w:val="003A000F"/>
    <w:rsid w:val="003A0016"/>
    <w:rsid w:val="003A00F5"/>
    <w:rsid w:val="003A0119"/>
    <w:rsid w:val="003A013A"/>
    <w:rsid w:val="003A018F"/>
    <w:rsid w:val="003A01E8"/>
    <w:rsid w:val="003A0295"/>
    <w:rsid w:val="003A0306"/>
    <w:rsid w:val="003A0355"/>
    <w:rsid w:val="003A039B"/>
    <w:rsid w:val="003A03BA"/>
    <w:rsid w:val="003A03D4"/>
    <w:rsid w:val="003A0422"/>
    <w:rsid w:val="003A0491"/>
    <w:rsid w:val="003A0509"/>
    <w:rsid w:val="003A052D"/>
    <w:rsid w:val="003A056C"/>
    <w:rsid w:val="003A061F"/>
    <w:rsid w:val="003A070F"/>
    <w:rsid w:val="003A07C1"/>
    <w:rsid w:val="003A0803"/>
    <w:rsid w:val="003A0818"/>
    <w:rsid w:val="003A084F"/>
    <w:rsid w:val="003A085E"/>
    <w:rsid w:val="003A0955"/>
    <w:rsid w:val="003A09EE"/>
    <w:rsid w:val="003A0A38"/>
    <w:rsid w:val="003A0AE1"/>
    <w:rsid w:val="003A0B18"/>
    <w:rsid w:val="003A0B2C"/>
    <w:rsid w:val="003A0B69"/>
    <w:rsid w:val="003A0C52"/>
    <w:rsid w:val="003A0C8A"/>
    <w:rsid w:val="003A0D06"/>
    <w:rsid w:val="003A0D6F"/>
    <w:rsid w:val="003A0DA1"/>
    <w:rsid w:val="003A0DB0"/>
    <w:rsid w:val="003A0DC1"/>
    <w:rsid w:val="003A0E11"/>
    <w:rsid w:val="003A0E9B"/>
    <w:rsid w:val="003A0ED0"/>
    <w:rsid w:val="003A103F"/>
    <w:rsid w:val="003A1257"/>
    <w:rsid w:val="003A1266"/>
    <w:rsid w:val="003A12A0"/>
    <w:rsid w:val="003A12A1"/>
    <w:rsid w:val="003A12C8"/>
    <w:rsid w:val="003A1331"/>
    <w:rsid w:val="003A1358"/>
    <w:rsid w:val="003A1390"/>
    <w:rsid w:val="003A13DE"/>
    <w:rsid w:val="003A1539"/>
    <w:rsid w:val="003A1686"/>
    <w:rsid w:val="003A1699"/>
    <w:rsid w:val="003A16C4"/>
    <w:rsid w:val="003A176A"/>
    <w:rsid w:val="003A17A8"/>
    <w:rsid w:val="003A186B"/>
    <w:rsid w:val="003A1884"/>
    <w:rsid w:val="003A1887"/>
    <w:rsid w:val="003A18C1"/>
    <w:rsid w:val="003A1911"/>
    <w:rsid w:val="003A193D"/>
    <w:rsid w:val="003A19AF"/>
    <w:rsid w:val="003A19BB"/>
    <w:rsid w:val="003A1A0E"/>
    <w:rsid w:val="003A1A16"/>
    <w:rsid w:val="003A1A2A"/>
    <w:rsid w:val="003A1A89"/>
    <w:rsid w:val="003A1A96"/>
    <w:rsid w:val="003A1AB5"/>
    <w:rsid w:val="003A1B74"/>
    <w:rsid w:val="003A1BA9"/>
    <w:rsid w:val="003A1C77"/>
    <w:rsid w:val="003A1CD4"/>
    <w:rsid w:val="003A1DE4"/>
    <w:rsid w:val="003A1DFE"/>
    <w:rsid w:val="003A1E7C"/>
    <w:rsid w:val="003A1F3D"/>
    <w:rsid w:val="003A1F6D"/>
    <w:rsid w:val="003A227C"/>
    <w:rsid w:val="003A231F"/>
    <w:rsid w:val="003A2336"/>
    <w:rsid w:val="003A2350"/>
    <w:rsid w:val="003A236A"/>
    <w:rsid w:val="003A23E0"/>
    <w:rsid w:val="003A25B4"/>
    <w:rsid w:val="003A2610"/>
    <w:rsid w:val="003A266F"/>
    <w:rsid w:val="003A27C0"/>
    <w:rsid w:val="003A280B"/>
    <w:rsid w:val="003A2824"/>
    <w:rsid w:val="003A2945"/>
    <w:rsid w:val="003A298B"/>
    <w:rsid w:val="003A2A93"/>
    <w:rsid w:val="003A2B59"/>
    <w:rsid w:val="003A2B8D"/>
    <w:rsid w:val="003A2B94"/>
    <w:rsid w:val="003A2BA8"/>
    <w:rsid w:val="003A2C8A"/>
    <w:rsid w:val="003A2CC2"/>
    <w:rsid w:val="003A2E28"/>
    <w:rsid w:val="003A2E40"/>
    <w:rsid w:val="003A2E7F"/>
    <w:rsid w:val="003A2F07"/>
    <w:rsid w:val="003A2F30"/>
    <w:rsid w:val="003A2F40"/>
    <w:rsid w:val="003A2F93"/>
    <w:rsid w:val="003A2FD1"/>
    <w:rsid w:val="003A3007"/>
    <w:rsid w:val="003A302D"/>
    <w:rsid w:val="003A3058"/>
    <w:rsid w:val="003A3064"/>
    <w:rsid w:val="003A308D"/>
    <w:rsid w:val="003A3168"/>
    <w:rsid w:val="003A318B"/>
    <w:rsid w:val="003A31C8"/>
    <w:rsid w:val="003A31CF"/>
    <w:rsid w:val="003A31D5"/>
    <w:rsid w:val="003A3282"/>
    <w:rsid w:val="003A329B"/>
    <w:rsid w:val="003A3412"/>
    <w:rsid w:val="003A34AC"/>
    <w:rsid w:val="003A34B5"/>
    <w:rsid w:val="003A34C0"/>
    <w:rsid w:val="003A34C2"/>
    <w:rsid w:val="003A3503"/>
    <w:rsid w:val="003A350F"/>
    <w:rsid w:val="003A351C"/>
    <w:rsid w:val="003A3582"/>
    <w:rsid w:val="003A359C"/>
    <w:rsid w:val="003A35A9"/>
    <w:rsid w:val="003A366C"/>
    <w:rsid w:val="003A36AF"/>
    <w:rsid w:val="003A36EB"/>
    <w:rsid w:val="003A36F2"/>
    <w:rsid w:val="003A3750"/>
    <w:rsid w:val="003A37B4"/>
    <w:rsid w:val="003A37E8"/>
    <w:rsid w:val="003A37E9"/>
    <w:rsid w:val="003A3900"/>
    <w:rsid w:val="003A3A01"/>
    <w:rsid w:val="003A3A1F"/>
    <w:rsid w:val="003A3A68"/>
    <w:rsid w:val="003A3A8D"/>
    <w:rsid w:val="003A3AB0"/>
    <w:rsid w:val="003A3AE2"/>
    <w:rsid w:val="003A3B55"/>
    <w:rsid w:val="003A3BDC"/>
    <w:rsid w:val="003A3C14"/>
    <w:rsid w:val="003A3C4E"/>
    <w:rsid w:val="003A3CCA"/>
    <w:rsid w:val="003A3CE6"/>
    <w:rsid w:val="003A3D0C"/>
    <w:rsid w:val="003A3D44"/>
    <w:rsid w:val="003A3D68"/>
    <w:rsid w:val="003A3D98"/>
    <w:rsid w:val="003A3E0A"/>
    <w:rsid w:val="003A3EB2"/>
    <w:rsid w:val="003A3FC9"/>
    <w:rsid w:val="003A3FCB"/>
    <w:rsid w:val="003A3FEB"/>
    <w:rsid w:val="003A4073"/>
    <w:rsid w:val="003A40D0"/>
    <w:rsid w:val="003A4168"/>
    <w:rsid w:val="003A41BD"/>
    <w:rsid w:val="003A41EF"/>
    <w:rsid w:val="003A4231"/>
    <w:rsid w:val="003A426C"/>
    <w:rsid w:val="003A42D2"/>
    <w:rsid w:val="003A4314"/>
    <w:rsid w:val="003A4383"/>
    <w:rsid w:val="003A4405"/>
    <w:rsid w:val="003A441C"/>
    <w:rsid w:val="003A4486"/>
    <w:rsid w:val="003A4502"/>
    <w:rsid w:val="003A451D"/>
    <w:rsid w:val="003A453A"/>
    <w:rsid w:val="003A4542"/>
    <w:rsid w:val="003A4554"/>
    <w:rsid w:val="003A4569"/>
    <w:rsid w:val="003A45F5"/>
    <w:rsid w:val="003A4630"/>
    <w:rsid w:val="003A464E"/>
    <w:rsid w:val="003A4667"/>
    <w:rsid w:val="003A4668"/>
    <w:rsid w:val="003A46C1"/>
    <w:rsid w:val="003A47D4"/>
    <w:rsid w:val="003A47DD"/>
    <w:rsid w:val="003A47F9"/>
    <w:rsid w:val="003A4827"/>
    <w:rsid w:val="003A4830"/>
    <w:rsid w:val="003A487B"/>
    <w:rsid w:val="003A487C"/>
    <w:rsid w:val="003A48D9"/>
    <w:rsid w:val="003A48F4"/>
    <w:rsid w:val="003A4983"/>
    <w:rsid w:val="003A49C3"/>
    <w:rsid w:val="003A4A03"/>
    <w:rsid w:val="003A4A70"/>
    <w:rsid w:val="003A4B48"/>
    <w:rsid w:val="003A4B4B"/>
    <w:rsid w:val="003A4B86"/>
    <w:rsid w:val="003A4BB2"/>
    <w:rsid w:val="003A4C9C"/>
    <w:rsid w:val="003A4D86"/>
    <w:rsid w:val="003A4E50"/>
    <w:rsid w:val="003A4EA9"/>
    <w:rsid w:val="003A4F1F"/>
    <w:rsid w:val="003A4F85"/>
    <w:rsid w:val="003A504D"/>
    <w:rsid w:val="003A506D"/>
    <w:rsid w:val="003A50BF"/>
    <w:rsid w:val="003A5111"/>
    <w:rsid w:val="003A5121"/>
    <w:rsid w:val="003A528E"/>
    <w:rsid w:val="003A53A4"/>
    <w:rsid w:val="003A545C"/>
    <w:rsid w:val="003A546E"/>
    <w:rsid w:val="003A54A2"/>
    <w:rsid w:val="003A54FE"/>
    <w:rsid w:val="003A5509"/>
    <w:rsid w:val="003A560C"/>
    <w:rsid w:val="003A563E"/>
    <w:rsid w:val="003A56BE"/>
    <w:rsid w:val="003A5705"/>
    <w:rsid w:val="003A571B"/>
    <w:rsid w:val="003A57A6"/>
    <w:rsid w:val="003A57CB"/>
    <w:rsid w:val="003A5824"/>
    <w:rsid w:val="003A58B1"/>
    <w:rsid w:val="003A59BB"/>
    <w:rsid w:val="003A5A16"/>
    <w:rsid w:val="003A5C14"/>
    <w:rsid w:val="003A5D04"/>
    <w:rsid w:val="003A5D6A"/>
    <w:rsid w:val="003A5DC8"/>
    <w:rsid w:val="003A5DEF"/>
    <w:rsid w:val="003A5DF3"/>
    <w:rsid w:val="003A5E0F"/>
    <w:rsid w:val="003A5E65"/>
    <w:rsid w:val="003A601D"/>
    <w:rsid w:val="003A6022"/>
    <w:rsid w:val="003A60C0"/>
    <w:rsid w:val="003A60D0"/>
    <w:rsid w:val="003A6131"/>
    <w:rsid w:val="003A6142"/>
    <w:rsid w:val="003A6143"/>
    <w:rsid w:val="003A6190"/>
    <w:rsid w:val="003A623E"/>
    <w:rsid w:val="003A6282"/>
    <w:rsid w:val="003A6318"/>
    <w:rsid w:val="003A635D"/>
    <w:rsid w:val="003A63D0"/>
    <w:rsid w:val="003A64A6"/>
    <w:rsid w:val="003A64C0"/>
    <w:rsid w:val="003A6523"/>
    <w:rsid w:val="003A65E2"/>
    <w:rsid w:val="003A6627"/>
    <w:rsid w:val="003A6681"/>
    <w:rsid w:val="003A66B5"/>
    <w:rsid w:val="003A675E"/>
    <w:rsid w:val="003A67D3"/>
    <w:rsid w:val="003A684D"/>
    <w:rsid w:val="003A68C4"/>
    <w:rsid w:val="003A69AF"/>
    <w:rsid w:val="003A69D3"/>
    <w:rsid w:val="003A6A6C"/>
    <w:rsid w:val="003A6AB1"/>
    <w:rsid w:val="003A6AF7"/>
    <w:rsid w:val="003A6B03"/>
    <w:rsid w:val="003A6C08"/>
    <w:rsid w:val="003A6C11"/>
    <w:rsid w:val="003A6C24"/>
    <w:rsid w:val="003A6C69"/>
    <w:rsid w:val="003A6C77"/>
    <w:rsid w:val="003A6CC0"/>
    <w:rsid w:val="003A6D65"/>
    <w:rsid w:val="003A6DA2"/>
    <w:rsid w:val="003A6DEE"/>
    <w:rsid w:val="003A6E10"/>
    <w:rsid w:val="003A6EA6"/>
    <w:rsid w:val="003A6EC3"/>
    <w:rsid w:val="003A6F22"/>
    <w:rsid w:val="003A6F34"/>
    <w:rsid w:val="003A6F35"/>
    <w:rsid w:val="003A6FAB"/>
    <w:rsid w:val="003A6FC1"/>
    <w:rsid w:val="003A7069"/>
    <w:rsid w:val="003A70D3"/>
    <w:rsid w:val="003A7153"/>
    <w:rsid w:val="003A715A"/>
    <w:rsid w:val="003A7198"/>
    <w:rsid w:val="003A721F"/>
    <w:rsid w:val="003A72B2"/>
    <w:rsid w:val="003A72C6"/>
    <w:rsid w:val="003A7325"/>
    <w:rsid w:val="003A73EE"/>
    <w:rsid w:val="003A741A"/>
    <w:rsid w:val="003A75C3"/>
    <w:rsid w:val="003A76E9"/>
    <w:rsid w:val="003A7709"/>
    <w:rsid w:val="003A7734"/>
    <w:rsid w:val="003A77AD"/>
    <w:rsid w:val="003A77AF"/>
    <w:rsid w:val="003A7807"/>
    <w:rsid w:val="003A79E3"/>
    <w:rsid w:val="003A7A10"/>
    <w:rsid w:val="003A7A2F"/>
    <w:rsid w:val="003A7B19"/>
    <w:rsid w:val="003A7BA6"/>
    <w:rsid w:val="003A7BCE"/>
    <w:rsid w:val="003A7C94"/>
    <w:rsid w:val="003A7C9F"/>
    <w:rsid w:val="003A7D34"/>
    <w:rsid w:val="003A7D4F"/>
    <w:rsid w:val="003A7D50"/>
    <w:rsid w:val="003A7DF5"/>
    <w:rsid w:val="003A7DFB"/>
    <w:rsid w:val="003A7EF5"/>
    <w:rsid w:val="003A7F2B"/>
    <w:rsid w:val="003A7F5E"/>
    <w:rsid w:val="003A7F7E"/>
    <w:rsid w:val="003A7F8C"/>
    <w:rsid w:val="003A7F98"/>
    <w:rsid w:val="003A7FA2"/>
    <w:rsid w:val="003B0101"/>
    <w:rsid w:val="003B014C"/>
    <w:rsid w:val="003B0181"/>
    <w:rsid w:val="003B01C3"/>
    <w:rsid w:val="003B01D4"/>
    <w:rsid w:val="003B0231"/>
    <w:rsid w:val="003B0238"/>
    <w:rsid w:val="003B0247"/>
    <w:rsid w:val="003B028E"/>
    <w:rsid w:val="003B0298"/>
    <w:rsid w:val="003B034F"/>
    <w:rsid w:val="003B0432"/>
    <w:rsid w:val="003B0454"/>
    <w:rsid w:val="003B045B"/>
    <w:rsid w:val="003B04A9"/>
    <w:rsid w:val="003B04EC"/>
    <w:rsid w:val="003B04EE"/>
    <w:rsid w:val="003B05BC"/>
    <w:rsid w:val="003B0695"/>
    <w:rsid w:val="003B070E"/>
    <w:rsid w:val="003B0733"/>
    <w:rsid w:val="003B07A4"/>
    <w:rsid w:val="003B07BB"/>
    <w:rsid w:val="003B07C4"/>
    <w:rsid w:val="003B0886"/>
    <w:rsid w:val="003B08B2"/>
    <w:rsid w:val="003B08DF"/>
    <w:rsid w:val="003B091C"/>
    <w:rsid w:val="003B0958"/>
    <w:rsid w:val="003B0A0A"/>
    <w:rsid w:val="003B0A2B"/>
    <w:rsid w:val="003B0A40"/>
    <w:rsid w:val="003B0AAB"/>
    <w:rsid w:val="003B0AEC"/>
    <w:rsid w:val="003B0AF4"/>
    <w:rsid w:val="003B0B3F"/>
    <w:rsid w:val="003B0C94"/>
    <w:rsid w:val="003B0CB8"/>
    <w:rsid w:val="003B0CC2"/>
    <w:rsid w:val="003B0D5C"/>
    <w:rsid w:val="003B0E0D"/>
    <w:rsid w:val="003B0E22"/>
    <w:rsid w:val="003B0E2D"/>
    <w:rsid w:val="003B0E4F"/>
    <w:rsid w:val="003B0E9B"/>
    <w:rsid w:val="003B0ED6"/>
    <w:rsid w:val="003B0EFA"/>
    <w:rsid w:val="003B0FB0"/>
    <w:rsid w:val="003B0FB9"/>
    <w:rsid w:val="003B109C"/>
    <w:rsid w:val="003B10AC"/>
    <w:rsid w:val="003B10E5"/>
    <w:rsid w:val="003B10EA"/>
    <w:rsid w:val="003B11B7"/>
    <w:rsid w:val="003B1204"/>
    <w:rsid w:val="003B122F"/>
    <w:rsid w:val="003B12CC"/>
    <w:rsid w:val="003B12E2"/>
    <w:rsid w:val="003B1389"/>
    <w:rsid w:val="003B141A"/>
    <w:rsid w:val="003B141F"/>
    <w:rsid w:val="003B1441"/>
    <w:rsid w:val="003B16B9"/>
    <w:rsid w:val="003B1728"/>
    <w:rsid w:val="003B1746"/>
    <w:rsid w:val="003B175F"/>
    <w:rsid w:val="003B17D9"/>
    <w:rsid w:val="003B1809"/>
    <w:rsid w:val="003B182E"/>
    <w:rsid w:val="003B183C"/>
    <w:rsid w:val="003B18BA"/>
    <w:rsid w:val="003B1957"/>
    <w:rsid w:val="003B1975"/>
    <w:rsid w:val="003B1998"/>
    <w:rsid w:val="003B19FF"/>
    <w:rsid w:val="003B1A57"/>
    <w:rsid w:val="003B1AA9"/>
    <w:rsid w:val="003B1AB4"/>
    <w:rsid w:val="003B1ABE"/>
    <w:rsid w:val="003B1B59"/>
    <w:rsid w:val="003B1C46"/>
    <w:rsid w:val="003B1D06"/>
    <w:rsid w:val="003B1D7D"/>
    <w:rsid w:val="003B1DCF"/>
    <w:rsid w:val="003B1E25"/>
    <w:rsid w:val="003B1E2E"/>
    <w:rsid w:val="003B1E4A"/>
    <w:rsid w:val="003B1E4D"/>
    <w:rsid w:val="003B1F6B"/>
    <w:rsid w:val="003B1FDF"/>
    <w:rsid w:val="003B2024"/>
    <w:rsid w:val="003B20A8"/>
    <w:rsid w:val="003B211C"/>
    <w:rsid w:val="003B218C"/>
    <w:rsid w:val="003B21B8"/>
    <w:rsid w:val="003B21D4"/>
    <w:rsid w:val="003B221C"/>
    <w:rsid w:val="003B2368"/>
    <w:rsid w:val="003B23AE"/>
    <w:rsid w:val="003B2419"/>
    <w:rsid w:val="003B242E"/>
    <w:rsid w:val="003B2446"/>
    <w:rsid w:val="003B2493"/>
    <w:rsid w:val="003B249F"/>
    <w:rsid w:val="003B24B8"/>
    <w:rsid w:val="003B2540"/>
    <w:rsid w:val="003B257C"/>
    <w:rsid w:val="003B25AF"/>
    <w:rsid w:val="003B2660"/>
    <w:rsid w:val="003B2717"/>
    <w:rsid w:val="003B278C"/>
    <w:rsid w:val="003B27D3"/>
    <w:rsid w:val="003B28F3"/>
    <w:rsid w:val="003B2903"/>
    <w:rsid w:val="003B29A6"/>
    <w:rsid w:val="003B29F9"/>
    <w:rsid w:val="003B29FF"/>
    <w:rsid w:val="003B2AA5"/>
    <w:rsid w:val="003B2AF4"/>
    <w:rsid w:val="003B2B11"/>
    <w:rsid w:val="003B2B60"/>
    <w:rsid w:val="003B2BA1"/>
    <w:rsid w:val="003B2C8B"/>
    <w:rsid w:val="003B2C96"/>
    <w:rsid w:val="003B2CB4"/>
    <w:rsid w:val="003B2D46"/>
    <w:rsid w:val="003B2D52"/>
    <w:rsid w:val="003B2D9A"/>
    <w:rsid w:val="003B2DC7"/>
    <w:rsid w:val="003B2E90"/>
    <w:rsid w:val="003B2ED9"/>
    <w:rsid w:val="003B2EDF"/>
    <w:rsid w:val="003B2FCD"/>
    <w:rsid w:val="003B2FEB"/>
    <w:rsid w:val="003B3006"/>
    <w:rsid w:val="003B302B"/>
    <w:rsid w:val="003B3197"/>
    <w:rsid w:val="003B3214"/>
    <w:rsid w:val="003B3239"/>
    <w:rsid w:val="003B3256"/>
    <w:rsid w:val="003B32CB"/>
    <w:rsid w:val="003B3366"/>
    <w:rsid w:val="003B3374"/>
    <w:rsid w:val="003B33FF"/>
    <w:rsid w:val="003B34A4"/>
    <w:rsid w:val="003B357E"/>
    <w:rsid w:val="003B35CC"/>
    <w:rsid w:val="003B3600"/>
    <w:rsid w:val="003B362C"/>
    <w:rsid w:val="003B3664"/>
    <w:rsid w:val="003B3717"/>
    <w:rsid w:val="003B372B"/>
    <w:rsid w:val="003B3788"/>
    <w:rsid w:val="003B378F"/>
    <w:rsid w:val="003B384A"/>
    <w:rsid w:val="003B38D0"/>
    <w:rsid w:val="003B38EE"/>
    <w:rsid w:val="003B38FB"/>
    <w:rsid w:val="003B3959"/>
    <w:rsid w:val="003B39BF"/>
    <w:rsid w:val="003B39F1"/>
    <w:rsid w:val="003B3A89"/>
    <w:rsid w:val="003B3B31"/>
    <w:rsid w:val="003B3B99"/>
    <w:rsid w:val="003B3C1A"/>
    <w:rsid w:val="003B3CB5"/>
    <w:rsid w:val="003B3D22"/>
    <w:rsid w:val="003B3D49"/>
    <w:rsid w:val="003B3D56"/>
    <w:rsid w:val="003B3D85"/>
    <w:rsid w:val="003B3DB1"/>
    <w:rsid w:val="003B3DBF"/>
    <w:rsid w:val="003B3DDF"/>
    <w:rsid w:val="003B3E79"/>
    <w:rsid w:val="003B3F65"/>
    <w:rsid w:val="003B3F6B"/>
    <w:rsid w:val="003B3FA3"/>
    <w:rsid w:val="003B4109"/>
    <w:rsid w:val="003B41A8"/>
    <w:rsid w:val="003B4275"/>
    <w:rsid w:val="003B4309"/>
    <w:rsid w:val="003B4362"/>
    <w:rsid w:val="003B43CF"/>
    <w:rsid w:val="003B43F2"/>
    <w:rsid w:val="003B449F"/>
    <w:rsid w:val="003B44CA"/>
    <w:rsid w:val="003B45DC"/>
    <w:rsid w:val="003B463C"/>
    <w:rsid w:val="003B4671"/>
    <w:rsid w:val="003B4690"/>
    <w:rsid w:val="003B4728"/>
    <w:rsid w:val="003B473B"/>
    <w:rsid w:val="003B47A6"/>
    <w:rsid w:val="003B47C2"/>
    <w:rsid w:val="003B4835"/>
    <w:rsid w:val="003B4973"/>
    <w:rsid w:val="003B49BB"/>
    <w:rsid w:val="003B49C8"/>
    <w:rsid w:val="003B49DD"/>
    <w:rsid w:val="003B4A49"/>
    <w:rsid w:val="003B4A90"/>
    <w:rsid w:val="003B4B2F"/>
    <w:rsid w:val="003B4B8D"/>
    <w:rsid w:val="003B4D16"/>
    <w:rsid w:val="003B4DB8"/>
    <w:rsid w:val="003B4DBE"/>
    <w:rsid w:val="003B4DFD"/>
    <w:rsid w:val="003B4EA8"/>
    <w:rsid w:val="003B4EF7"/>
    <w:rsid w:val="003B4F5E"/>
    <w:rsid w:val="003B4F7E"/>
    <w:rsid w:val="003B4FE8"/>
    <w:rsid w:val="003B4FFC"/>
    <w:rsid w:val="003B50E1"/>
    <w:rsid w:val="003B5197"/>
    <w:rsid w:val="003B51BE"/>
    <w:rsid w:val="003B51EA"/>
    <w:rsid w:val="003B5267"/>
    <w:rsid w:val="003B5302"/>
    <w:rsid w:val="003B5306"/>
    <w:rsid w:val="003B536E"/>
    <w:rsid w:val="003B5386"/>
    <w:rsid w:val="003B5398"/>
    <w:rsid w:val="003B53AA"/>
    <w:rsid w:val="003B53F4"/>
    <w:rsid w:val="003B54A1"/>
    <w:rsid w:val="003B54E1"/>
    <w:rsid w:val="003B5539"/>
    <w:rsid w:val="003B5558"/>
    <w:rsid w:val="003B5593"/>
    <w:rsid w:val="003B55D7"/>
    <w:rsid w:val="003B5695"/>
    <w:rsid w:val="003B56FB"/>
    <w:rsid w:val="003B5724"/>
    <w:rsid w:val="003B5743"/>
    <w:rsid w:val="003B57EF"/>
    <w:rsid w:val="003B58B8"/>
    <w:rsid w:val="003B590C"/>
    <w:rsid w:val="003B592B"/>
    <w:rsid w:val="003B5A1E"/>
    <w:rsid w:val="003B5A30"/>
    <w:rsid w:val="003B5ABC"/>
    <w:rsid w:val="003B5B55"/>
    <w:rsid w:val="003B5B9A"/>
    <w:rsid w:val="003B5BEA"/>
    <w:rsid w:val="003B5C46"/>
    <w:rsid w:val="003B5C98"/>
    <w:rsid w:val="003B5CC9"/>
    <w:rsid w:val="003B5CE5"/>
    <w:rsid w:val="003B5D85"/>
    <w:rsid w:val="003B5E1B"/>
    <w:rsid w:val="003B5F36"/>
    <w:rsid w:val="003B5F6A"/>
    <w:rsid w:val="003B5FA4"/>
    <w:rsid w:val="003B6001"/>
    <w:rsid w:val="003B605B"/>
    <w:rsid w:val="003B611E"/>
    <w:rsid w:val="003B61EF"/>
    <w:rsid w:val="003B62D3"/>
    <w:rsid w:val="003B62DD"/>
    <w:rsid w:val="003B630A"/>
    <w:rsid w:val="003B6330"/>
    <w:rsid w:val="003B6338"/>
    <w:rsid w:val="003B6352"/>
    <w:rsid w:val="003B635A"/>
    <w:rsid w:val="003B6394"/>
    <w:rsid w:val="003B6491"/>
    <w:rsid w:val="003B6508"/>
    <w:rsid w:val="003B6514"/>
    <w:rsid w:val="003B6565"/>
    <w:rsid w:val="003B6607"/>
    <w:rsid w:val="003B666C"/>
    <w:rsid w:val="003B6744"/>
    <w:rsid w:val="003B675C"/>
    <w:rsid w:val="003B678A"/>
    <w:rsid w:val="003B67D9"/>
    <w:rsid w:val="003B67F7"/>
    <w:rsid w:val="003B686F"/>
    <w:rsid w:val="003B6897"/>
    <w:rsid w:val="003B68A7"/>
    <w:rsid w:val="003B694B"/>
    <w:rsid w:val="003B6AEA"/>
    <w:rsid w:val="003B6B4B"/>
    <w:rsid w:val="003B6C96"/>
    <w:rsid w:val="003B6C9D"/>
    <w:rsid w:val="003B6E0E"/>
    <w:rsid w:val="003B6E6A"/>
    <w:rsid w:val="003B6E71"/>
    <w:rsid w:val="003B6EEB"/>
    <w:rsid w:val="003B6F44"/>
    <w:rsid w:val="003B6FC4"/>
    <w:rsid w:val="003B6FEE"/>
    <w:rsid w:val="003B703B"/>
    <w:rsid w:val="003B7164"/>
    <w:rsid w:val="003B71BD"/>
    <w:rsid w:val="003B7213"/>
    <w:rsid w:val="003B7305"/>
    <w:rsid w:val="003B7342"/>
    <w:rsid w:val="003B7353"/>
    <w:rsid w:val="003B738B"/>
    <w:rsid w:val="003B73B7"/>
    <w:rsid w:val="003B747F"/>
    <w:rsid w:val="003B74A9"/>
    <w:rsid w:val="003B74DE"/>
    <w:rsid w:val="003B7511"/>
    <w:rsid w:val="003B756F"/>
    <w:rsid w:val="003B771A"/>
    <w:rsid w:val="003B7740"/>
    <w:rsid w:val="003B7744"/>
    <w:rsid w:val="003B77FA"/>
    <w:rsid w:val="003B7814"/>
    <w:rsid w:val="003B78ED"/>
    <w:rsid w:val="003B7938"/>
    <w:rsid w:val="003B7943"/>
    <w:rsid w:val="003B799B"/>
    <w:rsid w:val="003B7AA2"/>
    <w:rsid w:val="003B7AE5"/>
    <w:rsid w:val="003B7BC4"/>
    <w:rsid w:val="003B7BDB"/>
    <w:rsid w:val="003B7C7B"/>
    <w:rsid w:val="003B7C82"/>
    <w:rsid w:val="003B7D53"/>
    <w:rsid w:val="003B7E08"/>
    <w:rsid w:val="003B7E71"/>
    <w:rsid w:val="003B7EB2"/>
    <w:rsid w:val="003B7EF7"/>
    <w:rsid w:val="003B7F7C"/>
    <w:rsid w:val="003C0032"/>
    <w:rsid w:val="003C00C4"/>
    <w:rsid w:val="003C012C"/>
    <w:rsid w:val="003C0147"/>
    <w:rsid w:val="003C023E"/>
    <w:rsid w:val="003C02A1"/>
    <w:rsid w:val="003C02B7"/>
    <w:rsid w:val="003C02DD"/>
    <w:rsid w:val="003C02EC"/>
    <w:rsid w:val="003C0380"/>
    <w:rsid w:val="003C03A1"/>
    <w:rsid w:val="003C040E"/>
    <w:rsid w:val="003C04B1"/>
    <w:rsid w:val="003C04D1"/>
    <w:rsid w:val="003C04DA"/>
    <w:rsid w:val="003C0511"/>
    <w:rsid w:val="003C0518"/>
    <w:rsid w:val="003C0526"/>
    <w:rsid w:val="003C0533"/>
    <w:rsid w:val="003C0559"/>
    <w:rsid w:val="003C0607"/>
    <w:rsid w:val="003C0608"/>
    <w:rsid w:val="003C060B"/>
    <w:rsid w:val="003C063E"/>
    <w:rsid w:val="003C0711"/>
    <w:rsid w:val="003C0775"/>
    <w:rsid w:val="003C0897"/>
    <w:rsid w:val="003C08BB"/>
    <w:rsid w:val="003C08CA"/>
    <w:rsid w:val="003C092B"/>
    <w:rsid w:val="003C0948"/>
    <w:rsid w:val="003C09A3"/>
    <w:rsid w:val="003C09A5"/>
    <w:rsid w:val="003C0A79"/>
    <w:rsid w:val="003C0B4F"/>
    <w:rsid w:val="003C0B52"/>
    <w:rsid w:val="003C0C23"/>
    <w:rsid w:val="003C0C9D"/>
    <w:rsid w:val="003C0CC9"/>
    <w:rsid w:val="003C0CD1"/>
    <w:rsid w:val="003C0D28"/>
    <w:rsid w:val="003C0D5A"/>
    <w:rsid w:val="003C0D7A"/>
    <w:rsid w:val="003C0DE9"/>
    <w:rsid w:val="003C0E6D"/>
    <w:rsid w:val="003C0E7B"/>
    <w:rsid w:val="003C1090"/>
    <w:rsid w:val="003C10B9"/>
    <w:rsid w:val="003C10CD"/>
    <w:rsid w:val="003C10DF"/>
    <w:rsid w:val="003C12AD"/>
    <w:rsid w:val="003C12C7"/>
    <w:rsid w:val="003C12F8"/>
    <w:rsid w:val="003C1373"/>
    <w:rsid w:val="003C13A4"/>
    <w:rsid w:val="003C145C"/>
    <w:rsid w:val="003C1490"/>
    <w:rsid w:val="003C14D8"/>
    <w:rsid w:val="003C150E"/>
    <w:rsid w:val="003C1566"/>
    <w:rsid w:val="003C15B6"/>
    <w:rsid w:val="003C15BA"/>
    <w:rsid w:val="003C168E"/>
    <w:rsid w:val="003C16F9"/>
    <w:rsid w:val="003C1755"/>
    <w:rsid w:val="003C1766"/>
    <w:rsid w:val="003C17E9"/>
    <w:rsid w:val="003C1802"/>
    <w:rsid w:val="003C1873"/>
    <w:rsid w:val="003C18F6"/>
    <w:rsid w:val="003C1903"/>
    <w:rsid w:val="003C19E7"/>
    <w:rsid w:val="003C1AEC"/>
    <w:rsid w:val="003C1B17"/>
    <w:rsid w:val="003C1B1E"/>
    <w:rsid w:val="003C1C37"/>
    <w:rsid w:val="003C1C6A"/>
    <w:rsid w:val="003C1DEE"/>
    <w:rsid w:val="003C1E34"/>
    <w:rsid w:val="003C1F50"/>
    <w:rsid w:val="003C1F52"/>
    <w:rsid w:val="003C1FB1"/>
    <w:rsid w:val="003C2033"/>
    <w:rsid w:val="003C21A6"/>
    <w:rsid w:val="003C21B4"/>
    <w:rsid w:val="003C21CE"/>
    <w:rsid w:val="003C2317"/>
    <w:rsid w:val="003C238F"/>
    <w:rsid w:val="003C243F"/>
    <w:rsid w:val="003C24C0"/>
    <w:rsid w:val="003C24EA"/>
    <w:rsid w:val="003C25BD"/>
    <w:rsid w:val="003C2623"/>
    <w:rsid w:val="003C2710"/>
    <w:rsid w:val="003C27C2"/>
    <w:rsid w:val="003C27D9"/>
    <w:rsid w:val="003C28EA"/>
    <w:rsid w:val="003C297A"/>
    <w:rsid w:val="003C2A0C"/>
    <w:rsid w:val="003C2A2B"/>
    <w:rsid w:val="003C2A84"/>
    <w:rsid w:val="003C2C5B"/>
    <w:rsid w:val="003C2CBD"/>
    <w:rsid w:val="003C2D36"/>
    <w:rsid w:val="003C2DB1"/>
    <w:rsid w:val="003C2DC9"/>
    <w:rsid w:val="003C2E46"/>
    <w:rsid w:val="003C2E73"/>
    <w:rsid w:val="003C2E75"/>
    <w:rsid w:val="003C2F4B"/>
    <w:rsid w:val="003C2FB7"/>
    <w:rsid w:val="003C3057"/>
    <w:rsid w:val="003C3198"/>
    <w:rsid w:val="003C319A"/>
    <w:rsid w:val="003C32D0"/>
    <w:rsid w:val="003C33A6"/>
    <w:rsid w:val="003C33C4"/>
    <w:rsid w:val="003C3421"/>
    <w:rsid w:val="003C358F"/>
    <w:rsid w:val="003C35A7"/>
    <w:rsid w:val="003C35F5"/>
    <w:rsid w:val="003C361A"/>
    <w:rsid w:val="003C361E"/>
    <w:rsid w:val="003C362B"/>
    <w:rsid w:val="003C3667"/>
    <w:rsid w:val="003C375C"/>
    <w:rsid w:val="003C37A4"/>
    <w:rsid w:val="003C37BB"/>
    <w:rsid w:val="003C37D2"/>
    <w:rsid w:val="003C37E8"/>
    <w:rsid w:val="003C383C"/>
    <w:rsid w:val="003C390C"/>
    <w:rsid w:val="003C397C"/>
    <w:rsid w:val="003C398B"/>
    <w:rsid w:val="003C39A8"/>
    <w:rsid w:val="003C39BD"/>
    <w:rsid w:val="003C3B16"/>
    <w:rsid w:val="003C3B3E"/>
    <w:rsid w:val="003C3C10"/>
    <w:rsid w:val="003C3DE6"/>
    <w:rsid w:val="003C3EFA"/>
    <w:rsid w:val="003C3F53"/>
    <w:rsid w:val="003C3FCC"/>
    <w:rsid w:val="003C4020"/>
    <w:rsid w:val="003C4047"/>
    <w:rsid w:val="003C40B2"/>
    <w:rsid w:val="003C4154"/>
    <w:rsid w:val="003C418E"/>
    <w:rsid w:val="003C4339"/>
    <w:rsid w:val="003C4354"/>
    <w:rsid w:val="003C439A"/>
    <w:rsid w:val="003C43BD"/>
    <w:rsid w:val="003C43DC"/>
    <w:rsid w:val="003C4439"/>
    <w:rsid w:val="003C4462"/>
    <w:rsid w:val="003C4471"/>
    <w:rsid w:val="003C44E1"/>
    <w:rsid w:val="003C4518"/>
    <w:rsid w:val="003C4523"/>
    <w:rsid w:val="003C4633"/>
    <w:rsid w:val="003C46C1"/>
    <w:rsid w:val="003C471D"/>
    <w:rsid w:val="003C47C1"/>
    <w:rsid w:val="003C484F"/>
    <w:rsid w:val="003C4913"/>
    <w:rsid w:val="003C4A12"/>
    <w:rsid w:val="003C4A64"/>
    <w:rsid w:val="003C4A91"/>
    <w:rsid w:val="003C4B72"/>
    <w:rsid w:val="003C4BCB"/>
    <w:rsid w:val="003C4BE0"/>
    <w:rsid w:val="003C4C15"/>
    <w:rsid w:val="003C4C3B"/>
    <w:rsid w:val="003C4C5B"/>
    <w:rsid w:val="003C4C7E"/>
    <w:rsid w:val="003C4D92"/>
    <w:rsid w:val="003C4DE5"/>
    <w:rsid w:val="003C4DE7"/>
    <w:rsid w:val="003C4E70"/>
    <w:rsid w:val="003C4EF3"/>
    <w:rsid w:val="003C4F05"/>
    <w:rsid w:val="003C4F26"/>
    <w:rsid w:val="003C4F35"/>
    <w:rsid w:val="003C4F4D"/>
    <w:rsid w:val="003C51B4"/>
    <w:rsid w:val="003C51BF"/>
    <w:rsid w:val="003C51DB"/>
    <w:rsid w:val="003C5245"/>
    <w:rsid w:val="003C524F"/>
    <w:rsid w:val="003C5252"/>
    <w:rsid w:val="003C52A0"/>
    <w:rsid w:val="003C52AB"/>
    <w:rsid w:val="003C5392"/>
    <w:rsid w:val="003C5440"/>
    <w:rsid w:val="003C54E6"/>
    <w:rsid w:val="003C5571"/>
    <w:rsid w:val="003C5590"/>
    <w:rsid w:val="003C5639"/>
    <w:rsid w:val="003C5649"/>
    <w:rsid w:val="003C57C3"/>
    <w:rsid w:val="003C57F3"/>
    <w:rsid w:val="003C582E"/>
    <w:rsid w:val="003C59C3"/>
    <w:rsid w:val="003C59C8"/>
    <w:rsid w:val="003C59C9"/>
    <w:rsid w:val="003C59CF"/>
    <w:rsid w:val="003C59FB"/>
    <w:rsid w:val="003C5A76"/>
    <w:rsid w:val="003C5ABB"/>
    <w:rsid w:val="003C5B7A"/>
    <w:rsid w:val="003C5BB8"/>
    <w:rsid w:val="003C5EAB"/>
    <w:rsid w:val="003C5F2B"/>
    <w:rsid w:val="003C5F8B"/>
    <w:rsid w:val="003C5FD1"/>
    <w:rsid w:val="003C5FED"/>
    <w:rsid w:val="003C608C"/>
    <w:rsid w:val="003C60D7"/>
    <w:rsid w:val="003C60F9"/>
    <w:rsid w:val="003C60FE"/>
    <w:rsid w:val="003C6117"/>
    <w:rsid w:val="003C612C"/>
    <w:rsid w:val="003C619C"/>
    <w:rsid w:val="003C62DC"/>
    <w:rsid w:val="003C62F2"/>
    <w:rsid w:val="003C6384"/>
    <w:rsid w:val="003C63D0"/>
    <w:rsid w:val="003C63F9"/>
    <w:rsid w:val="003C64AC"/>
    <w:rsid w:val="003C64D4"/>
    <w:rsid w:val="003C652F"/>
    <w:rsid w:val="003C65BE"/>
    <w:rsid w:val="003C65E7"/>
    <w:rsid w:val="003C6822"/>
    <w:rsid w:val="003C6844"/>
    <w:rsid w:val="003C6919"/>
    <w:rsid w:val="003C6959"/>
    <w:rsid w:val="003C6A18"/>
    <w:rsid w:val="003C6ACA"/>
    <w:rsid w:val="003C6B09"/>
    <w:rsid w:val="003C6C4F"/>
    <w:rsid w:val="003C6D20"/>
    <w:rsid w:val="003C6D4E"/>
    <w:rsid w:val="003C6EC0"/>
    <w:rsid w:val="003C6EC2"/>
    <w:rsid w:val="003C6EED"/>
    <w:rsid w:val="003C6F3F"/>
    <w:rsid w:val="003C6F80"/>
    <w:rsid w:val="003C729E"/>
    <w:rsid w:val="003C72D6"/>
    <w:rsid w:val="003C72F3"/>
    <w:rsid w:val="003C73DE"/>
    <w:rsid w:val="003C7420"/>
    <w:rsid w:val="003C7450"/>
    <w:rsid w:val="003C74A1"/>
    <w:rsid w:val="003C74D4"/>
    <w:rsid w:val="003C7531"/>
    <w:rsid w:val="003C7569"/>
    <w:rsid w:val="003C761B"/>
    <w:rsid w:val="003C76CE"/>
    <w:rsid w:val="003C7735"/>
    <w:rsid w:val="003C774C"/>
    <w:rsid w:val="003C778C"/>
    <w:rsid w:val="003C77CF"/>
    <w:rsid w:val="003C789F"/>
    <w:rsid w:val="003C78D4"/>
    <w:rsid w:val="003C7AF1"/>
    <w:rsid w:val="003C7B08"/>
    <w:rsid w:val="003C7B38"/>
    <w:rsid w:val="003C7C68"/>
    <w:rsid w:val="003C7D04"/>
    <w:rsid w:val="003C7D9A"/>
    <w:rsid w:val="003C7F29"/>
    <w:rsid w:val="003D0018"/>
    <w:rsid w:val="003D001C"/>
    <w:rsid w:val="003D00A0"/>
    <w:rsid w:val="003D0141"/>
    <w:rsid w:val="003D01DE"/>
    <w:rsid w:val="003D01E2"/>
    <w:rsid w:val="003D021D"/>
    <w:rsid w:val="003D0270"/>
    <w:rsid w:val="003D028D"/>
    <w:rsid w:val="003D029E"/>
    <w:rsid w:val="003D030C"/>
    <w:rsid w:val="003D0331"/>
    <w:rsid w:val="003D0356"/>
    <w:rsid w:val="003D0399"/>
    <w:rsid w:val="003D03A7"/>
    <w:rsid w:val="003D0443"/>
    <w:rsid w:val="003D0482"/>
    <w:rsid w:val="003D0546"/>
    <w:rsid w:val="003D0565"/>
    <w:rsid w:val="003D058F"/>
    <w:rsid w:val="003D0610"/>
    <w:rsid w:val="003D0669"/>
    <w:rsid w:val="003D0676"/>
    <w:rsid w:val="003D070C"/>
    <w:rsid w:val="003D07D3"/>
    <w:rsid w:val="003D07F9"/>
    <w:rsid w:val="003D08A1"/>
    <w:rsid w:val="003D093A"/>
    <w:rsid w:val="003D09B9"/>
    <w:rsid w:val="003D0A0D"/>
    <w:rsid w:val="003D0A69"/>
    <w:rsid w:val="003D0A83"/>
    <w:rsid w:val="003D0AE3"/>
    <w:rsid w:val="003D0B6B"/>
    <w:rsid w:val="003D0B9F"/>
    <w:rsid w:val="003D0CF5"/>
    <w:rsid w:val="003D0D1E"/>
    <w:rsid w:val="003D0D7D"/>
    <w:rsid w:val="003D0D94"/>
    <w:rsid w:val="003D0FD1"/>
    <w:rsid w:val="003D1019"/>
    <w:rsid w:val="003D105C"/>
    <w:rsid w:val="003D105D"/>
    <w:rsid w:val="003D11BB"/>
    <w:rsid w:val="003D11E9"/>
    <w:rsid w:val="003D127C"/>
    <w:rsid w:val="003D12D9"/>
    <w:rsid w:val="003D12DE"/>
    <w:rsid w:val="003D130D"/>
    <w:rsid w:val="003D1408"/>
    <w:rsid w:val="003D1485"/>
    <w:rsid w:val="003D14D1"/>
    <w:rsid w:val="003D14E0"/>
    <w:rsid w:val="003D1629"/>
    <w:rsid w:val="003D16EC"/>
    <w:rsid w:val="003D189D"/>
    <w:rsid w:val="003D18ED"/>
    <w:rsid w:val="003D1A56"/>
    <w:rsid w:val="003D1A85"/>
    <w:rsid w:val="003D1B01"/>
    <w:rsid w:val="003D1C1E"/>
    <w:rsid w:val="003D1C6E"/>
    <w:rsid w:val="003D1CBF"/>
    <w:rsid w:val="003D1CF1"/>
    <w:rsid w:val="003D1EDC"/>
    <w:rsid w:val="003D1EDF"/>
    <w:rsid w:val="003D1FBE"/>
    <w:rsid w:val="003D1FCD"/>
    <w:rsid w:val="003D2027"/>
    <w:rsid w:val="003D206A"/>
    <w:rsid w:val="003D20CE"/>
    <w:rsid w:val="003D2111"/>
    <w:rsid w:val="003D213C"/>
    <w:rsid w:val="003D2180"/>
    <w:rsid w:val="003D2195"/>
    <w:rsid w:val="003D2253"/>
    <w:rsid w:val="003D22BC"/>
    <w:rsid w:val="003D2303"/>
    <w:rsid w:val="003D2343"/>
    <w:rsid w:val="003D2363"/>
    <w:rsid w:val="003D238F"/>
    <w:rsid w:val="003D2405"/>
    <w:rsid w:val="003D247D"/>
    <w:rsid w:val="003D2488"/>
    <w:rsid w:val="003D2531"/>
    <w:rsid w:val="003D2546"/>
    <w:rsid w:val="003D25E5"/>
    <w:rsid w:val="003D25FF"/>
    <w:rsid w:val="003D264F"/>
    <w:rsid w:val="003D2674"/>
    <w:rsid w:val="003D26E8"/>
    <w:rsid w:val="003D2773"/>
    <w:rsid w:val="003D277C"/>
    <w:rsid w:val="003D277D"/>
    <w:rsid w:val="003D279A"/>
    <w:rsid w:val="003D284B"/>
    <w:rsid w:val="003D2859"/>
    <w:rsid w:val="003D28E1"/>
    <w:rsid w:val="003D28F4"/>
    <w:rsid w:val="003D2939"/>
    <w:rsid w:val="003D2976"/>
    <w:rsid w:val="003D29CC"/>
    <w:rsid w:val="003D29D6"/>
    <w:rsid w:val="003D29D8"/>
    <w:rsid w:val="003D2A20"/>
    <w:rsid w:val="003D2AEE"/>
    <w:rsid w:val="003D2B27"/>
    <w:rsid w:val="003D2B51"/>
    <w:rsid w:val="003D2BC4"/>
    <w:rsid w:val="003D2BCF"/>
    <w:rsid w:val="003D2C00"/>
    <w:rsid w:val="003D2C24"/>
    <w:rsid w:val="003D2C72"/>
    <w:rsid w:val="003D2C92"/>
    <w:rsid w:val="003D2D69"/>
    <w:rsid w:val="003D2DEC"/>
    <w:rsid w:val="003D2EB2"/>
    <w:rsid w:val="003D2EC1"/>
    <w:rsid w:val="003D2FAF"/>
    <w:rsid w:val="003D300F"/>
    <w:rsid w:val="003D302A"/>
    <w:rsid w:val="003D3091"/>
    <w:rsid w:val="003D30CB"/>
    <w:rsid w:val="003D3146"/>
    <w:rsid w:val="003D3185"/>
    <w:rsid w:val="003D31FC"/>
    <w:rsid w:val="003D3212"/>
    <w:rsid w:val="003D328E"/>
    <w:rsid w:val="003D32F6"/>
    <w:rsid w:val="003D3341"/>
    <w:rsid w:val="003D34E2"/>
    <w:rsid w:val="003D34ED"/>
    <w:rsid w:val="003D3511"/>
    <w:rsid w:val="003D35CD"/>
    <w:rsid w:val="003D360D"/>
    <w:rsid w:val="003D36BB"/>
    <w:rsid w:val="003D36D3"/>
    <w:rsid w:val="003D3733"/>
    <w:rsid w:val="003D3764"/>
    <w:rsid w:val="003D37F5"/>
    <w:rsid w:val="003D387C"/>
    <w:rsid w:val="003D38AB"/>
    <w:rsid w:val="003D38C4"/>
    <w:rsid w:val="003D3929"/>
    <w:rsid w:val="003D3986"/>
    <w:rsid w:val="003D39AB"/>
    <w:rsid w:val="003D3B2C"/>
    <w:rsid w:val="003D3B88"/>
    <w:rsid w:val="003D3BE4"/>
    <w:rsid w:val="003D3C60"/>
    <w:rsid w:val="003D3C8F"/>
    <w:rsid w:val="003D3D04"/>
    <w:rsid w:val="003D3F0D"/>
    <w:rsid w:val="003D3F37"/>
    <w:rsid w:val="003D4014"/>
    <w:rsid w:val="003D4092"/>
    <w:rsid w:val="003D4128"/>
    <w:rsid w:val="003D4131"/>
    <w:rsid w:val="003D4192"/>
    <w:rsid w:val="003D41AC"/>
    <w:rsid w:val="003D41B8"/>
    <w:rsid w:val="003D41D0"/>
    <w:rsid w:val="003D41D3"/>
    <w:rsid w:val="003D425C"/>
    <w:rsid w:val="003D4272"/>
    <w:rsid w:val="003D4281"/>
    <w:rsid w:val="003D428D"/>
    <w:rsid w:val="003D429C"/>
    <w:rsid w:val="003D42D8"/>
    <w:rsid w:val="003D42F6"/>
    <w:rsid w:val="003D43F1"/>
    <w:rsid w:val="003D4426"/>
    <w:rsid w:val="003D44C3"/>
    <w:rsid w:val="003D44DB"/>
    <w:rsid w:val="003D4501"/>
    <w:rsid w:val="003D4516"/>
    <w:rsid w:val="003D45A6"/>
    <w:rsid w:val="003D46CD"/>
    <w:rsid w:val="003D4767"/>
    <w:rsid w:val="003D480A"/>
    <w:rsid w:val="003D483C"/>
    <w:rsid w:val="003D483E"/>
    <w:rsid w:val="003D4841"/>
    <w:rsid w:val="003D4863"/>
    <w:rsid w:val="003D488D"/>
    <w:rsid w:val="003D4927"/>
    <w:rsid w:val="003D492A"/>
    <w:rsid w:val="003D497E"/>
    <w:rsid w:val="003D49A3"/>
    <w:rsid w:val="003D4A5D"/>
    <w:rsid w:val="003D4A8C"/>
    <w:rsid w:val="003D4AD8"/>
    <w:rsid w:val="003D4B31"/>
    <w:rsid w:val="003D4C18"/>
    <w:rsid w:val="003D4C1C"/>
    <w:rsid w:val="003D4C4C"/>
    <w:rsid w:val="003D4CCC"/>
    <w:rsid w:val="003D4D2D"/>
    <w:rsid w:val="003D4DA4"/>
    <w:rsid w:val="003D4EB3"/>
    <w:rsid w:val="003D4EB7"/>
    <w:rsid w:val="003D4F39"/>
    <w:rsid w:val="003D4F42"/>
    <w:rsid w:val="003D4FD8"/>
    <w:rsid w:val="003D5007"/>
    <w:rsid w:val="003D5142"/>
    <w:rsid w:val="003D514C"/>
    <w:rsid w:val="003D515B"/>
    <w:rsid w:val="003D5166"/>
    <w:rsid w:val="003D5188"/>
    <w:rsid w:val="003D523A"/>
    <w:rsid w:val="003D5272"/>
    <w:rsid w:val="003D52CB"/>
    <w:rsid w:val="003D52DC"/>
    <w:rsid w:val="003D5359"/>
    <w:rsid w:val="003D537D"/>
    <w:rsid w:val="003D5381"/>
    <w:rsid w:val="003D53DB"/>
    <w:rsid w:val="003D53FB"/>
    <w:rsid w:val="003D5493"/>
    <w:rsid w:val="003D54D1"/>
    <w:rsid w:val="003D54D2"/>
    <w:rsid w:val="003D5567"/>
    <w:rsid w:val="003D5640"/>
    <w:rsid w:val="003D56F7"/>
    <w:rsid w:val="003D574C"/>
    <w:rsid w:val="003D5770"/>
    <w:rsid w:val="003D57DA"/>
    <w:rsid w:val="003D57E4"/>
    <w:rsid w:val="003D57F8"/>
    <w:rsid w:val="003D5833"/>
    <w:rsid w:val="003D5838"/>
    <w:rsid w:val="003D584C"/>
    <w:rsid w:val="003D588F"/>
    <w:rsid w:val="003D5919"/>
    <w:rsid w:val="003D593A"/>
    <w:rsid w:val="003D597B"/>
    <w:rsid w:val="003D5994"/>
    <w:rsid w:val="003D59D0"/>
    <w:rsid w:val="003D59F0"/>
    <w:rsid w:val="003D5A84"/>
    <w:rsid w:val="003D5AB9"/>
    <w:rsid w:val="003D5B25"/>
    <w:rsid w:val="003D5B7B"/>
    <w:rsid w:val="003D5BB3"/>
    <w:rsid w:val="003D5D4A"/>
    <w:rsid w:val="003D5D74"/>
    <w:rsid w:val="003D5D76"/>
    <w:rsid w:val="003D5DD4"/>
    <w:rsid w:val="003D5EE4"/>
    <w:rsid w:val="003D5F08"/>
    <w:rsid w:val="003D5FE5"/>
    <w:rsid w:val="003D600B"/>
    <w:rsid w:val="003D60B0"/>
    <w:rsid w:val="003D60CF"/>
    <w:rsid w:val="003D629B"/>
    <w:rsid w:val="003D6442"/>
    <w:rsid w:val="003D6481"/>
    <w:rsid w:val="003D64A2"/>
    <w:rsid w:val="003D64BE"/>
    <w:rsid w:val="003D6513"/>
    <w:rsid w:val="003D6565"/>
    <w:rsid w:val="003D656F"/>
    <w:rsid w:val="003D6619"/>
    <w:rsid w:val="003D6672"/>
    <w:rsid w:val="003D6722"/>
    <w:rsid w:val="003D678F"/>
    <w:rsid w:val="003D6790"/>
    <w:rsid w:val="003D6811"/>
    <w:rsid w:val="003D6871"/>
    <w:rsid w:val="003D6978"/>
    <w:rsid w:val="003D697F"/>
    <w:rsid w:val="003D6A3B"/>
    <w:rsid w:val="003D6A3C"/>
    <w:rsid w:val="003D6AA5"/>
    <w:rsid w:val="003D6ABF"/>
    <w:rsid w:val="003D6AEB"/>
    <w:rsid w:val="003D6AF9"/>
    <w:rsid w:val="003D6B36"/>
    <w:rsid w:val="003D6B7E"/>
    <w:rsid w:val="003D6B9D"/>
    <w:rsid w:val="003D6BD7"/>
    <w:rsid w:val="003D6C19"/>
    <w:rsid w:val="003D6CCD"/>
    <w:rsid w:val="003D6DC6"/>
    <w:rsid w:val="003D6E28"/>
    <w:rsid w:val="003D6ECC"/>
    <w:rsid w:val="003D6F6F"/>
    <w:rsid w:val="003D708D"/>
    <w:rsid w:val="003D70A6"/>
    <w:rsid w:val="003D71E8"/>
    <w:rsid w:val="003D7209"/>
    <w:rsid w:val="003D7215"/>
    <w:rsid w:val="003D725B"/>
    <w:rsid w:val="003D729F"/>
    <w:rsid w:val="003D72B7"/>
    <w:rsid w:val="003D7306"/>
    <w:rsid w:val="003D7371"/>
    <w:rsid w:val="003D7385"/>
    <w:rsid w:val="003D73B1"/>
    <w:rsid w:val="003D73F7"/>
    <w:rsid w:val="003D73FD"/>
    <w:rsid w:val="003D7416"/>
    <w:rsid w:val="003D743C"/>
    <w:rsid w:val="003D7460"/>
    <w:rsid w:val="003D7487"/>
    <w:rsid w:val="003D748F"/>
    <w:rsid w:val="003D74FA"/>
    <w:rsid w:val="003D770C"/>
    <w:rsid w:val="003D776D"/>
    <w:rsid w:val="003D779E"/>
    <w:rsid w:val="003D77B2"/>
    <w:rsid w:val="003D7865"/>
    <w:rsid w:val="003D7A02"/>
    <w:rsid w:val="003D7A05"/>
    <w:rsid w:val="003D7A44"/>
    <w:rsid w:val="003D7ACD"/>
    <w:rsid w:val="003D7B1E"/>
    <w:rsid w:val="003D7B5A"/>
    <w:rsid w:val="003D7B80"/>
    <w:rsid w:val="003D7B8A"/>
    <w:rsid w:val="003D7BB8"/>
    <w:rsid w:val="003D7BE8"/>
    <w:rsid w:val="003D7CDA"/>
    <w:rsid w:val="003D7D0F"/>
    <w:rsid w:val="003D7D45"/>
    <w:rsid w:val="003D7E4C"/>
    <w:rsid w:val="003D7EB9"/>
    <w:rsid w:val="003D7EBF"/>
    <w:rsid w:val="003D7F01"/>
    <w:rsid w:val="003D7F2B"/>
    <w:rsid w:val="003D7F88"/>
    <w:rsid w:val="003D7F99"/>
    <w:rsid w:val="003D7FAE"/>
    <w:rsid w:val="003E0006"/>
    <w:rsid w:val="003E0105"/>
    <w:rsid w:val="003E017F"/>
    <w:rsid w:val="003E02F2"/>
    <w:rsid w:val="003E03B4"/>
    <w:rsid w:val="003E046C"/>
    <w:rsid w:val="003E0516"/>
    <w:rsid w:val="003E0546"/>
    <w:rsid w:val="003E0603"/>
    <w:rsid w:val="003E06AF"/>
    <w:rsid w:val="003E06D2"/>
    <w:rsid w:val="003E0710"/>
    <w:rsid w:val="003E072E"/>
    <w:rsid w:val="003E0733"/>
    <w:rsid w:val="003E0750"/>
    <w:rsid w:val="003E0760"/>
    <w:rsid w:val="003E0761"/>
    <w:rsid w:val="003E08CE"/>
    <w:rsid w:val="003E08E4"/>
    <w:rsid w:val="003E0A3E"/>
    <w:rsid w:val="003E0A43"/>
    <w:rsid w:val="003E0A5C"/>
    <w:rsid w:val="003E0C26"/>
    <w:rsid w:val="003E0C65"/>
    <w:rsid w:val="003E0CC3"/>
    <w:rsid w:val="003E0D10"/>
    <w:rsid w:val="003E0DAF"/>
    <w:rsid w:val="003E0DD4"/>
    <w:rsid w:val="003E0DE1"/>
    <w:rsid w:val="003E0DE6"/>
    <w:rsid w:val="003E0F38"/>
    <w:rsid w:val="003E0F40"/>
    <w:rsid w:val="003E0F78"/>
    <w:rsid w:val="003E0FB5"/>
    <w:rsid w:val="003E1039"/>
    <w:rsid w:val="003E1055"/>
    <w:rsid w:val="003E10FC"/>
    <w:rsid w:val="003E10FD"/>
    <w:rsid w:val="003E116F"/>
    <w:rsid w:val="003E121F"/>
    <w:rsid w:val="003E1230"/>
    <w:rsid w:val="003E1247"/>
    <w:rsid w:val="003E1248"/>
    <w:rsid w:val="003E129F"/>
    <w:rsid w:val="003E12FB"/>
    <w:rsid w:val="003E1308"/>
    <w:rsid w:val="003E13BD"/>
    <w:rsid w:val="003E1545"/>
    <w:rsid w:val="003E15DF"/>
    <w:rsid w:val="003E15E1"/>
    <w:rsid w:val="003E1677"/>
    <w:rsid w:val="003E16D5"/>
    <w:rsid w:val="003E1716"/>
    <w:rsid w:val="003E175D"/>
    <w:rsid w:val="003E17FF"/>
    <w:rsid w:val="003E1803"/>
    <w:rsid w:val="003E1847"/>
    <w:rsid w:val="003E1870"/>
    <w:rsid w:val="003E187D"/>
    <w:rsid w:val="003E18C1"/>
    <w:rsid w:val="003E195E"/>
    <w:rsid w:val="003E1A0C"/>
    <w:rsid w:val="003E1A90"/>
    <w:rsid w:val="003E1ACB"/>
    <w:rsid w:val="003E1B28"/>
    <w:rsid w:val="003E1B95"/>
    <w:rsid w:val="003E1BD6"/>
    <w:rsid w:val="003E1C03"/>
    <w:rsid w:val="003E1C06"/>
    <w:rsid w:val="003E1C84"/>
    <w:rsid w:val="003E1CDD"/>
    <w:rsid w:val="003E1D48"/>
    <w:rsid w:val="003E1D4B"/>
    <w:rsid w:val="003E1D6B"/>
    <w:rsid w:val="003E1DA6"/>
    <w:rsid w:val="003E1E93"/>
    <w:rsid w:val="003E1EFE"/>
    <w:rsid w:val="003E1F22"/>
    <w:rsid w:val="003E1F6B"/>
    <w:rsid w:val="003E205E"/>
    <w:rsid w:val="003E2115"/>
    <w:rsid w:val="003E212E"/>
    <w:rsid w:val="003E21B8"/>
    <w:rsid w:val="003E21DF"/>
    <w:rsid w:val="003E21E3"/>
    <w:rsid w:val="003E22A8"/>
    <w:rsid w:val="003E2311"/>
    <w:rsid w:val="003E2373"/>
    <w:rsid w:val="003E238E"/>
    <w:rsid w:val="003E2393"/>
    <w:rsid w:val="003E23A3"/>
    <w:rsid w:val="003E2404"/>
    <w:rsid w:val="003E251D"/>
    <w:rsid w:val="003E2660"/>
    <w:rsid w:val="003E27BC"/>
    <w:rsid w:val="003E27EA"/>
    <w:rsid w:val="003E2824"/>
    <w:rsid w:val="003E2851"/>
    <w:rsid w:val="003E2879"/>
    <w:rsid w:val="003E28C9"/>
    <w:rsid w:val="003E28CF"/>
    <w:rsid w:val="003E290F"/>
    <w:rsid w:val="003E2A10"/>
    <w:rsid w:val="003E2B86"/>
    <w:rsid w:val="003E2B8E"/>
    <w:rsid w:val="003E2C44"/>
    <w:rsid w:val="003E2C7A"/>
    <w:rsid w:val="003E2DD2"/>
    <w:rsid w:val="003E2DE8"/>
    <w:rsid w:val="003E2E37"/>
    <w:rsid w:val="003E2E46"/>
    <w:rsid w:val="003E2EAA"/>
    <w:rsid w:val="003E300A"/>
    <w:rsid w:val="003E3048"/>
    <w:rsid w:val="003E30D6"/>
    <w:rsid w:val="003E31A8"/>
    <w:rsid w:val="003E3208"/>
    <w:rsid w:val="003E324F"/>
    <w:rsid w:val="003E3289"/>
    <w:rsid w:val="003E32EB"/>
    <w:rsid w:val="003E3445"/>
    <w:rsid w:val="003E34BE"/>
    <w:rsid w:val="003E352A"/>
    <w:rsid w:val="003E3548"/>
    <w:rsid w:val="003E3561"/>
    <w:rsid w:val="003E35F5"/>
    <w:rsid w:val="003E36D8"/>
    <w:rsid w:val="003E36EC"/>
    <w:rsid w:val="003E36F2"/>
    <w:rsid w:val="003E3742"/>
    <w:rsid w:val="003E3748"/>
    <w:rsid w:val="003E3792"/>
    <w:rsid w:val="003E3841"/>
    <w:rsid w:val="003E3863"/>
    <w:rsid w:val="003E38F5"/>
    <w:rsid w:val="003E391D"/>
    <w:rsid w:val="003E398B"/>
    <w:rsid w:val="003E39E4"/>
    <w:rsid w:val="003E3A4F"/>
    <w:rsid w:val="003E3A56"/>
    <w:rsid w:val="003E3B2E"/>
    <w:rsid w:val="003E3BD2"/>
    <w:rsid w:val="003E3C35"/>
    <w:rsid w:val="003E3D09"/>
    <w:rsid w:val="003E3D8A"/>
    <w:rsid w:val="003E3DBF"/>
    <w:rsid w:val="003E3E0B"/>
    <w:rsid w:val="003E3E25"/>
    <w:rsid w:val="003E3E87"/>
    <w:rsid w:val="003E3E92"/>
    <w:rsid w:val="003E3EB5"/>
    <w:rsid w:val="003E3EDF"/>
    <w:rsid w:val="003E3F9D"/>
    <w:rsid w:val="003E40A3"/>
    <w:rsid w:val="003E40B3"/>
    <w:rsid w:val="003E40C5"/>
    <w:rsid w:val="003E4164"/>
    <w:rsid w:val="003E4169"/>
    <w:rsid w:val="003E41AD"/>
    <w:rsid w:val="003E41EA"/>
    <w:rsid w:val="003E4228"/>
    <w:rsid w:val="003E422B"/>
    <w:rsid w:val="003E424E"/>
    <w:rsid w:val="003E42F7"/>
    <w:rsid w:val="003E43D4"/>
    <w:rsid w:val="003E43DD"/>
    <w:rsid w:val="003E43DE"/>
    <w:rsid w:val="003E4408"/>
    <w:rsid w:val="003E442A"/>
    <w:rsid w:val="003E4461"/>
    <w:rsid w:val="003E4494"/>
    <w:rsid w:val="003E44BC"/>
    <w:rsid w:val="003E44CA"/>
    <w:rsid w:val="003E4586"/>
    <w:rsid w:val="003E4601"/>
    <w:rsid w:val="003E4612"/>
    <w:rsid w:val="003E461B"/>
    <w:rsid w:val="003E464E"/>
    <w:rsid w:val="003E4656"/>
    <w:rsid w:val="003E471F"/>
    <w:rsid w:val="003E4859"/>
    <w:rsid w:val="003E4966"/>
    <w:rsid w:val="003E4A4B"/>
    <w:rsid w:val="003E4A69"/>
    <w:rsid w:val="003E4B3B"/>
    <w:rsid w:val="003E4CC5"/>
    <w:rsid w:val="003E4DE6"/>
    <w:rsid w:val="003E4E25"/>
    <w:rsid w:val="003E4E7A"/>
    <w:rsid w:val="003E4F79"/>
    <w:rsid w:val="003E4FBA"/>
    <w:rsid w:val="003E4FCE"/>
    <w:rsid w:val="003E5060"/>
    <w:rsid w:val="003E5077"/>
    <w:rsid w:val="003E5111"/>
    <w:rsid w:val="003E5128"/>
    <w:rsid w:val="003E515B"/>
    <w:rsid w:val="003E51D3"/>
    <w:rsid w:val="003E51DE"/>
    <w:rsid w:val="003E5250"/>
    <w:rsid w:val="003E5292"/>
    <w:rsid w:val="003E52E5"/>
    <w:rsid w:val="003E546C"/>
    <w:rsid w:val="003E5522"/>
    <w:rsid w:val="003E552B"/>
    <w:rsid w:val="003E55D7"/>
    <w:rsid w:val="003E5603"/>
    <w:rsid w:val="003E564C"/>
    <w:rsid w:val="003E566E"/>
    <w:rsid w:val="003E5699"/>
    <w:rsid w:val="003E5775"/>
    <w:rsid w:val="003E57BC"/>
    <w:rsid w:val="003E5801"/>
    <w:rsid w:val="003E58BA"/>
    <w:rsid w:val="003E58E1"/>
    <w:rsid w:val="003E5977"/>
    <w:rsid w:val="003E59CC"/>
    <w:rsid w:val="003E59EB"/>
    <w:rsid w:val="003E59F7"/>
    <w:rsid w:val="003E5ACC"/>
    <w:rsid w:val="003E5BA3"/>
    <w:rsid w:val="003E5C40"/>
    <w:rsid w:val="003E5C87"/>
    <w:rsid w:val="003E5D47"/>
    <w:rsid w:val="003E5D90"/>
    <w:rsid w:val="003E5DD5"/>
    <w:rsid w:val="003E5E07"/>
    <w:rsid w:val="003E5F35"/>
    <w:rsid w:val="003E5FD9"/>
    <w:rsid w:val="003E6028"/>
    <w:rsid w:val="003E607A"/>
    <w:rsid w:val="003E607B"/>
    <w:rsid w:val="003E607C"/>
    <w:rsid w:val="003E612B"/>
    <w:rsid w:val="003E618B"/>
    <w:rsid w:val="003E61A8"/>
    <w:rsid w:val="003E61B5"/>
    <w:rsid w:val="003E61D5"/>
    <w:rsid w:val="003E61F3"/>
    <w:rsid w:val="003E624B"/>
    <w:rsid w:val="003E6413"/>
    <w:rsid w:val="003E653D"/>
    <w:rsid w:val="003E6617"/>
    <w:rsid w:val="003E6644"/>
    <w:rsid w:val="003E6755"/>
    <w:rsid w:val="003E67FF"/>
    <w:rsid w:val="003E6816"/>
    <w:rsid w:val="003E6868"/>
    <w:rsid w:val="003E68E5"/>
    <w:rsid w:val="003E692C"/>
    <w:rsid w:val="003E6948"/>
    <w:rsid w:val="003E69CC"/>
    <w:rsid w:val="003E6A4D"/>
    <w:rsid w:val="003E6ACB"/>
    <w:rsid w:val="003E6C32"/>
    <w:rsid w:val="003E6C89"/>
    <w:rsid w:val="003E6C97"/>
    <w:rsid w:val="003E6CCE"/>
    <w:rsid w:val="003E6D1E"/>
    <w:rsid w:val="003E6D38"/>
    <w:rsid w:val="003E6D59"/>
    <w:rsid w:val="003E6DCA"/>
    <w:rsid w:val="003E6DD8"/>
    <w:rsid w:val="003E6F88"/>
    <w:rsid w:val="003E6FF3"/>
    <w:rsid w:val="003E703D"/>
    <w:rsid w:val="003E7076"/>
    <w:rsid w:val="003E70D4"/>
    <w:rsid w:val="003E728E"/>
    <w:rsid w:val="003E72B7"/>
    <w:rsid w:val="003E72BC"/>
    <w:rsid w:val="003E72BE"/>
    <w:rsid w:val="003E7308"/>
    <w:rsid w:val="003E733D"/>
    <w:rsid w:val="003E7352"/>
    <w:rsid w:val="003E736B"/>
    <w:rsid w:val="003E73A4"/>
    <w:rsid w:val="003E74A4"/>
    <w:rsid w:val="003E751D"/>
    <w:rsid w:val="003E7530"/>
    <w:rsid w:val="003E7545"/>
    <w:rsid w:val="003E759F"/>
    <w:rsid w:val="003E7631"/>
    <w:rsid w:val="003E7645"/>
    <w:rsid w:val="003E76F8"/>
    <w:rsid w:val="003E771B"/>
    <w:rsid w:val="003E7773"/>
    <w:rsid w:val="003E77AB"/>
    <w:rsid w:val="003E7836"/>
    <w:rsid w:val="003E7857"/>
    <w:rsid w:val="003E786B"/>
    <w:rsid w:val="003E7872"/>
    <w:rsid w:val="003E79CD"/>
    <w:rsid w:val="003E7A0C"/>
    <w:rsid w:val="003E7A12"/>
    <w:rsid w:val="003E7B24"/>
    <w:rsid w:val="003E7B48"/>
    <w:rsid w:val="003E7BE5"/>
    <w:rsid w:val="003E7BF2"/>
    <w:rsid w:val="003E7C4D"/>
    <w:rsid w:val="003E7CA2"/>
    <w:rsid w:val="003E7CBD"/>
    <w:rsid w:val="003E7CF4"/>
    <w:rsid w:val="003E7D02"/>
    <w:rsid w:val="003E7D15"/>
    <w:rsid w:val="003E7DC5"/>
    <w:rsid w:val="003E7E12"/>
    <w:rsid w:val="003E7E8F"/>
    <w:rsid w:val="003E7EBF"/>
    <w:rsid w:val="003E7FD9"/>
    <w:rsid w:val="003F004A"/>
    <w:rsid w:val="003F0089"/>
    <w:rsid w:val="003F009E"/>
    <w:rsid w:val="003F00CF"/>
    <w:rsid w:val="003F0118"/>
    <w:rsid w:val="003F0169"/>
    <w:rsid w:val="003F0234"/>
    <w:rsid w:val="003F037D"/>
    <w:rsid w:val="003F0407"/>
    <w:rsid w:val="003F041E"/>
    <w:rsid w:val="003F04CC"/>
    <w:rsid w:val="003F0516"/>
    <w:rsid w:val="003F052D"/>
    <w:rsid w:val="003F0578"/>
    <w:rsid w:val="003F05D2"/>
    <w:rsid w:val="003F068E"/>
    <w:rsid w:val="003F0717"/>
    <w:rsid w:val="003F076D"/>
    <w:rsid w:val="003F07DD"/>
    <w:rsid w:val="003F0836"/>
    <w:rsid w:val="003F087D"/>
    <w:rsid w:val="003F0988"/>
    <w:rsid w:val="003F09B1"/>
    <w:rsid w:val="003F09C1"/>
    <w:rsid w:val="003F09E1"/>
    <w:rsid w:val="003F0A0B"/>
    <w:rsid w:val="003F0A0C"/>
    <w:rsid w:val="003F0A62"/>
    <w:rsid w:val="003F0AD7"/>
    <w:rsid w:val="003F0B3D"/>
    <w:rsid w:val="003F0BB6"/>
    <w:rsid w:val="003F0BF8"/>
    <w:rsid w:val="003F0C31"/>
    <w:rsid w:val="003F0CD9"/>
    <w:rsid w:val="003F0CDD"/>
    <w:rsid w:val="003F0D35"/>
    <w:rsid w:val="003F0D37"/>
    <w:rsid w:val="003F0DB7"/>
    <w:rsid w:val="003F0DC4"/>
    <w:rsid w:val="003F0DC9"/>
    <w:rsid w:val="003F0DF3"/>
    <w:rsid w:val="003F0EC9"/>
    <w:rsid w:val="003F0F1F"/>
    <w:rsid w:val="003F0F6C"/>
    <w:rsid w:val="003F0FB4"/>
    <w:rsid w:val="003F101C"/>
    <w:rsid w:val="003F1072"/>
    <w:rsid w:val="003F1076"/>
    <w:rsid w:val="003F10D7"/>
    <w:rsid w:val="003F118E"/>
    <w:rsid w:val="003F11E5"/>
    <w:rsid w:val="003F12D6"/>
    <w:rsid w:val="003F130A"/>
    <w:rsid w:val="003F13B8"/>
    <w:rsid w:val="003F13C8"/>
    <w:rsid w:val="003F1430"/>
    <w:rsid w:val="003F145D"/>
    <w:rsid w:val="003F14BF"/>
    <w:rsid w:val="003F14E8"/>
    <w:rsid w:val="003F1506"/>
    <w:rsid w:val="003F15AF"/>
    <w:rsid w:val="003F1641"/>
    <w:rsid w:val="003F1643"/>
    <w:rsid w:val="003F16F4"/>
    <w:rsid w:val="003F1701"/>
    <w:rsid w:val="003F1705"/>
    <w:rsid w:val="003F1766"/>
    <w:rsid w:val="003F1790"/>
    <w:rsid w:val="003F1821"/>
    <w:rsid w:val="003F18CC"/>
    <w:rsid w:val="003F18FA"/>
    <w:rsid w:val="003F1926"/>
    <w:rsid w:val="003F198D"/>
    <w:rsid w:val="003F19A3"/>
    <w:rsid w:val="003F1AC8"/>
    <w:rsid w:val="003F1B28"/>
    <w:rsid w:val="003F1BEF"/>
    <w:rsid w:val="003F1D4C"/>
    <w:rsid w:val="003F1D58"/>
    <w:rsid w:val="003F1D8E"/>
    <w:rsid w:val="003F1E82"/>
    <w:rsid w:val="003F1EA7"/>
    <w:rsid w:val="003F1F2E"/>
    <w:rsid w:val="003F1FFB"/>
    <w:rsid w:val="003F209D"/>
    <w:rsid w:val="003F20B2"/>
    <w:rsid w:val="003F20F2"/>
    <w:rsid w:val="003F20F5"/>
    <w:rsid w:val="003F218A"/>
    <w:rsid w:val="003F2373"/>
    <w:rsid w:val="003F246E"/>
    <w:rsid w:val="003F2485"/>
    <w:rsid w:val="003F25DF"/>
    <w:rsid w:val="003F2647"/>
    <w:rsid w:val="003F2690"/>
    <w:rsid w:val="003F26AD"/>
    <w:rsid w:val="003F26DD"/>
    <w:rsid w:val="003F2751"/>
    <w:rsid w:val="003F27B7"/>
    <w:rsid w:val="003F27E2"/>
    <w:rsid w:val="003F28BE"/>
    <w:rsid w:val="003F29E6"/>
    <w:rsid w:val="003F2A93"/>
    <w:rsid w:val="003F2A99"/>
    <w:rsid w:val="003F2A9F"/>
    <w:rsid w:val="003F2AB1"/>
    <w:rsid w:val="003F2AE2"/>
    <w:rsid w:val="003F2AF5"/>
    <w:rsid w:val="003F2B0D"/>
    <w:rsid w:val="003F2B35"/>
    <w:rsid w:val="003F2C36"/>
    <w:rsid w:val="003F2C62"/>
    <w:rsid w:val="003F2E1F"/>
    <w:rsid w:val="003F2E3B"/>
    <w:rsid w:val="003F2E40"/>
    <w:rsid w:val="003F2E43"/>
    <w:rsid w:val="003F2FFD"/>
    <w:rsid w:val="003F3087"/>
    <w:rsid w:val="003F309D"/>
    <w:rsid w:val="003F31F6"/>
    <w:rsid w:val="003F325E"/>
    <w:rsid w:val="003F33BC"/>
    <w:rsid w:val="003F34B2"/>
    <w:rsid w:val="003F3599"/>
    <w:rsid w:val="003F3641"/>
    <w:rsid w:val="003F367D"/>
    <w:rsid w:val="003F371E"/>
    <w:rsid w:val="003F384B"/>
    <w:rsid w:val="003F385D"/>
    <w:rsid w:val="003F38D3"/>
    <w:rsid w:val="003F3904"/>
    <w:rsid w:val="003F3938"/>
    <w:rsid w:val="003F39B7"/>
    <w:rsid w:val="003F3B8B"/>
    <w:rsid w:val="003F3BB6"/>
    <w:rsid w:val="003F3D84"/>
    <w:rsid w:val="003F3DB4"/>
    <w:rsid w:val="003F3E0B"/>
    <w:rsid w:val="003F3E3B"/>
    <w:rsid w:val="003F3E60"/>
    <w:rsid w:val="003F3E72"/>
    <w:rsid w:val="003F3ED8"/>
    <w:rsid w:val="003F3EE0"/>
    <w:rsid w:val="003F3F22"/>
    <w:rsid w:val="003F3F34"/>
    <w:rsid w:val="003F407C"/>
    <w:rsid w:val="003F40DA"/>
    <w:rsid w:val="003F4192"/>
    <w:rsid w:val="003F425A"/>
    <w:rsid w:val="003F42A4"/>
    <w:rsid w:val="003F430C"/>
    <w:rsid w:val="003F4338"/>
    <w:rsid w:val="003F4373"/>
    <w:rsid w:val="003F43CE"/>
    <w:rsid w:val="003F43E7"/>
    <w:rsid w:val="003F4437"/>
    <w:rsid w:val="003F4481"/>
    <w:rsid w:val="003F44C3"/>
    <w:rsid w:val="003F4505"/>
    <w:rsid w:val="003F4535"/>
    <w:rsid w:val="003F45A3"/>
    <w:rsid w:val="003F45E3"/>
    <w:rsid w:val="003F4620"/>
    <w:rsid w:val="003F4683"/>
    <w:rsid w:val="003F46A1"/>
    <w:rsid w:val="003F472A"/>
    <w:rsid w:val="003F47BB"/>
    <w:rsid w:val="003F4830"/>
    <w:rsid w:val="003F487A"/>
    <w:rsid w:val="003F4910"/>
    <w:rsid w:val="003F49BE"/>
    <w:rsid w:val="003F4A13"/>
    <w:rsid w:val="003F4A2A"/>
    <w:rsid w:val="003F4AB9"/>
    <w:rsid w:val="003F4D27"/>
    <w:rsid w:val="003F4D80"/>
    <w:rsid w:val="003F4DAB"/>
    <w:rsid w:val="003F4DB0"/>
    <w:rsid w:val="003F4DE8"/>
    <w:rsid w:val="003F4DF7"/>
    <w:rsid w:val="003F4E22"/>
    <w:rsid w:val="003F4E38"/>
    <w:rsid w:val="003F4EAD"/>
    <w:rsid w:val="003F4FCC"/>
    <w:rsid w:val="003F5096"/>
    <w:rsid w:val="003F51B6"/>
    <w:rsid w:val="003F5283"/>
    <w:rsid w:val="003F528B"/>
    <w:rsid w:val="003F5302"/>
    <w:rsid w:val="003F53F7"/>
    <w:rsid w:val="003F5414"/>
    <w:rsid w:val="003F5431"/>
    <w:rsid w:val="003F545B"/>
    <w:rsid w:val="003F546B"/>
    <w:rsid w:val="003F54AC"/>
    <w:rsid w:val="003F54DF"/>
    <w:rsid w:val="003F556A"/>
    <w:rsid w:val="003F5629"/>
    <w:rsid w:val="003F56A6"/>
    <w:rsid w:val="003F5754"/>
    <w:rsid w:val="003F5756"/>
    <w:rsid w:val="003F5774"/>
    <w:rsid w:val="003F578A"/>
    <w:rsid w:val="003F5852"/>
    <w:rsid w:val="003F597E"/>
    <w:rsid w:val="003F5994"/>
    <w:rsid w:val="003F5A88"/>
    <w:rsid w:val="003F5AC7"/>
    <w:rsid w:val="003F5BA0"/>
    <w:rsid w:val="003F5C6E"/>
    <w:rsid w:val="003F5C80"/>
    <w:rsid w:val="003F5CC2"/>
    <w:rsid w:val="003F5CDC"/>
    <w:rsid w:val="003F5D36"/>
    <w:rsid w:val="003F5D50"/>
    <w:rsid w:val="003F5DD9"/>
    <w:rsid w:val="003F5E15"/>
    <w:rsid w:val="003F5EB7"/>
    <w:rsid w:val="003F5ED2"/>
    <w:rsid w:val="003F5EE3"/>
    <w:rsid w:val="003F5F16"/>
    <w:rsid w:val="003F5F40"/>
    <w:rsid w:val="003F5FEC"/>
    <w:rsid w:val="003F606A"/>
    <w:rsid w:val="003F60F9"/>
    <w:rsid w:val="003F6138"/>
    <w:rsid w:val="003F6151"/>
    <w:rsid w:val="003F6159"/>
    <w:rsid w:val="003F61AF"/>
    <w:rsid w:val="003F6218"/>
    <w:rsid w:val="003F625F"/>
    <w:rsid w:val="003F627D"/>
    <w:rsid w:val="003F631C"/>
    <w:rsid w:val="003F631E"/>
    <w:rsid w:val="003F633B"/>
    <w:rsid w:val="003F666C"/>
    <w:rsid w:val="003F678D"/>
    <w:rsid w:val="003F6854"/>
    <w:rsid w:val="003F68A6"/>
    <w:rsid w:val="003F68FB"/>
    <w:rsid w:val="003F6905"/>
    <w:rsid w:val="003F695A"/>
    <w:rsid w:val="003F6980"/>
    <w:rsid w:val="003F6994"/>
    <w:rsid w:val="003F69BA"/>
    <w:rsid w:val="003F6A3B"/>
    <w:rsid w:val="003F6AAA"/>
    <w:rsid w:val="003F6B02"/>
    <w:rsid w:val="003F6B04"/>
    <w:rsid w:val="003F6B7C"/>
    <w:rsid w:val="003F6BCD"/>
    <w:rsid w:val="003F6C1E"/>
    <w:rsid w:val="003F6C4F"/>
    <w:rsid w:val="003F6D0F"/>
    <w:rsid w:val="003F6D9E"/>
    <w:rsid w:val="003F6DD9"/>
    <w:rsid w:val="003F6EEA"/>
    <w:rsid w:val="003F6F99"/>
    <w:rsid w:val="003F6FD8"/>
    <w:rsid w:val="003F7125"/>
    <w:rsid w:val="003F7144"/>
    <w:rsid w:val="003F7166"/>
    <w:rsid w:val="003F7210"/>
    <w:rsid w:val="003F72C4"/>
    <w:rsid w:val="003F7375"/>
    <w:rsid w:val="003F738A"/>
    <w:rsid w:val="003F7424"/>
    <w:rsid w:val="003F7438"/>
    <w:rsid w:val="003F74D1"/>
    <w:rsid w:val="003F74DD"/>
    <w:rsid w:val="003F7544"/>
    <w:rsid w:val="003F762F"/>
    <w:rsid w:val="003F7693"/>
    <w:rsid w:val="003F76F0"/>
    <w:rsid w:val="003F76F6"/>
    <w:rsid w:val="003F7770"/>
    <w:rsid w:val="003F781E"/>
    <w:rsid w:val="003F782B"/>
    <w:rsid w:val="003F799E"/>
    <w:rsid w:val="003F7A15"/>
    <w:rsid w:val="003F7AE0"/>
    <w:rsid w:val="003F7B1D"/>
    <w:rsid w:val="003F7B33"/>
    <w:rsid w:val="003F7B52"/>
    <w:rsid w:val="003F7B85"/>
    <w:rsid w:val="003F7BCD"/>
    <w:rsid w:val="003F7BE7"/>
    <w:rsid w:val="003F7C02"/>
    <w:rsid w:val="003F7D64"/>
    <w:rsid w:val="003F7D7A"/>
    <w:rsid w:val="003F7DCC"/>
    <w:rsid w:val="003F7E42"/>
    <w:rsid w:val="003F7EE2"/>
    <w:rsid w:val="003F7F86"/>
    <w:rsid w:val="0040002E"/>
    <w:rsid w:val="00400052"/>
    <w:rsid w:val="004000AD"/>
    <w:rsid w:val="004000AF"/>
    <w:rsid w:val="004001E1"/>
    <w:rsid w:val="00400213"/>
    <w:rsid w:val="00400277"/>
    <w:rsid w:val="004002AB"/>
    <w:rsid w:val="004002D2"/>
    <w:rsid w:val="0040036C"/>
    <w:rsid w:val="00400382"/>
    <w:rsid w:val="004003AF"/>
    <w:rsid w:val="00400419"/>
    <w:rsid w:val="00400466"/>
    <w:rsid w:val="004004A6"/>
    <w:rsid w:val="004004E1"/>
    <w:rsid w:val="00400541"/>
    <w:rsid w:val="004005C5"/>
    <w:rsid w:val="004005DC"/>
    <w:rsid w:val="004005EF"/>
    <w:rsid w:val="004005FE"/>
    <w:rsid w:val="00400619"/>
    <w:rsid w:val="004006F4"/>
    <w:rsid w:val="00400743"/>
    <w:rsid w:val="00400755"/>
    <w:rsid w:val="004007FB"/>
    <w:rsid w:val="00400879"/>
    <w:rsid w:val="004008D4"/>
    <w:rsid w:val="004009B6"/>
    <w:rsid w:val="004009BB"/>
    <w:rsid w:val="004009EB"/>
    <w:rsid w:val="004009F6"/>
    <w:rsid w:val="00400A21"/>
    <w:rsid w:val="00400A55"/>
    <w:rsid w:val="00400A7B"/>
    <w:rsid w:val="00400B70"/>
    <w:rsid w:val="00400B85"/>
    <w:rsid w:val="00400B91"/>
    <w:rsid w:val="00400C08"/>
    <w:rsid w:val="00400C27"/>
    <w:rsid w:val="00400C3A"/>
    <w:rsid w:val="00400D2D"/>
    <w:rsid w:val="00400D52"/>
    <w:rsid w:val="00400D90"/>
    <w:rsid w:val="00400EC8"/>
    <w:rsid w:val="00400F1F"/>
    <w:rsid w:val="00400F64"/>
    <w:rsid w:val="00400FB8"/>
    <w:rsid w:val="00400FF2"/>
    <w:rsid w:val="0040104E"/>
    <w:rsid w:val="004010A6"/>
    <w:rsid w:val="004010F8"/>
    <w:rsid w:val="004011AE"/>
    <w:rsid w:val="004011B4"/>
    <w:rsid w:val="004011CF"/>
    <w:rsid w:val="004012F6"/>
    <w:rsid w:val="00401436"/>
    <w:rsid w:val="004014CA"/>
    <w:rsid w:val="00401654"/>
    <w:rsid w:val="0040165B"/>
    <w:rsid w:val="00401750"/>
    <w:rsid w:val="00401758"/>
    <w:rsid w:val="00401819"/>
    <w:rsid w:val="00401858"/>
    <w:rsid w:val="0040185C"/>
    <w:rsid w:val="004018A1"/>
    <w:rsid w:val="004019A0"/>
    <w:rsid w:val="004019BA"/>
    <w:rsid w:val="00401A13"/>
    <w:rsid w:val="00401A20"/>
    <w:rsid w:val="00401A2B"/>
    <w:rsid w:val="00401A3D"/>
    <w:rsid w:val="00401A86"/>
    <w:rsid w:val="00401B27"/>
    <w:rsid w:val="00401B2A"/>
    <w:rsid w:val="00401B6C"/>
    <w:rsid w:val="00401B87"/>
    <w:rsid w:val="00401C41"/>
    <w:rsid w:val="00401C48"/>
    <w:rsid w:val="00401D5B"/>
    <w:rsid w:val="00401DDD"/>
    <w:rsid w:val="00401DE5"/>
    <w:rsid w:val="00401E25"/>
    <w:rsid w:val="00401EEC"/>
    <w:rsid w:val="00401F3F"/>
    <w:rsid w:val="00401F99"/>
    <w:rsid w:val="00401FF5"/>
    <w:rsid w:val="00402141"/>
    <w:rsid w:val="00402172"/>
    <w:rsid w:val="00402184"/>
    <w:rsid w:val="00402185"/>
    <w:rsid w:val="004021D3"/>
    <w:rsid w:val="0040229A"/>
    <w:rsid w:val="00402306"/>
    <w:rsid w:val="00402328"/>
    <w:rsid w:val="0040238B"/>
    <w:rsid w:val="004023FE"/>
    <w:rsid w:val="00402424"/>
    <w:rsid w:val="00402466"/>
    <w:rsid w:val="004024B1"/>
    <w:rsid w:val="00402547"/>
    <w:rsid w:val="004025F0"/>
    <w:rsid w:val="00402694"/>
    <w:rsid w:val="004026D9"/>
    <w:rsid w:val="00402751"/>
    <w:rsid w:val="0040281E"/>
    <w:rsid w:val="0040296A"/>
    <w:rsid w:val="00402977"/>
    <w:rsid w:val="00402C89"/>
    <w:rsid w:val="00402C94"/>
    <w:rsid w:val="00402D3B"/>
    <w:rsid w:val="00402D5B"/>
    <w:rsid w:val="00402D67"/>
    <w:rsid w:val="00402E1B"/>
    <w:rsid w:val="00402E85"/>
    <w:rsid w:val="00402E8E"/>
    <w:rsid w:val="00402EF2"/>
    <w:rsid w:val="00402F27"/>
    <w:rsid w:val="00402FE8"/>
    <w:rsid w:val="00403043"/>
    <w:rsid w:val="00403253"/>
    <w:rsid w:val="00403273"/>
    <w:rsid w:val="004032B2"/>
    <w:rsid w:val="0040334D"/>
    <w:rsid w:val="0040334E"/>
    <w:rsid w:val="00403418"/>
    <w:rsid w:val="0040343E"/>
    <w:rsid w:val="00403489"/>
    <w:rsid w:val="00403548"/>
    <w:rsid w:val="00403554"/>
    <w:rsid w:val="004035CD"/>
    <w:rsid w:val="004035ED"/>
    <w:rsid w:val="00403612"/>
    <w:rsid w:val="0040382F"/>
    <w:rsid w:val="00403870"/>
    <w:rsid w:val="00403891"/>
    <w:rsid w:val="00403988"/>
    <w:rsid w:val="00403AA4"/>
    <w:rsid w:val="00403B42"/>
    <w:rsid w:val="00403BD7"/>
    <w:rsid w:val="00403CA7"/>
    <w:rsid w:val="00403DCA"/>
    <w:rsid w:val="00403E3F"/>
    <w:rsid w:val="00403F26"/>
    <w:rsid w:val="00403FAA"/>
    <w:rsid w:val="00404028"/>
    <w:rsid w:val="00404064"/>
    <w:rsid w:val="004040C2"/>
    <w:rsid w:val="004041A5"/>
    <w:rsid w:val="004041AB"/>
    <w:rsid w:val="0040422F"/>
    <w:rsid w:val="00404250"/>
    <w:rsid w:val="0040427C"/>
    <w:rsid w:val="00404319"/>
    <w:rsid w:val="00404386"/>
    <w:rsid w:val="004043F5"/>
    <w:rsid w:val="0040440C"/>
    <w:rsid w:val="0040441F"/>
    <w:rsid w:val="0040445D"/>
    <w:rsid w:val="0040446F"/>
    <w:rsid w:val="0040447E"/>
    <w:rsid w:val="004044D0"/>
    <w:rsid w:val="004044FB"/>
    <w:rsid w:val="0040454D"/>
    <w:rsid w:val="0040462B"/>
    <w:rsid w:val="0040469E"/>
    <w:rsid w:val="004046C8"/>
    <w:rsid w:val="00404773"/>
    <w:rsid w:val="00404810"/>
    <w:rsid w:val="00404859"/>
    <w:rsid w:val="004048CC"/>
    <w:rsid w:val="004048D2"/>
    <w:rsid w:val="004048E8"/>
    <w:rsid w:val="004048EC"/>
    <w:rsid w:val="0040491C"/>
    <w:rsid w:val="00404A36"/>
    <w:rsid w:val="00404A50"/>
    <w:rsid w:val="00404B24"/>
    <w:rsid w:val="00404B6F"/>
    <w:rsid w:val="00404C55"/>
    <w:rsid w:val="00404C62"/>
    <w:rsid w:val="00404D41"/>
    <w:rsid w:val="00404D4B"/>
    <w:rsid w:val="00404DC9"/>
    <w:rsid w:val="00404DE3"/>
    <w:rsid w:val="00404E0D"/>
    <w:rsid w:val="00404E25"/>
    <w:rsid w:val="00404EE5"/>
    <w:rsid w:val="00404F0D"/>
    <w:rsid w:val="00404F0F"/>
    <w:rsid w:val="00405030"/>
    <w:rsid w:val="00405060"/>
    <w:rsid w:val="00405066"/>
    <w:rsid w:val="00405113"/>
    <w:rsid w:val="00405133"/>
    <w:rsid w:val="00405182"/>
    <w:rsid w:val="004051B5"/>
    <w:rsid w:val="004051C2"/>
    <w:rsid w:val="00405276"/>
    <w:rsid w:val="0040527A"/>
    <w:rsid w:val="0040528A"/>
    <w:rsid w:val="00405313"/>
    <w:rsid w:val="0040543C"/>
    <w:rsid w:val="004054AA"/>
    <w:rsid w:val="004054E9"/>
    <w:rsid w:val="00405546"/>
    <w:rsid w:val="00405574"/>
    <w:rsid w:val="00405583"/>
    <w:rsid w:val="004055BF"/>
    <w:rsid w:val="0040562C"/>
    <w:rsid w:val="00405653"/>
    <w:rsid w:val="00405717"/>
    <w:rsid w:val="004057C5"/>
    <w:rsid w:val="00405816"/>
    <w:rsid w:val="00405937"/>
    <w:rsid w:val="00405939"/>
    <w:rsid w:val="004059C3"/>
    <w:rsid w:val="004059FE"/>
    <w:rsid w:val="004059FF"/>
    <w:rsid w:val="00405A32"/>
    <w:rsid w:val="00405A33"/>
    <w:rsid w:val="00405A50"/>
    <w:rsid w:val="00405A73"/>
    <w:rsid w:val="00405B69"/>
    <w:rsid w:val="00405C48"/>
    <w:rsid w:val="00405CC2"/>
    <w:rsid w:val="00405D0A"/>
    <w:rsid w:val="00405DF3"/>
    <w:rsid w:val="00405F52"/>
    <w:rsid w:val="00405FB7"/>
    <w:rsid w:val="00406019"/>
    <w:rsid w:val="00406094"/>
    <w:rsid w:val="00406156"/>
    <w:rsid w:val="004061F5"/>
    <w:rsid w:val="00406240"/>
    <w:rsid w:val="00406279"/>
    <w:rsid w:val="0040629A"/>
    <w:rsid w:val="004062CD"/>
    <w:rsid w:val="004062CE"/>
    <w:rsid w:val="0040633E"/>
    <w:rsid w:val="004063BD"/>
    <w:rsid w:val="004063D0"/>
    <w:rsid w:val="004063E4"/>
    <w:rsid w:val="0040646E"/>
    <w:rsid w:val="00406476"/>
    <w:rsid w:val="0040656B"/>
    <w:rsid w:val="004065BA"/>
    <w:rsid w:val="00406651"/>
    <w:rsid w:val="0040666A"/>
    <w:rsid w:val="004066CB"/>
    <w:rsid w:val="004066DE"/>
    <w:rsid w:val="00406742"/>
    <w:rsid w:val="00406755"/>
    <w:rsid w:val="00406867"/>
    <w:rsid w:val="00406892"/>
    <w:rsid w:val="0040693D"/>
    <w:rsid w:val="004069B2"/>
    <w:rsid w:val="00406BAE"/>
    <w:rsid w:val="00406BC6"/>
    <w:rsid w:val="00406C17"/>
    <w:rsid w:val="00406C57"/>
    <w:rsid w:val="00406C92"/>
    <w:rsid w:val="00406CF0"/>
    <w:rsid w:val="00406D25"/>
    <w:rsid w:val="00406DDD"/>
    <w:rsid w:val="00406E90"/>
    <w:rsid w:val="00406EC7"/>
    <w:rsid w:val="00406ECE"/>
    <w:rsid w:val="00406F12"/>
    <w:rsid w:val="00407093"/>
    <w:rsid w:val="004070E7"/>
    <w:rsid w:val="004070F4"/>
    <w:rsid w:val="004071E4"/>
    <w:rsid w:val="004072A9"/>
    <w:rsid w:val="004072BD"/>
    <w:rsid w:val="004072CD"/>
    <w:rsid w:val="00407318"/>
    <w:rsid w:val="00407338"/>
    <w:rsid w:val="004073F5"/>
    <w:rsid w:val="004074F4"/>
    <w:rsid w:val="004075CD"/>
    <w:rsid w:val="004075FF"/>
    <w:rsid w:val="0040795B"/>
    <w:rsid w:val="00407984"/>
    <w:rsid w:val="00407A82"/>
    <w:rsid w:val="00407A89"/>
    <w:rsid w:val="00407B69"/>
    <w:rsid w:val="00407B8E"/>
    <w:rsid w:val="00407D5D"/>
    <w:rsid w:val="00407D62"/>
    <w:rsid w:val="00407E44"/>
    <w:rsid w:val="00407E56"/>
    <w:rsid w:val="00407E90"/>
    <w:rsid w:val="00407EB1"/>
    <w:rsid w:val="00407F76"/>
    <w:rsid w:val="00407FF0"/>
    <w:rsid w:val="0041003A"/>
    <w:rsid w:val="00410096"/>
    <w:rsid w:val="004100D9"/>
    <w:rsid w:val="00410109"/>
    <w:rsid w:val="004101CB"/>
    <w:rsid w:val="0041023E"/>
    <w:rsid w:val="0041049A"/>
    <w:rsid w:val="004104E4"/>
    <w:rsid w:val="00410640"/>
    <w:rsid w:val="004106B3"/>
    <w:rsid w:val="00410757"/>
    <w:rsid w:val="00410783"/>
    <w:rsid w:val="00410832"/>
    <w:rsid w:val="00410865"/>
    <w:rsid w:val="00410931"/>
    <w:rsid w:val="00410982"/>
    <w:rsid w:val="004109A1"/>
    <w:rsid w:val="004109BF"/>
    <w:rsid w:val="00410A09"/>
    <w:rsid w:val="00410A5E"/>
    <w:rsid w:val="00410A71"/>
    <w:rsid w:val="00410A7F"/>
    <w:rsid w:val="00410B02"/>
    <w:rsid w:val="00410B7B"/>
    <w:rsid w:val="00410C1A"/>
    <w:rsid w:val="00410C75"/>
    <w:rsid w:val="00410EE2"/>
    <w:rsid w:val="00410F93"/>
    <w:rsid w:val="00410FA0"/>
    <w:rsid w:val="00411034"/>
    <w:rsid w:val="004110D9"/>
    <w:rsid w:val="00411103"/>
    <w:rsid w:val="004111C6"/>
    <w:rsid w:val="004111F5"/>
    <w:rsid w:val="004112B7"/>
    <w:rsid w:val="004113A5"/>
    <w:rsid w:val="004113BC"/>
    <w:rsid w:val="004113F3"/>
    <w:rsid w:val="0041140C"/>
    <w:rsid w:val="00411475"/>
    <w:rsid w:val="00411480"/>
    <w:rsid w:val="004114F1"/>
    <w:rsid w:val="00411660"/>
    <w:rsid w:val="004117AA"/>
    <w:rsid w:val="00411913"/>
    <w:rsid w:val="0041192B"/>
    <w:rsid w:val="0041198C"/>
    <w:rsid w:val="004119AB"/>
    <w:rsid w:val="00411A90"/>
    <w:rsid w:val="00411ABE"/>
    <w:rsid w:val="00411ACE"/>
    <w:rsid w:val="00411B5B"/>
    <w:rsid w:val="00411BF8"/>
    <w:rsid w:val="00411C92"/>
    <w:rsid w:val="00411CC6"/>
    <w:rsid w:val="00411D72"/>
    <w:rsid w:val="00411D7F"/>
    <w:rsid w:val="00411EEC"/>
    <w:rsid w:val="00411EFD"/>
    <w:rsid w:val="00412004"/>
    <w:rsid w:val="00412126"/>
    <w:rsid w:val="00412138"/>
    <w:rsid w:val="0041225E"/>
    <w:rsid w:val="00412289"/>
    <w:rsid w:val="004122A2"/>
    <w:rsid w:val="004122CE"/>
    <w:rsid w:val="00412342"/>
    <w:rsid w:val="0041243E"/>
    <w:rsid w:val="00412442"/>
    <w:rsid w:val="004124CB"/>
    <w:rsid w:val="00412537"/>
    <w:rsid w:val="0041255A"/>
    <w:rsid w:val="00412573"/>
    <w:rsid w:val="004125AB"/>
    <w:rsid w:val="004125BB"/>
    <w:rsid w:val="004125E5"/>
    <w:rsid w:val="00412648"/>
    <w:rsid w:val="00412682"/>
    <w:rsid w:val="004126F5"/>
    <w:rsid w:val="00412744"/>
    <w:rsid w:val="0041277A"/>
    <w:rsid w:val="004128C5"/>
    <w:rsid w:val="00412909"/>
    <w:rsid w:val="0041291F"/>
    <w:rsid w:val="004129BB"/>
    <w:rsid w:val="00412A2D"/>
    <w:rsid w:val="00412A52"/>
    <w:rsid w:val="00412AA8"/>
    <w:rsid w:val="00412B25"/>
    <w:rsid w:val="00412B65"/>
    <w:rsid w:val="00412BE6"/>
    <w:rsid w:val="00412C19"/>
    <w:rsid w:val="00412CC4"/>
    <w:rsid w:val="00412CE0"/>
    <w:rsid w:val="00412DC4"/>
    <w:rsid w:val="00412E4B"/>
    <w:rsid w:val="00412EA3"/>
    <w:rsid w:val="00412EA5"/>
    <w:rsid w:val="00412EDC"/>
    <w:rsid w:val="00413011"/>
    <w:rsid w:val="0041301E"/>
    <w:rsid w:val="004130D0"/>
    <w:rsid w:val="00413125"/>
    <w:rsid w:val="00413162"/>
    <w:rsid w:val="004131BE"/>
    <w:rsid w:val="004131EA"/>
    <w:rsid w:val="00413216"/>
    <w:rsid w:val="004132CE"/>
    <w:rsid w:val="004132F8"/>
    <w:rsid w:val="0041337A"/>
    <w:rsid w:val="004133EE"/>
    <w:rsid w:val="00413622"/>
    <w:rsid w:val="0041365F"/>
    <w:rsid w:val="00413660"/>
    <w:rsid w:val="00413679"/>
    <w:rsid w:val="0041367F"/>
    <w:rsid w:val="004136B6"/>
    <w:rsid w:val="004136BA"/>
    <w:rsid w:val="004137BE"/>
    <w:rsid w:val="0041381F"/>
    <w:rsid w:val="00413834"/>
    <w:rsid w:val="00413836"/>
    <w:rsid w:val="0041388A"/>
    <w:rsid w:val="0041393D"/>
    <w:rsid w:val="00413A51"/>
    <w:rsid w:val="00413A6A"/>
    <w:rsid w:val="00413B62"/>
    <w:rsid w:val="00413BDD"/>
    <w:rsid w:val="00413C1F"/>
    <w:rsid w:val="00413CD7"/>
    <w:rsid w:val="00413CDB"/>
    <w:rsid w:val="00413CDF"/>
    <w:rsid w:val="00413D4A"/>
    <w:rsid w:val="00413DB6"/>
    <w:rsid w:val="00413DE4"/>
    <w:rsid w:val="00413E10"/>
    <w:rsid w:val="00413E21"/>
    <w:rsid w:val="00413EFA"/>
    <w:rsid w:val="00413F78"/>
    <w:rsid w:val="0041406A"/>
    <w:rsid w:val="004140DD"/>
    <w:rsid w:val="004140FB"/>
    <w:rsid w:val="00414156"/>
    <w:rsid w:val="0041415D"/>
    <w:rsid w:val="004142E2"/>
    <w:rsid w:val="004142FF"/>
    <w:rsid w:val="0041449E"/>
    <w:rsid w:val="00414511"/>
    <w:rsid w:val="00414527"/>
    <w:rsid w:val="0041455B"/>
    <w:rsid w:val="0041458B"/>
    <w:rsid w:val="00414592"/>
    <w:rsid w:val="004145B2"/>
    <w:rsid w:val="00414653"/>
    <w:rsid w:val="0041472C"/>
    <w:rsid w:val="0041472F"/>
    <w:rsid w:val="0041478E"/>
    <w:rsid w:val="0041480B"/>
    <w:rsid w:val="004148AB"/>
    <w:rsid w:val="004148E9"/>
    <w:rsid w:val="00414964"/>
    <w:rsid w:val="00414966"/>
    <w:rsid w:val="0041499C"/>
    <w:rsid w:val="004149BC"/>
    <w:rsid w:val="004149D3"/>
    <w:rsid w:val="00414A2E"/>
    <w:rsid w:val="00414A9E"/>
    <w:rsid w:val="00414B40"/>
    <w:rsid w:val="00414B73"/>
    <w:rsid w:val="00414BD4"/>
    <w:rsid w:val="00414C1E"/>
    <w:rsid w:val="00414C55"/>
    <w:rsid w:val="00414D51"/>
    <w:rsid w:val="00414DA1"/>
    <w:rsid w:val="00414E44"/>
    <w:rsid w:val="00414EA3"/>
    <w:rsid w:val="00414ED5"/>
    <w:rsid w:val="00414EF5"/>
    <w:rsid w:val="00414F6F"/>
    <w:rsid w:val="00414F87"/>
    <w:rsid w:val="0041504F"/>
    <w:rsid w:val="00415056"/>
    <w:rsid w:val="0041505A"/>
    <w:rsid w:val="00415096"/>
    <w:rsid w:val="004150A5"/>
    <w:rsid w:val="004150DD"/>
    <w:rsid w:val="00415108"/>
    <w:rsid w:val="00415170"/>
    <w:rsid w:val="004151C3"/>
    <w:rsid w:val="004151E4"/>
    <w:rsid w:val="0041531E"/>
    <w:rsid w:val="004153A9"/>
    <w:rsid w:val="004153B1"/>
    <w:rsid w:val="004154A1"/>
    <w:rsid w:val="004155E0"/>
    <w:rsid w:val="00415647"/>
    <w:rsid w:val="0041568B"/>
    <w:rsid w:val="004156E4"/>
    <w:rsid w:val="004156F3"/>
    <w:rsid w:val="0041576F"/>
    <w:rsid w:val="00415770"/>
    <w:rsid w:val="004157A7"/>
    <w:rsid w:val="004157EF"/>
    <w:rsid w:val="0041580E"/>
    <w:rsid w:val="00415895"/>
    <w:rsid w:val="0041596A"/>
    <w:rsid w:val="004159B0"/>
    <w:rsid w:val="004159EB"/>
    <w:rsid w:val="00415A41"/>
    <w:rsid w:val="00415AB9"/>
    <w:rsid w:val="00415ACC"/>
    <w:rsid w:val="00415ADF"/>
    <w:rsid w:val="00415BDC"/>
    <w:rsid w:val="00415CB7"/>
    <w:rsid w:val="00415CE8"/>
    <w:rsid w:val="00415D03"/>
    <w:rsid w:val="00415D16"/>
    <w:rsid w:val="00415DE7"/>
    <w:rsid w:val="00415EBB"/>
    <w:rsid w:val="00415EC6"/>
    <w:rsid w:val="00415F83"/>
    <w:rsid w:val="00415FB8"/>
    <w:rsid w:val="00415FEB"/>
    <w:rsid w:val="00415FEE"/>
    <w:rsid w:val="0041604C"/>
    <w:rsid w:val="004160B5"/>
    <w:rsid w:val="0041621E"/>
    <w:rsid w:val="00416256"/>
    <w:rsid w:val="00416417"/>
    <w:rsid w:val="004164CA"/>
    <w:rsid w:val="00416574"/>
    <w:rsid w:val="00416589"/>
    <w:rsid w:val="004165A2"/>
    <w:rsid w:val="00416620"/>
    <w:rsid w:val="0041678B"/>
    <w:rsid w:val="004167DF"/>
    <w:rsid w:val="004167F5"/>
    <w:rsid w:val="004168C0"/>
    <w:rsid w:val="0041693A"/>
    <w:rsid w:val="00416956"/>
    <w:rsid w:val="004169E1"/>
    <w:rsid w:val="00416A0B"/>
    <w:rsid w:val="00416AA0"/>
    <w:rsid w:val="00416AB6"/>
    <w:rsid w:val="00416B75"/>
    <w:rsid w:val="00416BF2"/>
    <w:rsid w:val="00416CBF"/>
    <w:rsid w:val="00416CE2"/>
    <w:rsid w:val="00416D18"/>
    <w:rsid w:val="00416D39"/>
    <w:rsid w:val="00416D9F"/>
    <w:rsid w:val="00416DBC"/>
    <w:rsid w:val="00416DE2"/>
    <w:rsid w:val="00416DF3"/>
    <w:rsid w:val="00416F36"/>
    <w:rsid w:val="0041700F"/>
    <w:rsid w:val="0041708F"/>
    <w:rsid w:val="0041709F"/>
    <w:rsid w:val="004170CE"/>
    <w:rsid w:val="00417128"/>
    <w:rsid w:val="0041714A"/>
    <w:rsid w:val="004171C2"/>
    <w:rsid w:val="00417245"/>
    <w:rsid w:val="004172E9"/>
    <w:rsid w:val="004172FA"/>
    <w:rsid w:val="0041741E"/>
    <w:rsid w:val="00417427"/>
    <w:rsid w:val="00417457"/>
    <w:rsid w:val="00417461"/>
    <w:rsid w:val="00417648"/>
    <w:rsid w:val="0041764B"/>
    <w:rsid w:val="004176F5"/>
    <w:rsid w:val="00417774"/>
    <w:rsid w:val="004177AB"/>
    <w:rsid w:val="004177CB"/>
    <w:rsid w:val="004179AD"/>
    <w:rsid w:val="004179EE"/>
    <w:rsid w:val="00417B6A"/>
    <w:rsid w:val="00417B9C"/>
    <w:rsid w:val="00417C11"/>
    <w:rsid w:val="00417C28"/>
    <w:rsid w:val="00417C86"/>
    <w:rsid w:val="00417CB8"/>
    <w:rsid w:val="00417D5C"/>
    <w:rsid w:val="00417D7C"/>
    <w:rsid w:val="00417DAB"/>
    <w:rsid w:val="00417DDB"/>
    <w:rsid w:val="00417E9C"/>
    <w:rsid w:val="00417EBA"/>
    <w:rsid w:val="00420085"/>
    <w:rsid w:val="004200A5"/>
    <w:rsid w:val="00420110"/>
    <w:rsid w:val="00420111"/>
    <w:rsid w:val="00420228"/>
    <w:rsid w:val="00420239"/>
    <w:rsid w:val="004202EC"/>
    <w:rsid w:val="004202F8"/>
    <w:rsid w:val="00420323"/>
    <w:rsid w:val="0042036B"/>
    <w:rsid w:val="00420387"/>
    <w:rsid w:val="00420394"/>
    <w:rsid w:val="004203B6"/>
    <w:rsid w:val="004203FE"/>
    <w:rsid w:val="0042059C"/>
    <w:rsid w:val="004205F3"/>
    <w:rsid w:val="004205F8"/>
    <w:rsid w:val="00420652"/>
    <w:rsid w:val="004206D1"/>
    <w:rsid w:val="00420745"/>
    <w:rsid w:val="0042083B"/>
    <w:rsid w:val="00420860"/>
    <w:rsid w:val="00420896"/>
    <w:rsid w:val="004208B6"/>
    <w:rsid w:val="004208F2"/>
    <w:rsid w:val="00420958"/>
    <w:rsid w:val="00420AA3"/>
    <w:rsid w:val="00420B2C"/>
    <w:rsid w:val="00420BEB"/>
    <w:rsid w:val="00420BF2"/>
    <w:rsid w:val="00420C75"/>
    <w:rsid w:val="00420C80"/>
    <w:rsid w:val="00420CF6"/>
    <w:rsid w:val="00420EF7"/>
    <w:rsid w:val="00420F25"/>
    <w:rsid w:val="00420F6C"/>
    <w:rsid w:val="00420F6F"/>
    <w:rsid w:val="00420FC9"/>
    <w:rsid w:val="0042102D"/>
    <w:rsid w:val="0042103D"/>
    <w:rsid w:val="00421113"/>
    <w:rsid w:val="0042136D"/>
    <w:rsid w:val="0042143A"/>
    <w:rsid w:val="004214D6"/>
    <w:rsid w:val="004214ED"/>
    <w:rsid w:val="00421556"/>
    <w:rsid w:val="0042157D"/>
    <w:rsid w:val="00421690"/>
    <w:rsid w:val="004216A8"/>
    <w:rsid w:val="004216AA"/>
    <w:rsid w:val="004216AD"/>
    <w:rsid w:val="004216BA"/>
    <w:rsid w:val="004217CF"/>
    <w:rsid w:val="004217F5"/>
    <w:rsid w:val="0042182F"/>
    <w:rsid w:val="00421847"/>
    <w:rsid w:val="004218BE"/>
    <w:rsid w:val="00421922"/>
    <w:rsid w:val="00421945"/>
    <w:rsid w:val="0042197B"/>
    <w:rsid w:val="00421A30"/>
    <w:rsid w:val="00421A9C"/>
    <w:rsid w:val="00421ADF"/>
    <w:rsid w:val="00421AEC"/>
    <w:rsid w:val="00421AFA"/>
    <w:rsid w:val="00421B12"/>
    <w:rsid w:val="00421C72"/>
    <w:rsid w:val="00421CFC"/>
    <w:rsid w:val="00421D56"/>
    <w:rsid w:val="00421D63"/>
    <w:rsid w:val="00421D90"/>
    <w:rsid w:val="00421E15"/>
    <w:rsid w:val="00421ECE"/>
    <w:rsid w:val="00421F2A"/>
    <w:rsid w:val="00421F98"/>
    <w:rsid w:val="00422064"/>
    <w:rsid w:val="00422113"/>
    <w:rsid w:val="00422124"/>
    <w:rsid w:val="00422172"/>
    <w:rsid w:val="004221AE"/>
    <w:rsid w:val="00422233"/>
    <w:rsid w:val="00422271"/>
    <w:rsid w:val="00422372"/>
    <w:rsid w:val="00422385"/>
    <w:rsid w:val="004223B2"/>
    <w:rsid w:val="004223B7"/>
    <w:rsid w:val="00422401"/>
    <w:rsid w:val="00422409"/>
    <w:rsid w:val="00422417"/>
    <w:rsid w:val="0042248F"/>
    <w:rsid w:val="004224CE"/>
    <w:rsid w:val="00422519"/>
    <w:rsid w:val="0042253D"/>
    <w:rsid w:val="0042255A"/>
    <w:rsid w:val="00422712"/>
    <w:rsid w:val="00422778"/>
    <w:rsid w:val="00422908"/>
    <w:rsid w:val="00422922"/>
    <w:rsid w:val="0042295B"/>
    <w:rsid w:val="00422A02"/>
    <w:rsid w:val="00422B61"/>
    <w:rsid w:val="00422BC3"/>
    <w:rsid w:val="00422BF9"/>
    <w:rsid w:val="00422C4D"/>
    <w:rsid w:val="00422C8E"/>
    <w:rsid w:val="00422D02"/>
    <w:rsid w:val="00422D90"/>
    <w:rsid w:val="00422F59"/>
    <w:rsid w:val="00423031"/>
    <w:rsid w:val="0042305E"/>
    <w:rsid w:val="00423081"/>
    <w:rsid w:val="0042321A"/>
    <w:rsid w:val="0042343D"/>
    <w:rsid w:val="0042347C"/>
    <w:rsid w:val="0042350C"/>
    <w:rsid w:val="0042356D"/>
    <w:rsid w:val="004235A4"/>
    <w:rsid w:val="004235EB"/>
    <w:rsid w:val="00423636"/>
    <w:rsid w:val="00423674"/>
    <w:rsid w:val="004236E8"/>
    <w:rsid w:val="00423729"/>
    <w:rsid w:val="004237BE"/>
    <w:rsid w:val="004237C5"/>
    <w:rsid w:val="004237D4"/>
    <w:rsid w:val="004237FF"/>
    <w:rsid w:val="00423853"/>
    <w:rsid w:val="004238D3"/>
    <w:rsid w:val="004238EC"/>
    <w:rsid w:val="00423920"/>
    <w:rsid w:val="004239D1"/>
    <w:rsid w:val="00423A14"/>
    <w:rsid w:val="00423AC0"/>
    <w:rsid w:val="00423AE5"/>
    <w:rsid w:val="00423AF3"/>
    <w:rsid w:val="00423B7B"/>
    <w:rsid w:val="00423B8A"/>
    <w:rsid w:val="00423BB5"/>
    <w:rsid w:val="00423C1A"/>
    <w:rsid w:val="00423CB7"/>
    <w:rsid w:val="00423CBA"/>
    <w:rsid w:val="00423D2A"/>
    <w:rsid w:val="00423D32"/>
    <w:rsid w:val="00423D9F"/>
    <w:rsid w:val="00423DA4"/>
    <w:rsid w:val="00423DD9"/>
    <w:rsid w:val="00423EE1"/>
    <w:rsid w:val="00423F82"/>
    <w:rsid w:val="00423FF9"/>
    <w:rsid w:val="0042400D"/>
    <w:rsid w:val="00424019"/>
    <w:rsid w:val="0042418F"/>
    <w:rsid w:val="004241EE"/>
    <w:rsid w:val="004241F9"/>
    <w:rsid w:val="0042420E"/>
    <w:rsid w:val="0042420F"/>
    <w:rsid w:val="0042430C"/>
    <w:rsid w:val="004243C4"/>
    <w:rsid w:val="00424438"/>
    <w:rsid w:val="0042445E"/>
    <w:rsid w:val="0042447B"/>
    <w:rsid w:val="004244DA"/>
    <w:rsid w:val="00424689"/>
    <w:rsid w:val="00424765"/>
    <w:rsid w:val="0042479C"/>
    <w:rsid w:val="004247B1"/>
    <w:rsid w:val="00424858"/>
    <w:rsid w:val="00424890"/>
    <w:rsid w:val="004248E1"/>
    <w:rsid w:val="004248EA"/>
    <w:rsid w:val="004249AD"/>
    <w:rsid w:val="00424A75"/>
    <w:rsid w:val="00424A7B"/>
    <w:rsid w:val="00424B0B"/>
    <w:rsid w:val="00424C5C"/>
    <w:rsid w:val="00424CFB"/>
    <w:rsid w:val="00424D0F"/>
    <w:rsid w:val="00424D56"/>
    <w:rsid w:val="0042500A"/>
    <w:rsid w:val="00425023"/>
    <w:rsid w:val="004250B8"/>
    <w:rsid w:val="00425101"/>
    <w:rsid w:val="0042511E"/>
    <w:rsid w:val="00425122"/>
    <w:rsid w:val="0042523D"/>
    <w:rsid w:val="004252AD"/>
    <w:rsid w:val="004252CD"/>
    <w:rsid w:val="004252CE"/>
    <w:rsid w:val="004252D1"/>
    <w:rsid w:val="004252E6"/>
    <w:rsid w:val="00425301"/>
    <w:rsid w:val="0042537E"/>
    <w:rsid w:val="004253D1"/>
    <w:rsid w:val="0042544E"/>
    <w:rsid w:val="00425521"/>
    <w:rsid w:val="00425544"/>
    <w:rsid w:val="00425561"/>
    <w:rsid w:val="00425564"/>
    <w:rsid w:val="004255A3"/>
    <w:rsid w:val="004255C0"/>
    <w:rsid w:val="00425651"/>
    <w:rsid w:val="00425730"/>
    <w:rsid w:val="00425739"/>
    <w:rsid w:val="0042573C"/>
    <w:rsid w:val="00425992"/>
    <w:rsid w:val="00425A12"/>
    <w:rsid w:val="00425AD2"/>
    <w:rsid w:val="00425AE9"/>
    <w:rsid w:val="00425B14"/>
    <w:rsid w:val="00425BDF"/>
    <w:rsid w:val="00425C01"/>
    <w:rsid w:val="00425C2B"/>
    <w:rsid w:val="00425C31"/>
    <w:rsid w:val="00425C61"/>
    <w:rsid w:val="00425D12"/>
    <w:rsid w:val="00425D1A"/>
    <w:rsid w:val="00425D22"/>
    <w:rsid w:val="00425DDB"/>
    <w:rsid w:val="00425E8B"/>
    <w:rsid w:val="00425EE1"/>
    <w:rsid w:val="00426060"/>
    <w:rsid w:val="004260AD"/>
    <w:rsid w:val="0042610B"/>
    <w:rsid w:val="004261A2"/>
    <w:rsid w:val="0042625C"/>
    <w:rsid w:val="00426356"/>
    <w:rsid w:val="00426392"/>
    <w:rsid w:val="004263BF"/>
    <w:rsid w:val="0042644F"/>
    <w:rsid w:val="0042646B"/>
    <w:rsid w:val="00426513"/>
    <w:rsid w:val="0042668D"/>
    <w:rsid w:val="00426707"/>
    <w:rsid w:val="00426813"/>
    <w:rsid w:val="0042696C"/>
    <w:rsid w:val="0042697B"/>
    <w:rsid w:val="004269B7"/>
    <w:rsid w:val="004269D7"/>
    <w:rsid w:val="00426A1E"/>
    <w:rsid w:val="00426AD9"/>
    <w:rsid w:val="00426B16"/>
    <w:rsid w:val="00426BAB"/>
    <w:rsid w:val="00426BDC"/>
    <w:rsid w:val="00426C43"/>
    <w:rsid w:val="00426CCC"/>
    <w:rsid w:val="00426D09"/>
    <w:rsid w:val="00426D11"/>
    <w:rsid w:val="00426EBA"/>
    <w:rsid w:val="00426ED3"/>
    <w:rsid w:val="00426F16"/>
    <w:rsid w:val="00426F81"/>
    <w:rsid w:val="004270AA"/>
    <w:rsid w:val="004270B7"/>
    <w:rsid w:val="004270E3"/>
    <w:rsid w:val="0042710C"/>
    <w:rsid w:val="004272BA"/>
    <w:rsid w:val="004272D5"/>
    <w:rsid w:val="00427312"/>
    <w:rsid w:val="004273F8"/>
    <w:rsid w:val="00427460"/>
    <w:rsid w:val="00427464"/>
    <w:rsid w:val="004274AE"/>
    <w:rsid w:val="004274D5"/>
    <w:rsid w:val="00427669"/>
    <w:rsid w:val="00427687"/>
    <w:rsid w:val="004276F2"/>
    <w:rsid w:val="00427762"/>
    <w:rsid w:val="00427778"/>
    <w:rsid w:val="00427783"/>
    <w:rsid w:val="00427803"/>
    <w:rsid w:val="004278AA"/>
    <w:rsid w:val="004278BE"/>
    <w:rsid w:val="00427920"/>
    <w:rsid w:val="0042793F"/>
    <w:rsid w:val="0042794A"/>
    <w:rsid w:val="00427959"/>
    <w:rsid w:val="00427A73"/>
    <w:rsid w:val="00427B68"/>
    <w:rsid w:val="00427B85"/>
    <w:rsid w:val="00427B8C"/>
    <w:rsid w:val="00427BE2"/>
    <w:rsid w:val="00427CD5"/>
    <w:rsid w:val="00427CF3"/>
    <w:rsid w:val="00427DE4"/>
    <w:rsid w:val="00427E04"/>
    <w:rsid w:val="00427E40"/>
    <w:rsid w:val="00427F27"/>
    <w:rsid w:val="00427F6B"/>
    <w:rsid w:val="00427F77"/>
    <w:rsid w:val="004300F2"/>
    <w:rsid w:val="00430142"/>
    <w:rsid w:val="004301D6"/>
    <w:rsid w:val="004301E1"/>
    <w:rsid w:val="004301E7"/>
    <w:rsid w:val="00430260"/>
    <w:rsid w:val="00430262"/>
    <w:rsid w:val="0043026C"/>
    <w:rsid w:val="0043028D"/>
    <w:rsid w:val="004302EE"/>
    <w:rsid w:val="004302F4"/>
    <w:rsid w:val="004302FE"/>
    <w:rsid w:val="00430398"/>
    <w:rsid w:val="004303A2"/>
    <w:rsid w:val="0043053A"/>
    <w:rsid w:val="00430617"/>
    <w:rsid w:val="0043064C"/>
    <w:rsid w:val="00430662"/>
    <w:rsid w:val="00430671"/>
    <w:rsid w:val="00430762"/>
    <w:rsid w:val="0043084E"/>
    <w:rsid w:val="0043089B"/>
    <w:rsid w:val="004308A6"/>
    <w:rsid w:val="00430993"/>
    <w:rsid w:val="004309C3"/>
    <w:rsid w:val="00430A4B"/>
    <w:rsid w:val="00430BC5"/>
    <w:rsid w:val="00430C1E"/>
    <w:rsid w:val="00430CC2"/>
    <w:rsid w:val="00430DAE"/>
    <w:rsid w:val="00430DF1"/>
    <w:rsid w:val="00430E07"/>
    <w:rsid w:val="00430E49"/>
    <w:rsid w:val="00430ECE"/>
    <w:rsid w:val="00430FA4"/>
    <w:rsid w:val="00430FEA"/>
    <w:rsid w:val="00431082"/>
    <w:rsid w:val="004310F2"/>
    <w:rsid w:val="0043110C"/>
    <w:rsid w:val="004311EA"/>
    <w:rsid w:val="00431211"/>
    <w:rsid w:val="00431223"/>
    <w:rsid w:val="00431285"/>
    <w:rsid w:val="004312D1"/>
    <w:rsid w:val="00431322"/>
    <w:rsid w:val="0043144D"/>
    <w:rsid w:val="00431543"/>
    <w:rsid w:val="0043156C"/>
    <w:rsid w:val="004315B7"/>
    <w:rsid w:val="004315E1"/>
    <w:rsid w:val="00431695"/>
    <w:rsid w:val="004316C2"/>
    <w:rsid w:val="0043171D"/>
    <w:rsid w:val="00431783"/>
    <w:rsid w:val="004317B9"/>
    <w:rsid w:val="004317DF"/>
    <w:rsid w:val="00431839"/>
    <w:rsid w:val="0043189E"/>
    <w:rsid w:val="004318D8"/>
    <w:rsid w:val="004318DF"/>
    <w:rsid w:val="00431915"/>
    <w:rsid w:val="00431A7F"/>
    <w:rsid w:val="00431ACB"/>
    <w:rsid w:val="00431B08"/>
    <w:rsid w:val="00431B0D"/>
    <w:rsid w:val="00431B5F"/>
    <w:rsid w:val="00431B8D"/>
    <w:rsid w:val="00431BD7"/>
    <w:rsid w:val="00431BFB"/>
    <w:rsid w:val="00431CE2"/>
    <w:rsid w:val="00431DE6"/>
    <w:rsid w:val="00431E32"/>
    <w:rsid w:val="00431E67"/>
    <w:rsid w:val="00431F03"/>
    <w:rsid w:val="00431F97"/>
    <w:rsid w:val="0043201C"/>
    <w:rsid w:val="00432079"/>
    <w:rsid w:val="00432111"/>
    <w:rsid w:val="0043213E"/>
    <w:rsid w:val="00432155"/>
    <w:rsid w:val="0043219F"/>
    <w:rsid w:val="004321B8"/>
    <w:rsid w:val="00432202"/>
    <w:rsid w:val="004322B4"/>
    <w:rsid w:val="00432343"/>
    <w:rsid w:val="00432381"/>
    <w:rsid w:val="004323D0"/>
    <w:rsid w:val="004323E0"/>
    <w:rsid w:val="004323EB"/>
    <w:rsid w:val="00432458"/>
    <w:rsid w:val="004324D0"/>
    <w:rsid w:val="0043262A"/>
    <w:rsid w:val="0043264A"/>
    <w:rsid w:val="00432652"/>
    <w:rsid w:val="00432668"/>
    <w:rsid w:val="00432750"/>
    <w:rsid w:val="004327D5"/>
    <w:rsid w:val="0043285D"/>
    <w:rsid w:val="00432894"/>
    <w:rsid w:val="004328AE"/>
    <w:rsid w:val="00432972"/>
    <w:rsid w:val="0043298B"/>
    <w:rsid w:val="004329E2"/>
    <w:rsid w:val="00432AA3"/>
    <w:rsid w:val="00432B60"/>
    <w:rsid w:val="00432C0A"/>
    <w:rsid w:val="00432C60"/>
    <w:rsid w:val="00432D13"/>
    <w:rsid w:val="00432DC8"/>
    <w:rsid w:val="00432DD8"/>
    <w:rsid w:val="00433169"/>
    <w:rsid w:val="0043325F"/>
    <w:rsid w:val="004332D7"/>
    <w:rsid w:val="004332F5"/>
    <w:rsid w:val="00433305"/>
    <w:rsid w:val="0043332B"/>
    <w:rsid w:val="004333EE"/>
    <w:rsid w:val="00433421"/>
    <w:rsid w:val="0043344E"/>
    <w:rsid w:val="00433470"/>
    <w:rsid w:val="00433496"/>
    <w:rsid w:val="004334B6"/>
    <w:rsid w:val="004334BB"/>
    <w:rsid w:val="004334BE"/>
    <w:rsid w:val="00433514"/>
    <w:rsid w:val="0043358B"/>
    <w:rsid w:val="004335E8"/>
    <w:rsid w:val="0043360E"/>
    <w:rsid w:val="00433628"/>
    <w:rsid w:val="0043362A"/>
    <w:rsid w:val="004336A7"/>
    <w:rsid w:val="00433738"/>
    <w:rsid w:val="00433764"/>
    <w:rsid w:val="00433792"/>
    <w:rsid w:val="004337B3"/>
    <w:rsid w:val="004337D1"/>
    <w:rsid w:val="004337DE"/>
    <w:rsid w:val="00433811"/>
    <w:rsid w:val="00433870"/>
    <w:rsid w:val="004338D8"/>
    <w:rsid w:val="00433905"/>
    <w:rsid w:val="00433925"/>
    <w:rsid w:val="0043392C"/>
    <w:rsid w:val="00433984"/>
    <w:rsid w:val="00433CA8"/>
    <w:rsid w:val="00433CD9"/>
    <w:rsid w:val="00433DB8"/>
    <w:rsid w:val="00433DCF"/>
    <w:rsid w:val="00433E00"/>
    <w:rsid w:val="00433E93"/>
    <w:rsid w:val="00433E9B"/>
    <w:rsid w:val="00433EA8"/>
    <w:rsid w:val="00433F31"/>
    <w:rsid w:val="00433FFB"/>
    <w:rsid w:val="00434002"/>
    <w:rsid w:val="00434035"/>
    <w:rsid w:val="0043403A"/>
    <w:rsid w:val="004340A2"/>
    <w:rsid w:val="004340DE"/>
    <w:rsid w:val="00434158"/>
    <w:rsid w:val="00434187"/>
    <w:rsid w:val="0043419C"/>
    <w:rsid w:val="0043422A"/>
    <w:rsid w:val="004344ED"/>
    <w:rsid w:val="0043458A"/>
    <w:rsid w:val="00434594"/>
    <w:rsid w:val="004345D5"/>
    <w:rsid w:val="0043466C"/>
    <w:rsid w:val="0043486B"/>
    <w:rsid w:val="00434893"/>
    <w:rsid w:val="00434A12"/>
    <w:rsid w:val="00434A7E"/>
    <w:rsid w:val="00434AB5"/>
    <w:rsid w:val="00434AD9"/>
    <w:rsid w:val="00434B1A"/>
    <w:rsid w:val="00434B78"/>
    <w:rsid w:val="00434BA1"/>
    <w:rsid w:val="00434BB9"/>
    <w:rsid w:val="00434C3A"/>
    <w:rsid w:val="00434CAB"/>
    <w:rsid w:val="00434D2D"/>
    <w:rsid w:val="00434D45"/>
    <w:rsid w:val="00434DAB"/>
    <w:rsid w:val="00434DC6"/>
    <w:rsid w:val="00434E47"/>
    <w:rsid w:val="00434EA1"/>
    <w:rsid w:val="00434EC5"/>
    <w:rsid w:val="00434FB8"/>
    <w:rsid w:val="00435018"/>
    <w:rsid w:val="00435052"/>
    <w:rsid w:val="00435091"/>
    <w:rsid w:val="004350BE"/>
    <w:rsid w:val="00435218"/>
    <w:rsid w:val="004352EE"/>
    <w:rsid w:val="00435355"/>
    <w:rsid w:val="0043545B"/>
    <w:rsid w:val="0043557E"/>
    <w:rsid w:val="004356E0"/>
    <w:rsid w:val="004357C9"/>
    <w:rsid w:val="004357E8"/>
    <w:rsid w:val="0043596A"/>
    <w:rsid w:val="00435AC6"/>
    <w:rsid w:val="00435BEA"/>
    <w:rsid w:val="00435C13"/>
    <w:rsid w:val="00435D19"/>
    <w:rsid w:val="00435E2C"/>
    <w:rsid w:val="00435E6D"/>
    <w:rsid w:val="00435E9B"/>
    <w:rsid w:val="00435EB3"/>
    <w:rsid w:val="00435EF7"/>
    <w:rsid w:val="00435F2B"/>
    <w:rsid w:val="00435F63"/>
    <w:rsid w:val="00435FF9"/>
    <w:rsid w:val="00436115"/>
    <w:rsid w:val="00436120"/>
    <w:rsid w:val="00436129"/>
    <w:rsid w:val="004361C0"/>
    <w:rsid w:val="00436227"/>
    <w:rsid w:val="0043623E"/>
    <w:rsid w:val="00436264"/>
    <w:rsid w:val="0043627C"/>
    <w:rsid w:val="004362A5"/>
    <w:rsid w:val="00436396"/>
    <w:rsid w:val="004363A2"/>
    <w:rsid w:val="0043647D"/>
    <w:rsid w:val="004365DF"/>
    <w:rsid w:val="00436603"/>
    <w:rsid w:val="00436613"/>
    <w:rsid w:val="0043665E"/>
    <w:rsid w:val="004366E4"/>
    <w:rsid w:val="004366FD"/>
    <w:rsid w:val="0043676C"/>
    <w:rsid w:val="00436995"/>
    <w:rsid w:val="004369D9"/>
    <w:rsid w:val="00436A43"/>
    <w:rsid w:val="00436A8F"/>
    <w:rsid w:val="00436B0A"/>
    <w:rsid w:val="00436BD1"/>
    <w:rsid w:val="00436C63"/>
    <w:rsid w:val="00436C9B"/>
    <w:rsid w:val="00436E71"/>
    <w:rsid w:val="00436EB4"/>
    <w:rsid w:val="00436F51"/>
    <w:rsid w:val="00436FC6"/>
    <w:rsid w:val="00436FE1"/>
    <w:rsid w:val="00436FEE"/>
    <w:rsid w:val="0043703E"/>
    <w:rsid w:val="00437072"/>
    <w:rsid w:val="004370C7"/>
    <w:rsid w:val="00437160"/>
    <w:rsid w:val="00437251"/>
    <w:rsid w:val="004372EB"/>
    <w:rsid w:val="004372F2"/>
    <w:rsid w:val="00437311"/>
    <w:rsid w:val="0043773C"/>
    <w:rsid w:val="004378F2"/>
    <w:rsid w:val="00437994"/>
    <w:rsid w:val="004379E5"/>
    <w:rsid w:val="004379E8"/>
    <w:rsid w:val="00437A4A"/>
    <w:rsid w:val="00437AA6"/>
    <w:rsid w:val="00437B5B"/>
    <w:rsid w:val="00437BB3"/>
    <w:rsid w:val="00437C25"/>
    <w:rsid w:val="00437D63"/>
    <w:rsid w:val="00437DC0"/>
    <w:rsid w:val="00437E82"/>
    <w:rsid w:val="00437E9E"/>
    <w:rsid w:val="00437EF4"/>
    <w:rsid w:val="00437F15"/>
    <w:rsid w:val="00437F37"/>
    <w:rsid w:val="00437F39"/>
    <w:rsid w:val="00437F90"/>
    <w:rsid w:val="00437F93"/>
    <w:rsid w:val="0044000B"/>
    <w:rsid w:val="00440018"/>
    <w:rsid w:val="0044006C"/>
    <w:rsid w:val="004400E3"/>
    <w:rsid w:val="00440146"/>
    <w:rsid w:val="004401A2"/>
    <w:rsid w:val="004401B5"/>
    <w:rsid w:val="004401C9"/>
    <w:rsid w:val="004402A6"/>
    <w:rsid w:val="00440349"/>
    <w:rsid w:val="004403F1"/>
    <w:rsid w:val="0044040C"/>
    <w:rsid w:val="00440446"/>
    <w:rsid w:val="00440558"/>
    <w:rsid w:val="0044058A"/>
    <w:rsid w:val="00440639"/>
    <w:rsid w:val="00440697"/>
    <w:rsid w:val="0044069F"/>
    <w:rsid w:val="0044076E"/>
    <w:rsid w:val="004408F2"/>
    <w:rsid w:val="00440A10"/>
    <w:rsid w:val="00440B01"/>
    <w:rsid w:val="00440B86"/>
    <w:rsid w:val="00440BDB"/>
    <w:rsid w:val="00440C00"/>
    <w:rsid w:val="00440C0B"/>
    <w:rsid w:val="00440C23"/>
    <w:rsid w:val="00440C7B"/>
    <w:rsid w:val="00440CB5"/>
    <w:rsid w:val="00440CB7"/>
    <w:rsid w:val="00440D4A"/>
    <w:rsid w:val="00440DB9"/>
    <w:rsid w:val="00440DF4"/>
    <w:rsid w:val="00440E47"/>
    <w:rsid w:val="00440ED6"/>
    <w:rsid w:val="00440EFA"/>
    <w:rsid w:val="00440F4E"/>
    <w:rsid w:val="00440F5D"/>
    <w:rsid w:val="00440F70"/>
    <w:rsid w:val="004410F1"/>
    <w:rsid w:val="00441141"/>
    <w:rsid w:val="00441151"/>
    <w:rsid w:val="004411FA"/>
    <w:rsid w:val="0044126C"/>
    <w:rsid w:val="0044131B"/>
    <w:rsid w:val="00441421"/>
    <w:rsid w:val="00441494"/>
    <w:rsid w:val="004414FF"/>
    <w:rsid w:val="0044157D"/>
    <w:rsid w:val="00441592"/>
    <w:rsid w:val="00441640"/>
    <w:rsid w:val="00441657"/>
    <w:rsid w:val="004416AC"/>
    <w:rsid w:val="004416CD"/>
    <w:rsid w:val="00441724"/>
    <w:rsid w:val="00441817"/>
    <w:rsid w:val="0044185A"/>
    <w:rsid w:val="00441905"/>
    <w:rsid w:val="0044192E"/>
    <w:rsid w:val="00441968"/>
    <w:rsid w:val="004419CE"/>
    <w:rsid w:val="004419D7"/>
    <w:rsid w:val="004419E5"/>
    <w:rsid w:val="00441A1D"/>
    <w:rsid w:val="00441A4F"/>
    <w:rsid w:val="00441A56"/>
    <w:rsid w:val="00441AA5"/>
    <w:rsid w:val="00441AD9"/>
    <w:rsid w:val="00441AF5"/>
    <w:rsid w:val="00441B02"/>
    <w:rsid w:val="00441B15"/>
    <w:rsid w:val="00441B72"/>
    <w:rsid w:val="00441B7D"/>
    <w:rsid w:val="00441BC5"/>
    <w:rsid w:val="00441C42"/>
    <w:rsid w:val="00441C60"/>
    <w:rsid w:val="00441C7D"/>
    <w:rsid w:val="00441CA5"/>
    <w:rsid w:val="00441D3B"/>
    <w:rsid w:val="00441D63"/>
    <w:rsid w:val="00441D86"/>
    <w:rsid w:val="00441E2A"/>
    <w:rsid w:val="00441EBF"/>
    <w:rsid w:val="00441F38"/>
    <w:rsid w:val="00441FB0"/>
    <w:rsid w:val="00442053"/>
    <w:rsid w:val="00442061"/>
    <w:rsid w:val="00442064"/>
    <w:rsid w:val="004420DD"/>
    <w:rsid w:val="0044212F"/>
    <w:rsid w:val="0044222C"/>
    <w:rsid w:val="00442234"/>
    <w:rsid w:val="0044232F"/>
    <w:rsid w:val="00442361"/>
    <w:rsid w:val="004423C2"/>
    <w:rsid w:val="004423F4"/>
    <w:rsid w:val="00442401"/>
    <w:rsid w:val="0044249B"/>
    <w:rsid w:val="004424C2"/>
    <w:rsid w:val="004424CB"/>
    <w:rsid w:val="0044257A"/>
    <w:rsid w:val="004425AE"/>
    <w:rsid w:val="00442642"/>
    <w:rsid w:val="00442653"/>
    <w:rsid w:val="004426CC"/>
    <w:rsid w:val="0044275C"/>
    <w:rsid w:val="00442777"/>
    <w:rsid w:val="00442794"/>
    <w:rsid w:val="004427FD"/>
    <w:rsid w:val="0044283F"/>
    <w:rsid w:val="00442868"/>
    <w:rsid w:val="00442898"/>
    <w:rsid w:val="004428C9"/>
    <w:rsid w:val="0044290F"/>
    <w:rsid w:val="0044291B"/>
    <w:rsid w:val="00442967"/>
    <w:rsid w:val="00442978"/>
    <w:rsid w:val="004429A1"/>
    <w:rsid w:val="004429B0"/>
    <w:rsid w:val="00442A1A"/>
    <w:rsid w:val="00442A30"/>
    <w:rsid w:val="00442A8D"/>
    <w:rsid w:val="00442ABC"/>
    <w:rsid w:val="00442B14"/>
    <w:rsid w:val="00442B18"/>
    <w:rsid w:val="00442B82"/>
    <w:rsid w:val="00442B93"/>
    <w:rsid w:val="00442BA3"/>
    <w:rsid w:val="00442BA6"/>
    <w:rsid w:val="00442BF6"/>
    <w:rsid w:val="00442C16"/>
    <w:rsid w:val="00442C30"/>
    <w:rsid w:val="00442C43"/>
    <w:rsid w:val="00442D37"/>
    <w:rsid w:val="00442D56"/>
    <w:rsid w:val="00442E59"/>
    <w:rsid w:val="00442EA8"/>
    <w:rsid w:val="00442F07"/>
    <w:rsid w:val="00442FC0"/>
    <w:rsid w:val="00442FD9"/>
    <w:rsid w:val="00443006"/>
    <w:rsid w:val="00443050"/>
    <w:rsid w:val="004430C6"/>
    <w:rsid w:val="004430EA"/>
    <w:rsid w:val="0044311F"/>
    <w:rsid w:val="004431EF"/>
    <w:rsid w:val="00443207"/>
    <w:rsid w:val="00443222"/>
    <w:rsid w:val="004432A9"/>
    <w:rsid w:val="00443471"/>
    <w:rsid w:val="004434EF"/>
    <w:rsid w:val="004434F6"/>
    <w:rsid w:val="00443573"/>
    <w:rsid w:val="0044359A"/>
    <w:rsid w:val="004435C0"/>
    <w:rsid w:val="0044375A"/>
    <w:rsid w:val="004437F3"/>
    <w:rsid w:val="00443844"/>
    <w:rsid w:val="00443848"/>
    <w:rsid w:val="00443872"/>
    <w:rsid w:val="0044388C"/>
    <w:rsid w:val="00443968"/>
    <w:rsid w:val="0044399C"/>
    <w:rsid w:val="00443A21"/>
    <w:rsid w:val="00443A50"/>
    <w:rsid w:val="00443AA3"/>
    <w:rsid w:val="00443C26"/>
    <w:rsid w:val="00443CBE"/>
    <w:rsid w:val="00443CE5"/>
    <w:rsid w:val="00443CE7"/>
    <w:rsid w:val="00443D00"/>
    <w:rsid w:val="00443D5E"/>
    <w:rsid w:val="00443E7E"/>
    <w:rsid w:val="00443E93"/>
    <w:rsid w:val="00443EB6"/>
    <w:rsid w:val="00443F09"/>
    <w:rsid w:val="00444042"/>
    <w:rsid w:val="00444071"/>
    <w:rsid w:val="004440EE"/>
    <w:rsid w:val="00444104"/>
    <w:rsid w:val="004441DB"/>
    <w:rsid w:val="00444250"/>
    <w:rsid w:val="004442C3"/>
    <w:rsid w:val="00444372"/>
    <w:rsid w:val="004443D9"/>
    <w:rsid w:val="004443F1"/>
    <w:rsid w:val="00444423"/>
    <w:rsid w:val="0044447C"/>
    <w:rsid w:val="00444614"/>
    <w:rsid w:val="00444654"/>
    <w:rsid w:val="00444817"/>
    <w:rsid w:val="00444833"/>
    <w:rsid w:val="00444930"/>
    <w:rsid w:val="004449D0"/>
    <w:rsid w:val="00444A13"/>
    <w:rsid w:val="00444B2F"/>
    <w:rsid w:val="00444C21"/>
    <w:rsid w:val="00444C4A"/>
    <w:rsid w:val="00444C4C"/>
    <w:rsid w:val="00444C5D"/>
    <w:rsid w:val="00444C68"/>
    <w:rsid w:val="00444CFE"/>
    <w:rsid w:val="00444DAC"/>
    <w:rsid w:val="00444E3B"/>
    <w:rsid w:val="00444EC7"/>
    <w:rsid w:val="00444F3C"/>
    <w:rsid w:val="00444F92"/>
    <w:rsid w:val="00444F98"/>
    <w:rsid w:val="00444FC5"/>
    <w:rsid w:val="00445045"/>
    <w:rsid w:val="00445095"/>
    <w:rsid w:val="0044516A"/>
    <w:rsid w:val="00445196"/>
    <w:rsid w:val="00445272"/>
    <w:rsid w:val="004452BE"/>
    <w:rsid w:val="004452E3"/>
    <w:rsid w:val="004452F5"/>
    <w:rsid w:val="00445399"/>
    <w:rsid w:val="0044539D"/>
    <w:rsid w:val="004453BE"/>
    <w:rsid w:val="00445472"/>
    <w:rsid w:val="004454DE"/>
    <w:rsid w:val="004454F2"/>
    <w:rsid w:val="00445535"/>
    <w:rsid w:val="00445563"/>
    <w:rsid w:val="0044556A"/>
    <w:rsid w:val="004455CB"/>
    <w:rsid w:val="00445646"/>
    <w:rsid w:val="004456E3"/>
    <w:rsid w:val="00445739"/>
    <w:rsid w:val="00445762"/>
    <w:rsid w:val="004457B0"/>
    <w:rsid w:val="0044586F"/>
    <w:rsid w:val="0044588E"/>
    <w:rsid w:val="004458B0"/>
    <w:rsid w:val="0044591A"/>
    <w:rsid w:val="004459C7"/>
    <w:rsid w:val="004459E0"/>
    <w:rsid w:val="00445A08"/>
    <w:rsid w:val="00445B1C"/>
    <w:rsid w:val="00445B82"/>
    <w:rsid w:val="00445BFD"/>
    <w:rsid w:val="00445C5A"/>
    <w:rsid w:val="00445D3D"/>
    <w:rsid w:val="00445DD1"/>
    <w:rsid w:val="00445E92"/>
    <w:rsid w:val="00445F1C"/>
    <w:rsid w:val="00445F34"/>
    <w:rsid w:val="00446078"/>
    <w:rsid w:val="00446082"/>
    <w:rsid w:val="004460DF"/>
    <w:rsid w:val="0044613A"/>
    <w:rsid w:val="00446152"/>
    <w:rsid w:val="00446180"/>
    <w:rsid w:val="004461BC"/>
    <w:rsid w:val="004461CB"/>
    <w:rsid w:val="00446234"/>
    <w:rsid w:val="00446369"/>
    <w:rsid w:val="004463A4"/>
    <w:rsid w:val="004463AB"/>
    <w:rsid w:val="00446404"/>
    <w:rsid w:val="004464EC"/>
    <w:rsid w:val="00446569"/>
    <w:rsid w:val="0044657C"/>
    <w:rsid w:val="004465EE"/>
    <w:rsid w:val="0044664E"/>
    <w:rsid w:val="0044669C"/>
    <w:rsid w:val="004466A1"/>
    <w:rsid w:val="004467E1"/>
    <w:rsid w:val="004468F5"/>
    <w:rsid w:val="0044695A"/>
    <w:rsid w:val="0044696B"/>
    <w:rsid w:val="00446A26"/>
    <w:rsid w:val="00446A37"/>
    <w:rsid w:val="00446A6F"/>
    <w:rsid w:val="00446A76"/>
    <w:rsid w:val="00446BCE"/>
    <w:rsid w:val="00446C72"/>
    <w:rsid w:val="00446CC5"/>
    <w:rsid w:val="00446CCD"/>
    <w:rsid w:val="00446CEC"/>
    <w:rsid w:val="00446D1D"/>
    <w:rsid w:val="00446ECF"/>
    <w:rsid w:val="00446FAF"/>
    <w:rsid w:val="00446FBC"/>
    <w:rsid w:val="00446FCA"/>
    <w:rsid w:val="00447065"/>
    <w:rsid w:val="00447158"/>
    <w:rsid w:val="0044716A"/>
    <w:rsid w:val="0044721E"/>
    <w:rsid w:val="004472AC"/>
    <w:rsid w:val="0044732C"/>
    <w:rsid w:val="00447378"/>
    <w:rsid w:val="00447415"/>
    <w:rsid w:val="004474E9"/>
    <w:rsid w:val="00447597"/>
    <w:rsid w:val="004475C4"/>
    <w:rsid w:val="0044762F"/>
    <w:rsid w:val="0044764D"/>
    <w:rsid w:val="00447662"/>
    <w:rsid w:val="004476DE"/>
    <w:rsid w:val="00447735"/>
    <w:rsid w:val="0044779A"/>
    <w:rsid w:val="004477E2"/>
    <w:rsid w:val="00447828"/>
    <w:rsid w:val="004478AF"/>
    <w:rsid w:val="004478FD"/>
    <w:rsid w:val="00447948"/>
    <w:rsid w:val="0044795C"/>
    <w:rsid w:val="00447963"/>
    <w:rsid w:val="004479B4"/>
    <w:rsid w:val="00447B55"/>
    <w:rsid w:val="00447C2D"/>
    <w:rsid w:val="00447C6F"/>
    <w:rsid w:val="00447CCD"/>
    <w:rsid w:val="00447CF3"/>
    <w:rsid w:val="00447D0D"/>
    <w:rsid w:val="00447D3A"/>
    <w:rsid w:val="00447D61"/>
    <w:rsid w:val="00447DDA"/>
    <w:rsid w:val="00447E2E"/>
    <w:rsid w:val="00447EB7"/>
    <w:rsid w:val="00447FE4"/>
    <w:rsid w:val="00447FFE"/>
    <w:rsid w:val="00450036"/>
    <w:rsid w:val="00450059"/>
    <w:rsid w:val="004500BB"/>
    <w:rsid w:val="0045032D"/>
    <w:rsid w:val="00450369"/>
    <w:rsid w:val="004503BC"/>
    <w:rsid w:val="004503C4"/>
    <w:rsid w:val="00450418"/>
    <w:rsid w:val="0045046E"/>
    <w:rsid w:val="004504AA"/>
    <w:rsid w:val="004505BB"/>
    <w:rsid w:val="004505F1"/>
    <w:rsid w:val="004506E7"/>
    <w:rsid w:val="00450895"/>
    <w:rsid w:val="004508A0"/>
    <w:rsid w:val="004508B2"/>
    <w:rsid w:val="00450982"/>
    <w:rsid w:val="004509F2"/>
    <w:rsid w:val="00450A12"/>
    <w:rsid w:val="00450AA1"/>
    <w:rsid w:val="00450B4D"/>
    <w:rsid w:val="00450BFA"/>
    <w:rsid w:val="00450C1B"/>
    <w:rsid w:val="00450C94"/>
    <w:rsid w:val="00450CD0"/>
    <w:rsid w:val="00450CD3"/>
    <w:rsid w:val="00450D09"/>
    <w:rsid w:val="00450D12"/>
    <w:rsid w:val="00450ED2"/>
    <w:rsid w:val="00450F09"/>
    <w:rsid w:val="0045100D"/>
    <w:rsid w:val="00451073"/>
    <w:rsid w:val="0045108B"/>
    <w:rsid w:val="00451149"/>
    <w:rsid w:val="00451199"/>
    <w:rsid w:val="0045127C"/>
    <w:rsid w:val="00451331"/>
    <w:rsid w:val="00451341"/>
    <w:rsid w:val="0045135B"/>
    <w:rsid w:val="00451392"/>
    <w:rsid w:val="00451399"/>
    <w:rsid w:val="004513D0"/>
    <w:rsid w:val="004513D7"/>
    <w:rsid w:val="004513F5"/>
    <w:rsid w:val="00451430"/>
    <w:rsid w:val="00451480"/>
    <w:rsid w:val="004514B9"/>
    <w:rsid w:val="004514BD"/>
    <w:rsid w:val="004514DB"/>
    <w:rsid w:val="004514E0"/>
    <w:rsid w:val="004515C9"/>
    <w:rsid w:val="0045165A"/>
    <w:rsid w:val="00451683"/>
    <w:rsid w:val="00451684"/>
    <w:rsid w:val="004516DC"/>
    <w:rsid w:val="004516DF"/>
    <w:rsid w:val="004516EA"/>
    <w:rsid w:val="004516FD"/>
    <w:rsid w:val="004517A9"/>
    <w:rsid w:val="004517D6"/>
    <w:rsid w:val="00451817"/>
    <w:rsid w:val="0045190F"/>
    <w:rsid w:val="0045191F"/>
    <w:rsid w:val="0045196A"/>
    <w:rsid w:val="004519B6"/>
    <w:rsid w:val="004519C6"/>
    <w:rsid w:val="00451A08"/>
    <w:rsid w:val="00451B33"/>
    <w:rsid w:val="00451B83"/>
    <w:rsid w:val="00451C37"/>
    <w:rsid w:val="00451C55"/>
    <w:rsid w:val="00451C71"/>
    <w:rsid w:val="00451C80"/>
    <w:rsid w:val="00451CDB"/>
    <w:rsid w:val="00451CE1"/>
    <w:rsid w:val="00451D33"/>
    <w:rsid w:val="00451E3F"/>
    <w:rsid w:val="00451EA0"/>
    <w:rsid w:val="00451EB4"/>
    <w:rsid w:val="00451F7A"/>
    <w:rsid w:val="00451FB1"/>
    <w:rsid w:val="004520A8"/>
    <w:rsid w:val="004520B1"/>
    <w:rsid w:val="00452163"/>
    <w:rsid w:val="00452177"/>
    <w:rsid w:val="0045218E"/>
    <w:rsid w:val="0045219F"/>
    <w:rsid w:val="0045221F"/>
    <w:rsid w:val="004522B5"/>
    <w:rsid w:val="004522F4"/>
    <w:rsid w:val="004522FD"/>
    <w:rsid w:val="00452322"/>
    <w:rsid w:val="0045234D"/>
    <w:rsid w:val="00452358"/>
    <w:rsid w:val="00452368"/>
    <w:rsid w:val="004523D7"/>
    <w:rsid w:val="00452416"/>
    <w:rsid w:val="0045248D"/>
    <w:rsid w:val="004524EA"/>
    <w:rsid w:val="004525A3"/>
    <w:rsid w:val="004525CC"/>
    <w:rsid w:val="004526E4"/>
    <w:rsid w:val="004527F7"/>
    <w:rsid w:val="00452862"/>
    <w:rsid w:val="0045287B"/>
    <w:rsid w:val="00452926"/>
    <w:rsid w:val="0045299B"/>
    <w:rsid w:val="004529BA"/>
    <w:rsid w:val="004529BC"/>
    <w:rsid w:val="00452A78"/>
    <w:rsid w:val="00452AFC"/>
    <w:rsid w:val="00452B86"/>
    <w:rsid w:val="00452C2E"/>
    <w:rsid w:val="00452C46"/>
    <w:rsid w:val="00452D32"/>
    <w:rsid w:val="00452D99"/>
    <w:rsid w:val="00452DEB"/>
    <w:rsid w:val="00452E3C"/>
    <w:rsid w:val="00452E6F"/>
    <w:rsid w:val="00452ECA"/>
    <w:rsid w:val="0045301F"/>
    <w:rsid w:val="0045303B"/>
    <w:rsid w:val="00453054"/>
    <w:rsid w:val="004530BA"/>
    <w:rsid w:val="004531A2"/>
    <w:rsid w:val="00453242"/>
    <w:rsid w:val="0045328D"/>
    <w:rsid w:val="004532B1"/>
    <w:rsid w:val="00453344"/>
    <w:rsid w:val="0045342C"/>
    <w:rsid w:val="0045346E"/>
    <w:rsid w:val="00453474"/>
    <w:rsid w:val="004534A4"/>
    <w:rsid w:val="0045352E"/>
    <w:rsid w:val="00453558"/>
    <w:rsid w:val="00453560"/>
    <w:rsid w:val="004537BC"/>
    <w:rsid w:val="004537DE"/>
    <w:rsid w:val="00453854"/>
    <w:rsid w:val="00453961"/>
    <w:rsid w:val="00453A78"/>
    <w:rsid w:val="00453A98"/>
    <w:rsid w:val="00453AA1"/>
    <w:rsid w:val="00453AE5"/>
    <w:rsid w:val="00453B16"/>
    <w:rsid w:val="00453B62"/>
    <w:rsid w:val="00453BC7"/>
    <w:rsid w:val="00453C53"/>
    <w:rsid w:val="00453C56"/>
    <w:rsid w:val="00453CB3"/>
    <w:rsid w:val="00453CCA"/>
    <w:rsid w:val="00453CDA"/>
    <w:rsid w:val="00453DEB"/>
    <w:rsid w:val="00453EF6"/>
    <w:rsid w:val="00453F4E"/>
    <w:rsid w:val="00453FCD"/>
    <w:rsid w:val="004540B7"/>
    <w:rsid w:val="004540C2"/>
    <w:rsid w:val="004540E5"/>
    <w:rsid w:val="004541DC"/>
    <w:rsid w:val="004541E2"/>
    <w:rsid w:val="00454284"/>
    <w:rsid w:val="00454322"/>
    <w:rsid w:val="0045433E"/>
    <w:rsid w:val="0045435E"/>
    <w:rsid w:val="004543BF"/>
    <w:rsid w:val="00454451"/>
    <w:rsid w:val="00454470"/>
    <w:rsid w:val="00454490"/>
    <w:rsid w:val="00454602"/>
    <w:rsid w:val="0045466D"/>
    <w:rsid w:val="004546CF"/>
    <w:rsid w:val="00454768"/>
    <w:rsid w:val="00454783"/>
    <w:rsid w:val="00454872"/>
    <w:rsid w:val="00454913"/>
    <w:rsid w:val="0045492C"/>
    <w:rsid w:val="004549E2"/>
    <w:rsid w:val="00454B11"/>
    <w:rsid w:val="00454B7D"/>
    <w:rsid w:val="00454BB6"/>
    <w:rsid w:val="00454BE3"/>
    <w:rsid w:val="00454C0E"/>
    <w:rsid w:val="00454C97"/>
    <w:rsid w:val="00454D31"/>
    <w:rsid w:val="00454D5A"/>
    <w:rsid w:val="00454DB9"/>
    <w:rsid w:val="00454E5D"/>
    <w:rsid w:val="00454EAE"/>
    <w:rsid w:val="00454F2C"/>
    <w:rsid w:val="00454F33"/>
    <w:rsid w:val="00454F48"/>
    <w:rsid w:val="00454F6A"/>
    <w:rsid w:val="00454FDE"/>
    <w:rsid w:val="00454FE9"/>
    <w:rsid w:val="00455005"/>
    <w:rsid w:val="00455060"/>
    <w:rsid w:val="00455068"/>
    <w:rsid w:val="0045508F"/>
    <w:rsid w:val="00455119"/>
    <w:rsid w:val="00455186"/>
    <w:rsid w:val="004551E0"/>
    <w:rsid w:val="004551F2"/>
    <w:rsid w:val="004553C8"/>
    <w:rsid w:val="00455571"/>
    <w:rsid w:val="004555BB"/>
    <w:rsid w:val="004555CF"/>
    <w:rsid w:val="004555F2"/>
    <w:rsid w:val="0045560A"/>
    <w:rsid w:val="004556A4"/>
    <w:rsid w:val="004556E5"/>
    <w:rsid w:val="004556FB"/>
    <w:rsid w:val="00455746"/>
    <w:rsid w:val="00455815"/>
    <w:rsid w:val="0045584C"/>
    <w:rsid w:val="0045585E"/>
    <w:rsid w:val="00455A91"/>
    <w:rsid w:val="00455AAD"/>
    <w:rsid w:val="00455B0C"/>
    <w:rsid w:val="00455B15"/>
    <w:rsid w:val="00455B35"/>
    <w:rsid w:val="00455B40"/>
    <w:rsid w:val="00455C70"/>
    <w:rsid w:val="00455CCB"/>
    <w:rsid w:val="00455D47"/>
    <w:rsid w:val="00455D5D"/>
    <w:rsid w:val="00455D5F"/>
    <w:rsid w:val="00455E11"/>
    <w:rsid w:val="00455E52"/>
    <w:rsid w:val="00455ECE"/>
    <w:rsid w:val="00455F3C"/>
    <w:rsid w:val="00455F8B"/>
    <w:rsid w:val="0045609A"/>
    <w:rsid w:val="004560CC"/>
    <w:rsid w:val="004561EF"/>
    <w:rsid w:val="00456255"/>
    <w:rsid w:val="004562C3"/>
    <w:rsid w:val="0045632D"/>
    <w:rsid w:val="0045632F"/>
    <w:rsid w:val="004563E7"/>
    <w:rsid w:val="004564F0"/>
    <w:rsid w:val="00456518"/>
    <w:rsid w:val="0045655B"/>
    <w:rsid w:val="004565B2"/>
    <w:rsid w:val="004565D6"/>
    <w:rsid w:val="0045661C"/>
    <w:rsid w:val="0045672F"/>
    <w:rsid w:val="004567B3"/>
    <w:rsid w:val="004567DE"/>
    <w:rsid w:val="004567FA"/>
    <w:rsid w:val="00456856"/>
    <w:rsid w:val="00456867"/>
    <w:rsid w:val="004568FB"/>
    <w:rsid w:val="0045694D"/>
    <w:rsid w:val="00456A2D"/>
    <w:rsid w:val="00456AA6"/>
    <w:rsid w:val="00456AE2"/>
    <w:rsid w:val="00456B22"/>
    <w:rsid w:val="00456B47"/>
    <w:rsid w:val="00456C84"/>
    <w:rsid w:val="00456CDB"/>
    <w:rsid w:val="00456CE4"/>
    <w:rsid w:val="00456DDB"/>
    <w:rsid w:val="00456DE1"/>
    <w:rsid w:val="00456DF2"/>
    <w:rsid w:val="00456E14"/>
    <w:rsid w:val="00456EB6"/>
    <w:rsid w:val="00456F0E"/>
    <w:rsid w:val="00456F34"/>
    <w:rsid w:val="00456FF2"/>
    <w:rsid w:val="00457088"/>
    <w:rsid w:val="004570C2"/>
    <w:rsid w:val="00457135"/>
    <w:rsid w:val="004571A1"/>
    <w:rsid w:val="004572C9"/>
    <w:rsid w:val="004572E9"/>
    <w:rsid w:val="0045731C"/>
    <w:rsid w:val="0045736F"/>
    <w:rsid w:val="0045739E"/>
    <w:rsid w:val="0045743B"/>
    <w:rsid w:val="00457442"/>
    <w:rsid w:val="004574A1"/>
    <w:rsid w:val="004574FC"/>
    <w:rsid w:val="0045765D"/>
    <w:rsid w:val="00457665"/>
    <w:rsid w:val="00457755"/>
    <w:rsid w:val="004577C9"/>
    <w:rsid w:val="00457871"/>
    <w:rsid w:val="00457890"/>
    <w:rsid w:val="004578FC"/>
    <w:rsid w:val="00457927"/>
    <w:rsid w:val="00457A19"/>
    <w:rsid w:val="00457A92"/>
    <w:rsid w:val="00457B0C"/>
    <w:rsid w:val="00457B54"/>
    <w:rsid w:val="00457C12"/>
    <w:rsid w:val="00457C18"/>
    <w:rsid w:val="00457C58"/>
    <w:rsid w:val="00457D8D"/>
    <w:rsid w:val="00457DE0"/>
    <w:rsid w:val="00457EA6"/>
    <w:rsid w:val="00457EE9"/>
    <w:rsid w:val="00457FD4"/>
    <w:rsid w:val="00460018"/>
    <w:rsid w:val="004600E1"/>
    <w:rsid w:val="00460143"/>
    <w:rsid w:val="0046018A"/>
    <w:rsid w:val="004601F1"/>
    <w:rsid w:val="00460310"/>
    <w:rsid w:val="0046036C"/>
    <w:rsid w:val="0046037E"/>
    <w:rsid w:val="004603A7"/>
    <w:rsid w:val="0046043D"/>
    <w:rsid w:val="00460485"/>
    <w:rsid w:val="00460499"/>
    <w:rsid w:val="004604E0"/>
    <w:rsid w:val="00460597"/>
    <w:rsid w:val="004605C8"/>
    <w:rsid w:val="00460734"/>
    <w:rsid w:val="0046077A"/>
    <w:rsid w:val="004607A3"/>
    <w:rsid w:val="004607CF"/>
    <w:rsid w:val="00460821"/>
    <w:rsid w:val="0046083B"/>
    <w:rsid w:val="0046084D"/>
    <w:rsid w:val="004608BA"/>
    <w:rsid w:val="00460945"/>
    <w:rsid w:val="0046099B"/>
    <w:rsid w:val="00460B03"/>
    <w:rsid w:val="00460B11"/>
    <w:rsid w:val="00460B1E"/>
    <w:rsid w:val="00460B70"/>
    <w:rsid w:val="00460BA6"/>
    <w:rsid w:val="00460BAC"/>
    <w:rsid w:val="00460C87"/>
    <w:rsid w:val="00460CAF"/>
    <w:rsid w:val="00460CC3"/>
    <w:rsid w:val="00460CD6"/>
    <w:rsid w:val="00460CF9"/>
    <w:rsid w:val="00460D1E"/>
    <w:rsid w:val="00460D6F"/>
    <w:rsid w:val="00460E08"/>
    <w:rsid w:val="00460E7A"/>
    <w:rsid w:val="00460ED2"/>
    <w:rsid w:val="00460EFF"/>
    <w:rsid w:val="00460F18"/>
    <w:rsid w:val="00460F2E"/>
    <w:rsid w:val="00460F66"/>
    <w:rsid w:val="00460FF4"/>
    <w:rsid w:val="00461057"/>
    <w:rsid w:val="004610A3"/>
    <w:rsid w:val="00461127"/>
    <w:rsid w:val="0046115E"/>
    <w:rsid w:val="004611EC"/>
    <w:rsid w:val="0046120F"/>
    <w:rsid w:val="00461252"/>
    <w:rsid w:val="0046126C"/>
    <w:rsid w:val="004612D5"/>
    <w:rsid w:val="004612F7"/>
    <w:rsid w:val="00461341"/>
    <w:rsid w:val="004613C9"/>
    <w:rsid w:val="0046141C"/>
    <w:rsid w:val="00461457"/>
    <w:rsid w:val="004614AF"/>
    <w:rsid w:val="004614F4"/>
    <w:rsid w:val="0046155B"/>
    <w:rsid w:val="00461567"/>
    <w:rsid w:val="00461588"/>
    <w:rsid w:val="00461660"/>
    <w:rsid w:val="004616B7"/>
    <w:rsid w:val="00461792"/>
    <w:rsid w:val="004617D9"/>
    <w:rsid w:val="0046181F"/>
    <w:rsid w:val="00461861"/>
    <w:rsid w:val="0046189A"/>
    <w:rsid w:val="004618B9"/>
    <w:rsid w:val="00461941"/>
    <w:rsid w:val="00461974"/>
    <w:rsid w:val="004619C2"/>
    <w:rsid w:val="00461A15"/>
    <w:rsid w:val="00461A6B"/>
    <w:rsid w:val="00461A93"/>
    <w:rsid w:val="00461AB2"/>
    <w:rsid w:val="00461C42"/>
    <w:rsid w:val="00461D66"/>
    <w:rsid w:val="00461D8D"/>
    <w:rsid w:val="00461EFB"/>
    <w:rsid w:val="00461FAA"/>
    <w:rsid w:val="00461FEA"/>
    <w:rsid w:val="00461FEC"/>
    <w:rsid w:val="004620BE"/>
    <w:rsid w:val="004620E6"/>
    <w:rsid w:val="00462133"/>
    <w:rsid w:val="00462257"/>
    <w:rsid w:val="004622BB"/>
    <w:rsid w:val="00462346"/>
    <w:rsid w:val="0046235F"/>
    <w:rsid w:val="00462397"/>
    <w:rsid w:val="004623BD"/>
    <w:rsid w:val="0046240F"/>
    <w:rsid w:val="0046241B"/>
    <w:rsid w:val="00462494"/>
    <w:rsid w:val="004624AE"/>
    <w:rsid w:val="00462573"/>
    <w:rsid w:val="004625E2"/>
    <w:rsid w:val="00462657"/>
    <w:rsid w:val="0046272B"/>
    <w:rsid w:val="004627FB"/>
    <w:rsid w:val="0046281B"/>
    <w:rsid w:val="00462823"/>
    <w:rsid w:val="00462878"/>
    <w:rsid w:val="004628DB"/>
    <w:rsid w:val="00462943"/>
    <w:rsid w:val="00462A46"/>
    <w:rsid w:val="00462A85"/>
    <w:rsid w:val="00462B20"/>
    <w:rsid w:val="00462B8A"/>
    <w:rsid w:val="00462C17"/>
    <w:rsid w:val="00462C1D"/>
    <w:rsid w:val="00462CB9"/>
    <w:rsid w:val="00462D93"/>
    <w:rsid w:val="00462DE8"/>
    <w:rsid w:val="00462DE9"/>
    <w:rsid w:val="00462E1E"/>
    <w:rsid w:val="00462E24"/>
    <w:rsid w:val="00462E3A"/>
    <w:rsid w:val="00462E5E"/>
    <w:rsid w:val="00462E8E"/>
    <w:rsid w:val="00462F86"/>
    <w:rsid w:val="004630E4"/>
    <w:rsid w:val="00463183"/>
    <w:rsid w:val="004631CC"/>
    <w:rsid w:val="00463254"/>
    <w:rsid w:val="004632F3"/>
    <w:rsid w:val="0046335C"/>
    <w:rsid w:val="004633BF"/>
    <w:rsid w:val="00463429"/>
    <w:rsid w:val="004634D3"/>
    <w:rsid w:val="004635AF"/>
    <w:rsid w:val="00463613"/>
    <w:rsid w:val="0046364A"/>
    <w:rsid w:val="00463746"/>
    <w:rsid w:val="00463765"/>
    <w:rsid w:val="00463796"/>
    <w:rsid w:val="0046399A"/>
    <w:rsid w:val="004639B0"/>
    <w:rsid w:val="004639D0"/>
    <w:rsid w:val="00463A3D"/>
    <w:rsid w:val="00463B07"/>
    <w:rsid w:val="00463B4B"/>
    <w:rsid w:val="00463C91"/>
    <w:rsid w:val="00463CB5"/>
    <w:rsid w:val="00463CB7"/>
    <w:rsid w:val="00463D5B"/>
    <w:rsid w:val="00463D5C"/>
    <w:rsid w:val="00463D79"/>
    <w:rsid w:val="00463DEC"/>
    <w:rsid w:val="00463E08"/>
    <w:rsid w:val="00463E32"/>
    <w:rsid w:val="00463EF0"/>
    <w:rsid w:val="00463F76"/>
    <w:rsid w:val="00463F82"/>
    <w:rsid w:val="00463F9C"/>
    <w:rsid w:val="00463FE6"/>
    <w:rsid w:val="00464029"/>
    <w:rsid w:val="00464120"/>
    <w:rsid w:val="00464121"/>
    <w:rsid w:val="00464186"/>
    <w:rsid w:val="00464237"/>
    <w:rsid w:val="00464291"/>
    <w:rsid w:val="00464295"/>
    <w:rsid w:val="004642E2"/>
    <w:rsid w:val="00464323"/>
    <w:rsid w:val="00464380"/>
    <w:rsid w:val="004643F6"/>
    <w:rsid w:val="00464518"/>
    <w:rsid w:val="0046454C"/>
    <w:rsid w:val="004645D1"/>
    <w:rsid w:val="004645DE"/>
    <w:rsid w:val="00464733"/>
    <w:rsid w:val="00464753"/>
    <w:rsid w:val="00464876"/>
    <w:rsid w:val="00464897"/>
    <w:rsid w:val="004648E2"/>
    <w:rsid w:val="0046494F"/>
    <w:rsid w:val="00464973"/>
    <w:rsid w:val="00464974"/>
    <w:rsid w:val="004649AF"/>
    <w:rsid w:val="00464A5A"/>
    <w:rsid w:val="00464A75"/>
    <w:rsid w:val="00464B12"/>
    <w:rsid w:val="00464B7A"/>
    <w:rsid w:val="00464BB8"/>
    <w:rsid w:val="00464C0F"/>
    <w:rsid w:val="00464C7A"/>
    <w:rsid w:val="00464D32"/>
    <w:rsid w:val="00464DCD"/>
    <w:rsid w:val="00464E09"/>
    <w:rsid w:val="00464E66"/>
    <w:rsid w:val="00464FC9"/>
    <w:rsid w:val="00464FE4"/>
    <w:rsid w:val="00464FE9"/>
    <w:rsid w:val="00464FFC"/>
    <w:rsid w:val="00464FFF"/>
    <w:rsid w:val="00465051"/>
    <w:rsid w:val="00465082"/>
    <w:rsid w:val="0046510F"/>
    <w:rsid w:val="00465136"/>
    <w:rsid w:val="00465156"/>
    <w:rsid w:val="00465158"/>
    <w:rsid w:val="00465166"/>
    <w:rsid w:val="00465270"/>
    <w:rsid w:val="004652A2"/>
    <w:rsid w:val="004652A4"/>
    <w:rsid w:val="00465343"/>
    <w:rsid w:val="00465428"/>
    <w:rsid w:val="004654C1"/>
    <w:rsid w:val="00465505"/>
    <w:rsid w:val="00465533"/>
    <w:rsid w:val="00465546"/>
    <w:rsid w:val="0046554D"/>
    <w:rsid w:val="004655A2"/>
    <w:rsid w:val="004655B2"/>
    <w:rsid w:val="004655BE"/>
    <w:rsid w:val="004655F2"/>
    <w:rsid w:val="0046560A"/>
    <w:rsid w:val="0046569D"/>
    <w:rsid w:val="00465757"/>
    <w:rsid w:val="004657F0"/>
    <w:rsid w:val="00465822"/>
    <w:rsid w:val="00465912"/>
    <w:rsid w:val="004659C5"/>
    <w:rsid w:val="00465A72"/>
    <w:rsid w:val="00465B78"/>
    <w:rsid w:val="00465BA7"/>
    <w:rsid w:val="00465BFB"/>
    <w:rsid w:val="00465C46"/>
    <w:rsid w:val="00465C89"/>
    <w:rsid w:val="00465CAD"/>
    <w:rsid w:val="00465CF4"/>
    <w:rsid w:val="00465D2D"/>
    <w:rsid w:val="00465D4C"/>
    <w:rsid w:val="00465E34"/>
    <w:rsid w:val="00465E4A"/>
    <w:rsid w:val="00465EB1"/>
    <w:rsid w:val="00465EC0"/>
    <w:rsid w:val="00465ECC"/>
    <w:rsid w:val="0046604F"/>
    <w:rsid w:val="0046606C"/>
    <w:rsid w:val="004660A0"/>
    <w:rsid w:val="0046612C"/>
    <w:rsid w:val="004661F7"/>
    <w:rsid w:val="00466262"/>
    <w:rsid w:val="0046626E"/>
    <w:rsid w:val="00466292"/>
    <w:rsid w:val="00466354"/>
    <w:rsid w:val="004663D6"/>
    <w:rsid w:val="004663F7"/>
    <w:rsid w:val="004663FD"/>
    <w:rsid w:val="00466428"/>
    <w:rsid w:val="0046646D"/>
    <w:rsid w:val="004666B4"/>
    <w:rsid w:val="004666EA"/>
    <w:rsid w:val="00466848"/>
    <w:rsid w:val="0046688A"/>
    <w:rsid w:val="00466A2D"/>
    <w:rsid w:val="00466A3F"/>
    <w:rsid w:val="00466A5A"/>
    <w:rsid w:val="00466B4C"/>
    <w:rsid w:val="00466B52"/>
    <w:rsid w:val="00466C18"/>
    <w:rsid w:val="00466C64"/>
    <w:rsid w:val="00466C95"/>
    <w:rsid w:val="00466CF4"/>
    <w:rsid w:val="00466D08"/>
    <w:rsid w:val="00466D2F"/>
    <w:rsid w:val="00466D4B"/>
    <w:rsid w:val="00466D94"/>
    <w:rsid w:val="00466E19"/>
    <w:rsid w:val="00466E6F"/>
    <w:rsid w:val="00466E94"/>
    <w:rsid w:val="00466F24"/>
    <w:rsid w:val="00466FCD"/>
    <w:rsid w:val="00466FE3"/>
    <w:rsid w:val="0046704E"/>
    <w:rsid w:val="004670B3"/>
    <w:rsid w:val="004670B6"/>
    <w:rsid w:val="004671C6"/>
    <w:rsid w:val="004671FC"/>
    <w:rsid w:val="00467337"/>
    <w:rsid w:val="004673FD"/>
    <w:rsid w:val="0046745E"/>
    <w:rsid w:val="004674F3"/>
    <w:rsid w:val="00467502"/>
    <w:rsid w:val="00467539"/>
    <w:rsid w:val="0046755B"/>
    <w:rsid w:val="004675FB"/>
    <w:rsid w:val="00467765"/>
    <w:rsid w:val="00467794"/>
    <w:rsid w:val="0046779F"/>
    <w:rsid w:val="004679FE"/>
    <w:rsid w:val="00467A49"/>
    <w:rsid w:val="00467A68"/>
    <w:rsid w:val="00467C55"/>
    <w:rsid w:val="00467C75"/>
    <w:rsid w:val="00467D12"/>
    <w:rsid w:val="00467DDF"/>
    <w:rsid w:val="00467DFE"/>
    <w:rsid w:val="00467E7C"/>
    <w:rsid w:val="00467E80"/>
    <w:rsid w:val="00467E9A"/>
    <w:rsid w:val="00467FD9"/>
    <w:rsid w:val="004684E3"/>
    <w:rsid w:val="004700A1"/>
    <w:rsid w:val="00470118"/>
    <w:rsid w:val="00470135"/>
    <w:rsid w:val="00470198"/>
    <w:rsid w:val="004701A9"/>
    <w:rsid w:val="004701F5"/>
    <w:rsid w:val="0047020B"/>
    <w:rsid w:val="00470270"/>
    <w:rsid w:val="004702A3"/>
    <w:rsid w:val="004702CE"/>
    <w:rsid w:val="004702DD"/>
    <w:rsid w:val="004704E1"/>
    <w:rsid w:val="004705DD"/>
    <w:rsid w:val="004705DF"/>
    <w:rsid w:val="00470765"/>
    <w:rsid w:val="004707E5"/>
    <w:rsid w:val="0047081D"/>
    <w:rsid w:val="00470857"/>
    <w:rsid w:val="004708B8"/>
    <w:rsid w:val="004708BC"/>
    <w:rsid w:val="0047096B"/>
    <w:rsid w:val="004709A3"/>
    <w:rsid w:val="004709CD"/>
    <w:rsid w:val="00470A03"/>
    <w:rsid w:val="00470A1F"/>
    <w:rsid w:val="00470A3D"/>
    <w:rsid w:val="00470AA0"/>
    <w:rsid w:val="00470ABE"/>
    <w:rsid w:val="00470ACF"/>
    <w:rsid w:val="00470AE0"/>
    <w:rsid w:val="00470AEC"/>
    <w:rsid w:val="00470B24"/>
    <w:rsid w:val="00470BA1"/>
    <w:rsid w:val="00470BB8"/>
    <w:rsid w:val="00470BE3"/>
    <w:rsid w:val="00470C35"/>
    <w:rsid w:val="00470C53"/>
    <w:rsid w:val="00470DDE"/>
    <w:rsid w:val="00470E0E"/>
    <w:rsid w:val="00470E7E"/>
    <w:rsid w:val="00470F4C"/>
    <w:rsid w:val="00470F4F"/>
    <w:rsid w:val="00470F6A"/>
    <w:rsid w:val="00470FC4"/>
    <w:rsid w:val="00470FE8"/>
    <w:rsid w:val="00471012"/>
    <w:rsid w:val="00471040"/>
    <w:rsid w:val="0047112D"/>
    <w:rsid w:val="004711CD"/>
    <w:rsid w:val="004711E0"/>
    <w:rsid w:val="004711EA"/>
    <w:rsid w:val="00471206"/>
    <w:rsid w:val="0047122F"/>
    <w:rsid w:val="00471284"/>
    <w:rsid w:val="004712BA"/>
    <w:rsid w:val="0047133E"/>
    <w:rsid w:val="004713E5"/>
    <w:rsid w:val="00471429"/>
    <w:rsid w:val="00471441"/>
    <w:rsid w:val="004714B9"/>
    <w:rsid w:val="004714EE"/>
    <w:rsid w:val="0047150E"/>
    <w:rsid w:val="00471606"/>
    <w:rsid w:val="00471658"/>
    <w:rsid w:val="004716BE"/>
    <w:rsid w:val="004716F2"/>
    <w:rsid w:val="0047179C"/>
    <w:rsid w:val="004717DC"/>
    <w:rsid w:val="00471825"/>
    <w:rsid w:val="004718CA"/>
    <w:rsid w:val="004718E9"/>
    <w:rsid w:val="004718EF"/>
    <w:rsid w:val="00471992"/>
    <w:rsid w:val="00471A4F"/>
    <w:rsid w:val="00471A79"/>
    <w:rsid w:val="00471AF7"/>
    <w:rsid w:val="00471B2E"/>
    <w:rsid w:val="00471C7A"/>
    <w:rsid w:val="00471CC6"/>
    <w:rsid w:val="00471E00"/>
    <w:rsid w:val="00471E8C"/>
    <w:rsid w:val="00471EBA"/>
    <w:rsid w:val="00471ECA"/>
    <w:rsid w:val="00471F4F"/>
    <w:rsid w:val="00471FA1"/>
    <w:rsid w:val="00472029"/>
    <w:rsid w:val="00472067"/>
    <w:rsid w:val="0047210E"/>
    <w:rsid w:val="0047216D"/>
    <w:rsid w:val="004721B8"/>
    <w:rsid w:val="0047221A"/>
    <w:rsid w:val="00472231"/>
    <w:rsid w:val="0047228D"/>
    <w:rsid w:val="0047233D"/>
    <w:rsid w:val="00472363"/>
    <w:rsid w:val="00472366"/>
    <w:rsid w:val="004724AD"/>
    <w:rsid w:val="004724DD"/>
    <w:rsid w:val="00472533"/>
    <w:rsid w:val="004725BD"/>
    <w:rsid w:val="004725C3"/>
    <w:rsid w:val="00472683"/>
    <w:rsid w:val="004727DB"/>
    <w:rsid w:val="004727E9"/>
    <w:rsid w:val="0047286A"/>
    <w:rsid w:val="004728AF"/>
    <w:rsid w:val="00472938"/>
    <w:rsid w:val="004729E2"/>
    <w:rsid w:val="00472A6A"/>
    <w:rsid w:val="00472AF7"/>
    <w:rsid w:val="00472B62"/>
    <w:rsid w:val="00472B71"/>
    <w:rsid w:val="00472BB3"/>
    <w:rsid w:val="00472C1A"/>
    <w:rsid w:val="00472C96"/>
    <w:rsid w:val="00472CA5"/>
    <w:rsid w:val="00472CBA"/>
    <w:rsid w:val="00472E4D"/>
    <w:rsid w:val="00472EC7"/>
    <w:rsid w:val="00472EE5"/>
    <w:rsid w:val="00472F15"/>
    <w:rsid w:val="0047306B"/>
    <w:rsid w:val="004730C3"/>
    <w:rsid w:val="004731B8"/>
    <w:rsid w:val="004731DC"/>
    <w:rsid w:val="00473204"/>
    <w:rsid w:val="0047320A"/>
    <w:rsid w:val="00473211"/>
    <w:rsid w:val="00473302"/>
    <w:rsid w:val="0047330F"/>
    <w:rsid w:val="004733D5"/>
    <w:rsid w:val="00473461"/>
    <w:rsid w:val="00473493"/>
    <w:rsid w:val="004734BB"/>
    <w:rsid w:val="0047351F"/>
    <w:rsid w:val="00473528"/>
    <w:rsid w:val="0047352F"/>
    <w:rsid w:val="00473579"/>
    <w:rsid w:val="0047358B"/>
    <w:rsid w:val="004735FD"/>
    <w:rsid w:val="004736DD"/>
    <w:rsid w:val="00473767"/>
    <w:rsid w:val="00473800"/>
    <w:rsid w:val="00473830"/>
    <w:rsid w:val="004738DD"/>
    <w:rsid w:val="0047392F"/>
    <w:rsid w:val="0047397A"/>
    <w:rsid w:val="00473B41"/>
    <w:rsid w:val="00473BED"/>
    <w:rsid w:val="00473C2D"/>
    <w:rsid w:val="00473CF3"/>
    <w:rsid w:val="00473D77"/>
    <w:rsid w:val="00473DCC"/>
    <w:rsid w:val="00473EFD"/>
    <w:rsid w:val="00473F04"/>
    <w:rsid w:val="00473FAE"/>
    <w:rsid w:val="004740BB"/>
    <w:rsid w:val="004740E4"/>
    <w:rsid w:val="004741E7"/>
    <w:rsid w:val="0047426D"/>
    <w:rsid w:val="004742D9"/>
    <w:rsid w:val="0047431E"/>
    <w:rsid w:val="00474341"/>
    <w:rsid w:val="00474397"/>
    <w:rsid w:val="004743CA"/>
    <w:rsid w:val="0047447D"/>
    <w:rsid w:val="004745BE"/>
    <w:rsid w:val="0047477D"/>
    <w:rsid w:val="00474786"/>
    <w:rsid w:val="004747E9"/>
    <w:rsid w:val="0047486D"/>
    <w:rsid w:val="00474911"/>
    <w:rsid w:val="00474951"/>
    <w:rsid w:val="0047498A"/>
    <w:rsid w:val="004749CF"/>
    <w:rsid w:val="004749ED"/>
    <w:rsid w:val="00474A8C"/>
    <w:rsid w:val="00474B2A"/>
    <w:rsid w:val="00474BB2"/>
    <w:rsid w:val="00474BC5"/>
    <w:rsid w:val="00474C16"/>
    <w:rsid w:val="00474C33"/>
    <w:rsid w:val="00474C84"/>
    <w:rsid w:val="00474E77"/>
    <w:rsid w:val="00474E96"/>
    <w:rsid w:val="00474F53"/>
    <w:rsid w:val="00474F6C"/>
    <w:rsid w:val="00474F87"/>
    <w:rsid w:val="00474FAA"/>
    <w:rsid w:val="00474FB1"/>
    <w:rsid w:val="00475085"/>
    <w:rsid w:val="004750A7"/>
    <w:rsid w:val="0047517C"/>
    <w:rsid w:val="0047519B"/>
    <w:rsid w:val="004751D5"/>
    <w:rsid w:val="004751D8"/>
    <w:rsid w:val="0047523B"/>
    <w:rsid w:val="00475285"/>
    <w:rsid w:val="004752B2"/>
    <w:rsid w:val="00475338"/>
    <w:rsid w:val="0047533E"/>
    <w:rsid w:val="004753D8"/>
    <w:rsid w:val="0047570E"/>
    <w:rsid w:val="0047571F"/>
    <w:rsid w:val="00475798"/>
    <w:rsid w:val="004758B1"/>
    <w:rsid w:val="004758F4"/>
    <w:rsid w:val="00475923"/>
    <w:rsid w:val="00475931"/>
    <w:rsid w:val="00475987"/>
    <w:rsid w:val="0047598D"/>
    <w:rsid w:val="004759DE"/>
    <w:rsid w:val="00475AFC"/>
    <w:rsid w:val="00475B3B"/>
    <w:rsid w:val="00475BEC"/>
    <w:rsid w:val="00475C22"/>
    <w:rsid w:val="00475C28"/>
    <w:rsid w:val="00475C4D"/>
    <w:rsid w:val="00475D02"/>
    <w:rsid w:val="00475D0E"/>
    <w:rsid w:val="00475D19"/>
    <w:rsid w:val="00475D1E"/>
    <w:rsid w:val="00475D54"/>
    <w:rsid w:val="00475DA8"/>
    <w:rsid w:val="00475DD3"/>
    <w:rsid w:val="00475E7F"/>
    <w:rsid w:val="00475F27"/>
    <w:rsid w:val="00475F3D"/>
    <w:rsid w:val="00475F4D"/>
    <w:rsid w:val="004760F7"/>
    <w:rsid w:val="004760F9"/>
    <w:rsid w:val="00476157"/>
    <w:rsid w:val="00476225"/>
    <w:rsid w:val="004762D5"/>
    <w:rsid w:val="00476382"/>
    <w:rsid w:val="004763D2"/>
    <w:rsid w:val="00476406"/>
    <w:rsid w:val="00476409"/>
    <w:rsid w:val="00476429"/>
    <w:rsid w:val="004764FD"/>
    <w:rsid w:val="00476565"/>
    <w:rsid w:val="0047656A"/>
    <w:rsid w:val="004765BD"/>
    <w:rsid w:val="00476645"/>
    <w:rsid w:val="004766D2"/>
    <w:rsid w:val="00476714"/>
    <w:rsid w:val="0047676B"/>
    <w:rsid w:val="00476789"/>
    <w:rsid w:val="0047678A"/>
    <w:rsid w:val="004767AF"/>
    <w:rsid w:val="004767C4"/>
    <w:rsid w:val="0047684C"/>
    <w:rsid w:val="0047693F"/>
    <w:rsid w:val="00476A5D"/>
    <w:rsid w:val="00476ABC"/>
    <w:rsid w:val="00476AD3"/>
    <w:rsid w:val="00476AF5"/>
    <w:rsid w:val="00476B3B"/>
    <w:rsid w:val="00476C25"/>
    <w:rsid w:val="00476C9C"/>
    <w:rsid w:val="00476CC5"/>
    <w:rsid w:val="00476D63"/>
    <w:rsid w:val="00476EB4"/>
    <w:rsid w:val="00476F38"/>
    <w:rsid w:val="00476FA2"/>
    <w:rsid w:val="00476FAF"/>
    <w:rsid w:val="00476FDE"/>
    <w:rsid w:val="00477081"/>
    <w:rsid w:val="00477090"/>
    <w:rsid w:val="004770A3"/>
    <w:rsid w:val="0047710A"/>
    <w:rsid w:val="00477119"/>
    <w:rsid w:val="00477128"/>
    <w:rsid w:val="0047716A"/>
    <w:rsid w:val="00477178"/>
    <w:rsid w:val="004771A2"/>
    <w:rsid w:val="00477234"/>
    <w:rsid w:val="00477289"/>
    <w:rsid w:val="0047728C"/>
    <w:rsid w:val="0047730D"/>
    <w:rsid w:val="004773D6"/>
    <w:rsid w:val="004774EC"/>
    <w:rsid w:val="004775DF"/>
    <w:rsid w:val="004776C4"/>
    <w:rsid w:val="0047779D"/>
    <w:rsid w:val="004777A6"/>
    <w:rsid w:val="004777AC"/>
    <w:rsid w:val="004777BE"/>
    <w:rsid w:val="004777EC"/>
    <w:rsid w:val="00477850"/>
    <w:rsid w:val="00477855"/>
    <w:rsid w:val="004779FB"/>
    <w:rsid w:val="00477A81"/>
    <w:rsid w:val="00477A8F"/>
    <w:rsid w:val="00477A9D"/>
    <w:rsid w:val="00477ABC"/>
    <w:rsid w:val="00477B72"/>
    <w:rsid w:val="00477B7D"/>
    <w:rsid w:val="00477BC3"/>
    <w:rsid w:val="00477C3E"/>
    <w:rsid w:val="00477CC2"/>
    <w:rsid w:val="00477D3F"/>
    <w:rsid w:val="00477D86"/>
    <w:rsid w:val="00477DA8"/>
    <w:rsid w:val="00477DAF"/>
    <w:rsid w:val="00477DDF"/>
    <w:rsid w:val="00477DE9"/>
    <w:rsid w:val="00477E18"/>
    <w:rsid w:val="00477E72"/>
    <w:rsid w:val="00477FEB"/>
    <w:rsid w:val="00477FF8"/>
    <w:rsid w:val="00480015"/>
    <w:rsid w:val="00480052"/>
    <w:rsid w:val="00480069"/>
    <w:rsid w:val="004800B2"/>
    <w:rsid w:val="004800F4"/>
    <w:rsid w:val="0048011D"/>
    <w:rsid w:val="00480158"/>
    <w:rsid w:val="004801EF"/>
    <w:rsid w:val="00480259"/>
    <w:rsid w:val="0048028C"/>
    <w:rsid w:val="004802EB"/>
    <w:rsid w:val="00480312"/>
    <w:rsid w:val="00480390"/>
    <w:rsid w:val="00480564"/>
    <w:rsid w:val="0048058C"/>
    <w:rsid w:val="004805A4"/>
    <w:rsid w:val="004806C1"/>
    <w:rsid w:val="00480793"/>
    <w:rsid w:val="004808F5"/>
    <w:rsid w:val="00480969"/>
    <w:rsid w:val="0048099C"/>
    <w:rsid w:val="004809E6"/>
    <w:rsid w:val="00480A42"/>
    <w:rsid w:val="00480A64"/>
    <w:rsid w:val="00480A90"/>
    <w:rsid w:val="00480BA2"/>
    <w:rsid w:val="00480BDF"/>
    <w:rsid w:val="00480C26"/>
    <w:rsid w:val="00480C67"/>
    <w:rsid w:val="00480D30"/>
    <w:rsid w:val="00480D50"/>
    <w:rsid w:val="00480D7E"/>
    <w:rsid w:val="00480DA5"/>
    <w:rsid w:val="00480E5C"/>
    <w:rsid w:val="00480EBC"/>
    <w:rsid w:val="00480ECB"/>
    <w:rsid w:val="00480F43"/>
    <w:rsid w:val="00480F47"/>
    <w:rsid w:val="00480FEF"/>
    <w:rsid w:val="0048107D"/>
    <w:rsid w:val="00481309"/>
    <w:rsid w:val="00481316"/>
    <w:rsid w:val="00481460"/>
    <w:rsid w:val="004815CC"/>
    <w:rsid w:val="004815F5"/>
    <w:rsid w:val="00481619"/>
    <w:rsid w:val="00481680"/>
    <w:rsid w:val="0048168C"/>
    <w:rsid w:val="00481694"/>
    <w:rsid w:val="004817B5"/>
    <w:rsid w:val="004817E1"/>
    <w:rsid w:val="00481822"/>
    <w:rsid w:val="00481837"/>
    <w:rsid w:val="00481866"/>
    <w:rsid w:val="0048186A"/>
    <w:rsid w:val="00481871"/>
    <w:rsid w:val="00481922"/>
    <w:rsid w:val="00481995"/>
    <w:rsid w:val="0048199F"/>
    <w:rsid w:val="004819E3"/>
    <w:rsid w:val="00481A65"/>
    <w:rsid w:val="00481A88"/>
    <w:rsid w:val="00481AC7"/>
    <w:rsid w:val="00481B0D"/>
    <w:rsid w:val="00481B34"/>
    <w:rsid w:val="00481B71"/>
    <w:rsid w:val="00481B73"/>
    <w:rsid w:val="00481C84"/>
    <w:rsid w:val="00481CD2"/>
    <w:rsid w:val="00481DA6"/>
    <w:rsid w:val="00481E1F"/>
    <w:rsid w:val="00481EBB"/>
    <w:rsid w:val="00481ED6"/>
    <w:rsid w:val="00481EE9"/>
    <w:rsid w:val="00481F2B"/>
    <w:rsid w:val="00481F33"/>
    <w:rsid w:val="00481F39"/>
    <w:rsid w:val="00481F73"/>
    <w:rsid w:val="00481F9A"/>
    <w:rsid w:val="0048203A"/>
    <w:rsid w:val="0048211A"/>
    <w:rsid w:val="00482135"/>
    <w:rsid w:val="00482168"/>
    <w:rsid w:val="004821C4"/>
    <w:rsid w:val="004821EE"/>
    <w:rsid w:val="00482207"/>
    <w:rsid w:val="004822EC"/>
    <w:rsid w:val="004822EE"/>
    <w:rsid w:val="00482303"/>
    <w:rsid w:val="004824CA"/>
    <w:rsid w:val="0048253E"/>
    <w:rsid w:val="00482664"/>
    <w:rsid w:val="00482676"/>
    <w:rsid w:val="0048269D"/>
    <w:rsid w:val="004826EF"/>
    <w:rsid w:val="00482772"/>
    <w:rsid w:val="004827DA"/>
    <w:rsid w:val="0048291D"/>
    <w:rsid w:val="00482971"/>
    <w:rsid w:val="00482995"/>
    <w:rsid w:val="00482A01"/>
    <w:rsid w:val="00482A5C"/>
    <w:rsid w:val="00482A6F"/>
    <w:rsid w:val="00482A87"/>
    <w:rsid w:val="00482AA1"/>
    <w:rsid w:val="00482ACA"/>
    <w:rsid w:val="00482BCA"/>
    <w:rsid w:val="00482CB0"/>
    <w:rsid w:val="00482CC5"/>
    <w:rsid w:val="00482D89"/>
    <w:rsid w:val="00482D91"/>
    <w:rsid w:val="00482E26"/>
    <w:rsid w:val="00482E4C"/>
    <w:rsid w:val="00482E72"/>
    <w:rsid w:val="00482F7F"/>
    <w:rsid w:val="00483033"/>
    <w:rsid w:val="004830A0"/>
    <w:rsid w:val="004830B3"/>
    <w:rsid w:val="004831AA"/>
    <w:rsid w:val="0048321E"/>
    <w:rsid w:val="004832EC"/>
    <w:rsid w:val="0048342B"/>
    <w:rsid w:val="00483447"/>
    <w:rsid w:val="004834A1"/>
    <w:rsid w:val="004834C5"/>
    <w:rsid w:val="0048351C"/>
    <w:rsid w:val="00483552"/>
    <w:rsid w:val="0048355A"/>
    <w:rsid w:val="00483649"/>
    <w:rsid w:val="0048368A"/>
    <w:rsid w:val="004836CA"/>
    <w:rsid w:val="00483774"/>
    <w:rsid w:val="004837A3"/>
    <w:rsid w:val="00483801"/>
    <w:rsid w:val="004838A6"/>
    <w:rsid w:val="0048392F"/>
    <w:rsid w:val="0048395E"/>
    <w:rsid w:val="0048398B"/>
    <w:rsid w:val="00483A0F"/>
    <w:rsid w:val="00483A33"/>
    <w:rsid w:val="00483AA9"/>
    <w:rsid w:val="00483AED"/>
    <w:rsid w:val="00483B0C"/>
    <w:rsid w:val="00483BAC"/>
    <w:rsid w:val="00483BF4"/>
    <w:rsid w:val="00483CB1"/>
    <w:rsid w:val="00483CBB"/>
    <w:rsid w:val="00483D68"/>
    <w:rsid w:val="00483E76"/>
    <w:rsid w:val="00483EB1"/>
    <w:rsid w:val="00483EC6"/>
    <w:rsid w:val="00483F19"/>
    <w:rsid w:val="00484005"/>
    <w:rsid w:val="00484028"/>
    <w:rsid w:val="00484052"/>
    <w:rsid w:val="0048405B"/>
    <w:rsid w:val="004840BC"/>
    <w:rsid w:val="00484139"/>
    <w:rsid w:val="0048415D"/>
    <w:rsid w:val="004841A1"/>
    <w:rsid w:val="004841F0"/>
    <w:rsid w:val="0048422A"/>
    <w:rsid w:val="004842BC"/>
    <w:rsid w:val="00484373"/>
    <w:rsid w:val="00484388"/>
    <w:rsid w:val="00484399"/>
    <w:rsid w:val="00484440"/>
    <w:rsid w:val="0048448A"/>
    <w:rsid w:val="004844BC"/>
    <w:rsid w:val="004845D5"/>
    <w:rsid w:val="00484681"/>
    <w:rsid w:val="0048471F"/>
    <w:rsid w:val="004847E2"/>
    <w:rsid w:val="0048484D"/>
    <w:rsid w:val="004848A8"/>
    <w:rsid w:val="004848F2"/>
    <w:rsid w:val="00484925"/>
    <w:rsid w:val="00484926"/>
    <w:rsid w:val="00484A6E"/>
    <w:rsid w:val="00484B02"/>
    <w:rsid w:val="00484B74"/>
    <w:rsid w:val="00484B83"/>
    <w:rsid w:val="00484BD8"/>
    <w:rsid w:val="00484BDD"/>
    <w:rsid w:val="00484C82"/>
    <w:rsid w:val="00484D63"/>
    <w:rsid w:val="00484DCE"/>
    <w:rsid w:val="00484DE4"/>
    <w:rsid w:val="00484EC8"/>
    <w:rsid w:val="00484F27"/>
    <w:rsid w:val="00484F28"/>
    <w:rsid w:val="00484FE2"/>
    <w:rsid w:val="0048500F"/>
    <w:rsid w:val="0048507A"/>
    <w:rsid w:val="00485081"/>
    <w:rsid w:val="0048509B"/>
    <w:rsid w:val="00485115"/>
    <w:rsid w:val="00485256"/>
    <w:rsid w:val="00485282"/>
    <w:rsid w:val="004852FD"/>
    <w:rsid w:val="00485321"/>
    <w:rsid w:val="0048553D"/>
    <w:rsid w:val="004855C9"/>
    <w:rsid w:val="0048561B"/>
    <w:rsid w:val="004856F9"/>
    <w:rsid w:val="00485706"/>
    <w:rsid w:val="004857AF"/>
    <w:rsid w:val="004857D8"/>
    <w:rsid w:val="00485820"/>
    <w:rsid w:val="00485848"/>
    <w:rsid w:val="004858B3"/>
    <w:rsid w:val="0048595D"/>
    <w:rsid w:val="00485969"/>
    <w:rsid w:val="00485976"/>
    <w:rsid w:val="0048599E"/>
    <w:rsid w:val="00485A12"/>
    <w:rsid w:val="00485A49"/>
    <w:rsid w:val="00485AAA"/>
    <w:rsid w:val="00485ACF"/>
    <w:rsid w:val="00485B18"/>
    <w:rsid w:val="00485B33"/>
    <w:rsid w:val="00485BAE"/>
    <w:rsid w:val="00485BEB"/>
    <w:rsid w:val="00485C66"/>
    <w:rsid w:val="00485C6B"/>
    <w:rsid w:val="00485C77"/>
    <w:rsid w:val="00485D09"/>
    <w:rsid w:val="00485D34"/>
    <w:rsid w:val="00485D9E"/>
    <w:rsid w:val="00485E18"/>
    <w:rsid w:val="00485E3E"/>
    <w:rsid w:val="00485F12"/>
    <w:rsid w:val="00485F6D"/>
    <w:rsid w:val="00485F7A"/>
    <w:rsid w:val="00485F83"/>
    <w:rsid w:val="00486012"/>
    <w:rsid w:val="004860CE"/>
    <w:rsid w:val="004861D6"/>
    <w:rsid w:val="00486298"/>
    <w:rsid w:val="0048629E"/>
    <w:rsid w:val="004862C6"/>
    <w:rsid w:val="0048631C"/>
    <w:rsid w:val="004863A0"/>
    <w:rsid w:val="004863E3"/>
    <w:rsid w:val="0048644E"/>
    <w:rsid w:val="00486453"/>
    <w:rsid w:val="004864B0"/>
    <w:rsid w:val="004864B5"/>
    <w:rsid w:val="004865C1"/>
    <w:rsid w:val="00486611"/>
    <w:rsid w:val="0048664D"/>
    <w:rsid w:val="00486730"/>
    <w:rsid w:val="004867F6"/>
    <w:rsid w:val="00486846"/>
    <w:rsid w:val="00486888"/>
    <w:rsid w:val="0048688A"/>
    <w:rsid w:val="004868A2"/>
    <w:rsid w:val="004868C1"/>
    <w:rsid w:val="00486901"/>
    <w:rsid w:val="00486911"/>
    <w:rsid w:val="0048691E"/>
    <w:rsid w:val="004869A7"/>
    <w:rsid w:val="00486ADD"/>
    <w:rsid w:val="00486B73"/>
    <w:rsid w:val="00486B82"/>
    <w:rsid w:val="00486BF2"/>
    <w:rsid w:val="00486D49"/>
    <w:rsid w:val="00486D59"/>
    <w:rsid w:val="00486DD1"/>
    <w:rsid w:val="00486E3E"/>
    <w:rsid w:val="00486EA4"/>
    <w:rsid w:val="00486F82"/>
    <w:rsid w:val="00486FB2"/>
    <w:rsid w:val="004870B1"/>
    <w:rsid w:val="00487134"/>
    <w:rsid w:val="00487171"/>
    <w:rsid w:val="0048725E"/>
    <w:rsid w:val="00487262"/>
    <w:rsid w:val="004872C9"/>
    <w:rsid w:val="00487317"/>
    <w:rsid w:val="00487348"/>
    <w:rsid w:val="004873B4"/>
    <w:rsid w:val="004873C3"/>
    <w:rsid w:val="0048741D"/>
    <w:rsid w:val="00487484"/>
    <w:rsid w:val="0048749B"/>
    <w:rsid w:val="00487504"/>
    <w:rsid w:val="0048752A"/>
    <w:rsid w:val="00487554"/>
    <w:rsid w:val="00487570"/>
    <w:rsid w:val="00487580"/>
    <w:rsid w:val="00487598"/>
    <w:rsid w:val="00487664"/>
    <w:rsid w:val="00487692"/>
    <w:rsid w:val="004876C2"/>
    <w:rsid w:val="004876FF"/>
    <w:rsid w:val="0048772C"/>
    <w:rsid w:val="00487730"/>
    <w:rsid w:val="00487755"/>
    <w:rsid w:val="0048781D"/>
    <w:rsid w:val="00487836"/>
    <w:rsid w:val="004878FF"/>
    <w:rsid w:val="00487913"/>
    <w:rsid w:val="00487937"/>
    <w:rsid w:val="00487A8C"/>
    <w:rsid w:val="00487A8E"/>
    <w:rsid w:val="00487B56"/>
    <w:rsid w:val="00487BCA"/>
    <w:rsid w:val="00487BD5"/>
    <w:rsid w:val="00487C1D"/>
    <w:rsid w:val="00487C78"/>
    <w:rsid w:val="00487CAD"/>
    <w:rsid w:val="00487CBF"/>
    <w:rsid w:val="00487D5D"/>
    <w:rsid w:val="00487D9B"/>
    <w:rsid w:val="00487DBB"/>
    <w:rsid w:val="00487DEA"/>
    <w:rsid w:val="00487EEA"/>
    <w:rsid w:val="00487F9B"/>
    <w:rsid w:val="00490022"/>
    <w:rsid w:val="00490052"/>
    <w:rsid w:val="004901F6"/>
    <w:rsid w:val="00490229"/>
    <w:rsid w:val="00490231"/>
    <w:rsid w:val="00490259"/>
    <w:rsid w:val="004902EC"/>
    <w:rsid w:val="0049043C"/>
    <w:rsid w:val="00490460"/>
    <w:rsid w:val="0049048F"/>
    <w:rsid w:val="004904BE"/>
    <w:rsid w:val="004904E8"/>
    <w:rsid w:val="004904FD"/>
    <w:rsid w:val="0049053C"/>
    <w:rsid w:val="00490596"/>
    <w:rsid w:val="00490639"/>
    <w:rsid w:val="00490697"/>
    <w:rsid w:val="004906C6"/>
    <w:rsid w:val="00490712"/>
    <w:rsid w:val="00490734"/>
    <w:rsid w:val="00490787"/>
    <w:rsid w:val="00490883"/>
    <w:rsid w:val="004908B1"/>
    <w:rsid w:val="0049093C"/>
    <w:rsid w:val="00490974"/>
    <w:rsid w:val="004909B2"/>
    <w:rsid w:val="00490A34"/>
    <w:rsid w:val="00490AD8"/>
    <w:rsid w:val="00490B85"/>
    <w:rsid w:val="00490C7E"/>
    <w:rsid w:val="00490CB4"/>
    <w:rsid w:val="00490CCA"/>
    <w:rsid w:val="00490CE5"/>
    <w:rsid w:val="00490D0E"/>
    <w:rsid w:val="00490D1C"/>
    <w:rsid w:val="00490D43"/>
    <w:rsid w:val="00490D47"/>
    <w:rsid w:val="00490D98"/>
    <w:rsid w:val="00490DE1"/>
    <w:rsid w:val="00490DE3"/>
    <w:rsid w:val="00490DFF"/>
    <w:rsid w:val="00490E08"/>
    <w:rsid w:val="00490E17"/>
    <w:rsid w:val="00490EC0"/>
    <w:rsid w:val="00490EE6"/>
    <w:rsid w:val="00490EEA"/>
    <w:rsid w:val="00490F30"/>
    <w:rsid w:val="00490F49"/>
    <w:rsid w:val="0049101B"/>
    <w:rsid w:val="0049118E"/>
    <w:rsid w:val="004912E9"/>
    <w:rsid w:val="00491327"/>
    <w:rsid w:val="00491334"/>
    <w:rsid w:val="00491352"/>
    <w:rsid w:val="00491365"/>
    <w:rsid w:val="004913D9"/>
    <w:rsid w:val="00491418"/>
    <w:rsid w:val="00491489"/>
    <w:rsid w:val="0049148E"/>
    <w:rsid w:val="004914C3"/>
    <w:rsid w:val="004914F8"/>
    <w:rsid w:val="004914FD"/>
    <w:rsid w:val="00491526"/>
    <w:rsid w:val="00491582"/>
    <w:rsid w:val="0049159D"/>
    <w:rsid w:val="004915BC"/>
    <w:rsid w:val="004915C1"/>
    <w:rsid w:val="004915CC"/>
    <w:rsid w:val="00491658"/>
    <w:rsid w:val="004916FE"/>
    <w:rsid w:val="00491758"/>
    <w:rsid w:val="004918B4"/>
    <w:rsid w:val="00491902"/>
    <w:rsid w:val="004919C0"/>
    <w:rsid w:val="00491B7C"/>
    <w:rsid w:val="00491B84"/>
    <w:rsid w:val="00491BBC"/>
    <w:rsid w:val="00491C91"/>
    <w:rsid w:val="00491D9A"/>
    <w:rsid w:val="00491DB9"/>
    <w:rsid w:val="00491E96"/>
    <w:rsid w:val="00491E97"/>
    <w:rsid w:val="00491EA8"/>
    <w:rsid w:val="00491EE7"/>
    <w:rsid w:val="00491EEA"/>
    <w:rsid w:val="00491F57"/>
    <w:rsid w:val="00491F58"/>
    <w:rsid w:val="00491FCD"/>
    <w:rsid w:val="00491FD9"/>
    <w:rsid w:val="0049210E"/>
    <w:rsid w:val="00492192"/>
    <w:rsid w:val="00492232"/>
    <w:rsid w:val="0049224C"/>
    <w:rsid w:val="00492263"/>
    <w:rsid w:val="00492292"/>
    <w:rsid w:val="004922C4"/>
    <w:rsid w:val="004922D6"/>
    <w:rsid w:val="004922F1"/>
    <w:rsid w:val="00492301"/>
    <w:rsid w:val="00492363"/>
    <w:rsid w:val="00492437"/>
    <w:rsid w:val="0049245F"/>
    <w:rsid w:val="004924EF"/>
    <w:rsid w:val="00492585"/>
    <w:rsid w:val="0049258E"/>
    <w:rsid w:val="004925BD"/>
    <w:rsid w:val="004925F9"/>
    <w:rsid w:val="00492662"/>
    <w:rsid w:val="004926B6"/>
    <w:rsid w:val="004926CA"/>
    <w:rsid w:val="00492771"/>
    <w:rsid w:val="0049279F"/>
    <w:rsid w:val="004927B9"/>
    <w:rsid w:val="004928B0"/>
    <w:rsid w:val="004928DE"/>
    <w:rsid w:val="004928E5"/>
    <w:rsid w:val="0049291D"/>
    <w:rsid w:val="0049292B"/>
    <w:rsid w:val="0049297F"/>
    <w:rsid w:val="00492A06"/>
    <w:rsid w:val="00492A4B"/>
    <w:rsid w:val="00492B90"/>
    <w:rsid w:val="00492C37"/>
    <w:rsid w:val="00492C56"/>
    <w:rsid w:val="00492CD6"/>
    <w:rsid w:val="00492D89"/>
    <w:rsid w:val="00492D90"/>
    <w:rsid w:val="00492DB7"/>
    <w:rsid w:val="00492DC5"/>
    <w:rsid w:val="00492E12"/>
    <w:rsid w:val="00492E1C"/>
    <w:rsid w:val="00492E36"/>
    <w:rsid w:val="00492E85"/>
    <w:rsid w:val="00492FD0"/>
    <w:rsid w:val="00492FFA"/>
    <w:rsid w:val="004930C0"/>
    <w:rsid w:val="00493144"/>
    <w:rsid w:val="00493238"/>
    <w:rsid w:val="0049326F"/>
    <w:rsid w:val="00493280"/>
    <w:rsid w:val="004932A4"/>
    <w:rsid w:val="004932D6"/>
    <w:rsid w:val="00493347"/>
    <w:rsid w:val="0049335D"/>
    <w:rsid w:val="0049335E"/>
    <w:rsid w:val="0049338C"/>
    <w:rsid w:val="0049344F"/>
    <w:rsid w:val="00493575"/>
    <w:rsid w:val="00493603"/>
    <w:rsid w:val="00493617"/>
    <w:rsid w:val="00493676"/>
    <w:rsid w:val="004936DB"/>
    <w:rsid w:val="004936FA"/>
    <w:rsid w:val="004937A8"/>
    <w:rsid w:val="004937B3"/>
    <w:rsid w:val="004937D8"/>
    <w:rsid w:val="004937E4"/>
    <w:rsid w:val="0049382F"/>
    <w:rsid w:val="00493934"/>
    <w:rsid w:val="00493947"/>
    <w:rsid w:val="0049395C"/>
    <w:rsid w:val="0049396C"/>
    <w:rsid w:val="00493ACC"/>
    <w:rsid w:val="00493AE8"/>
    <w:rsid w:val="00493B24"/>
    <w:rsid w:val="00493B2A"/>
    <w:rsid w:val="00493BD8"/>
    <w:rsid w:val="00493BFF"/>
    <w:rsid w:val="00493D27"/>
    <w:rsid w:val="00493D3D"/>
    <w:rsid w:val="00493D6C"/>
    <w:rsid w:val="00493E07"/>
    <w:rsid w:val="00493E3D"/>
    <w:rsid w:val="00493ECC"/>
    <w:rsid w:val="00493F48"/>
    <w:rsid w:val="00493F58"/>
    <w:rsid w:val="00494009"/>
    <w:rsid w:val="0049401B"/>
    <w:rsid w:val="00494066"/>
    <w:rsid w:val="0049411D"/>
    <w:rsid w:val="00494168"/>
    <w:rsid w:val="004941EB"/>
    <w:rsid w:val="004941FD"/>
    <w:rsid w:val="0049427E"/>
    <w:rsid w:val="004942A4"/>
    <w:rsid w:val="004942A8"/>
    <w:rsid w:val="004942DE"/>
    <w:rsid w:val="00494325"/>
    <w:rsid w:val="0049435B"/>
    <w:rsid w:val="004944A5"/>
    <w:rsid w:val="00494592"/>
    <w:rsid w:val="00494647"/>
    <w:rsid w:val="0049464A"/>
    <w:rsid w:val="004946CA"/>
    <w:rsid w:val="0049471E"/>
    <w:rsid w:val="004947AB"/>
    <w:rsid w:val="004947AE"/>
    <w:rsid w:val="004947F1"/>
    <w:rsid w:val="00494808"/>
    <w:rsid w:val="00494815"/>
    <w:rsid w:val="0049484B"/>
    <w:rsid w:val="00494862"/>
    <w:rsid w:val="00494896"/>
    <w:rsid w:val="0049489E"/>
    <w:rsid w:val="004948B2"/>
    <w:rsid w:val="00494935"/>
    <w:rsid w:val="00494971"/>
    <w:rsid w:val="00494A45"/>
    <w:rsid w:val="00494AFD"/>
    <w:rsid w:val="00494B3B"/>
    <w:rsid w:val="00494B56"/>
    <w:rsid w:val="00494B6E"/>
    <w:rsid w:val="00494C00"/>
    <w:rsid w:val="00494CD3"/>
    <w:rsid w:val="00494D6D"/>
    <w:rsid w:val="00494D99"/>
    <w:rsid w:val="00494E48"/>
    <w:rsid w:val="00494ED0"/>
    <w:rsid w:val="00495052"/>
    <w:rsid w:val="00495071"/>
    <w:rsid w:val="004950E4"/>
    <w:rsid w:val="004950FC"/>
    <w:rsid w:val="00495154"/>
    <w:rsid w:val="004951FE"/>
    <w:rsid w:val="0049527E"/>
    <w:rsid w:val="00495316"/>
    <w:rsid w:val="00495357"/>
    <w:rsid w:val="00495386"/>
    <w:rsid w:val="004953AC"/>
    <w:rsid w:val="004953AF"/>
    <w:rsid w:val="004955DF"/>
    <w:rsid w:val="0049560C"/>
    <w:rsid w:val="00495703"/>
    <w:rsid w:val="004958AC"/>
    <w:rsid w:val="00495916"/>
    <w:rsid w:val="00495994"/>
    <w:rsid w:val="00495A00"/>
    <w:rsid w:val="00495A5D"/>
    <w:rsid w:val="00495AEB"/>
    <w:rsid w:val="00495B62"/>
    <w:rsid w:val="00495B63"/>
    <w:rsid w:val="00495B80"/>
    <w:rsid w:val="00495BFB"/>
    <w:rsid w:val="00495C0F"/>
    <w:rsid w:val="00495D01"/>
    <w:rsid w:val="00495D09"/>
    <w:rsid w:val="00495D1B"/>
    <w:rsid w:val="00495D73"/>
    <w:rsid w:val="00495D86"/>
    <w:rsid w:val="00495DC8"/>
    <w:rsid w:val="00495E0D"/>
    <w:rsid w:val="00495EBD"/>
    <w:rsid w:val="00495EC7"/>
    <w:rsid w:val="00495F00"/>
    <w:rsid w:val="00495F06"/>
    <w:rsid w:val="00495F08"/>
    <w:rsid w:val="00495F22"/>
    <w:rsid w:val="00495F68"/>
    <w:rsid w:val="00495F85"/>
    <w:rsid w:val="00495F9C"/>
    <w:rsid w:val="00495FF1"/>
    <w:rsid w:val="00496015"/>
    <w:rsid w:val="0049602F"/>
    <w:rsid w:val="00496094"/>
    <w:rsid w:val="0049609B"/>
    <w:rsid w:val="004960D9"/>
    <w:rsid w:val="00496219"/>
    <w:rsid w:val="00496241"/>
    <w:rsid w:val="00496275"/>
    <w:rsid w:val="004962A8"/>
    <w:rsid w:val="00496317"/>
    <w:rsid w:val="0049635F"/>
    <w:rsid w:val="0049636F"/>
    <w:rsid w:val="0049638B"/>
    <w:rsid w:val="004963DA"/>
    <w:rsid w:val="004963E0"/>
    <w:rsid w:val="00496407"/>
    <w:rsid w:val="004964B5"/>
    <w:rsid w:val="004965EB"/>
    <w:rsid w:val="0049660C"/>
    <w:rsid w:val="00496617"/>
    <w:rsid w:val="0049662D"/>
    <w:rsid w:val="00496658"/>
    <w:rsid w:val="00496725"/>
    <w:rsid w:val="0049676C"/>
    <w:rsid w:val="00496808"/>
    <w:rsid w:val="00496814"/>
    <w:rsid w:val="0049682C"/>
    <w:rsid w:val="0049689E"/>
    <w:rsid w:val="00496982"/>
    <w:rsid w:val="00496990"/>
    <w:rsid w:val="004969B6"/>
    <w:rsid w:val="004969DA"/>
    <w:rsid w:val="004969F2"/>
    <w:rsid w:val="004969FF"/>
    <w:rsid w:val="00496B42"/>
    <w:rsid w:val="00496BA9"/>
    <w:rsid w:val="00496C72"/>
    <w:rsid w:val="00496CC4"/>
    <w:rsid w:val="00496CDE"/>
    <w:rsid w:val="00496DB1"/>
    <w:rsid w:val="00496E33"/>
    <w:rsid w:val="00496EC1"/>
    <w:rsid w:val="00496F3F"/>
    <w:rsid w:val="00496FC1"/>
    <w:rsid w:val="00496FEE"/>
    <w:rsid w:val="00497029"/>
    <w:rsid w:val="0049709E"/>
    <w:rsid w:val="004970AA"/>
    <w:rsid w:val="004970D2"/>
    <w:rsid w:val="00497121"/>
    <w:rsid w:val="00497186"/>
    <w:rsid w:val="004971EF"/>
    <w:rsid w:val="00497225"/>
    <w:rsid w:val="0049724B"/>
    <w:rsid w:val="0049724F"/>
    <w:rsid w:val="004972D9"/>
    <w:rsid w:val="0049732D"/>
    <w:rsid w:val="00497347"/>
    <w:rsid w:val="0049737D"/>
    <w:rsid w:val="00497406"/>
    <w:rsid w:val="004974F5"/>
    <w:rsid w:val="00497519"/>
    <w:rsid w:val="0049754E"/>
    <w:rsid w:val="004976AE"/>
    <w:rsid w:val="0049778B"/>
    <w:rsid w:val="004977A5"/>
    <w:rsid w:val="00497955"/>
    <w:rsid w:val="00497997"/>
    <w:rsid w:val="004979A3"/>
    <w:rsid w:val="004979C2"/>
    <w:rsid w:val="00497B0F"/>
    <w:rsid w:val="00497B20"/>
    <w:rsid w:val="00497BD0"/>
    <w:rsid w:val="00497C76"/>
    <w:rsid w:val="00497C83"/>
    <w:rsid w:val="00497CE5"/>
    <w:rsid w:val="00497D64"/>
    <w:rsid w:val="00497E40"/>
    <w:rsid w:val="00497E71"/>
    <w:rsid w:val="00497EDD"/>
    <w:rsid w:val="00497F64"/>
    <w:rsid w:val="00497F80"/>
    <w:rsid w:val="00497F84"/>
    <w:rsid w:val="00497FA1"/>
    <w:rsid w:val="00497FFE"/>
    <w:rsid w:val="004A0003"/>
    <w:rsid w:val="004A0060"/>
    <w:rsid w:val="004A00EE"/>
    <w:rsid w:val="004A0113"/>
    <w:rsid w:val="004A0154"/>
    <w:rsid w:val="004A02A6"/>
    <w:rsid w:val="004A03A8"/>
    <w:rsid w:val="004A03B1"/>
    <w:rsid w:val="004A03D8"/>
    <w:rsid w:val="004A04DB"/>
    <w:rsid w:val="004A0570"/>
    <w:rsid w:val="004A0577"/>
    <w:rsid w:val="004A05F9"/>
    <w:rsid w:val="004A0694"/>
    <w:rsid w:val="004A0735"/>
    <w:rsid w:val="004A0817"/>
    <w:rsid w:val="004A0876"/>
    <w:rsid w:val="004A08AB"/>
    <w:rsid w:val="004A08B0"/>
    <w:rsid w:val="004A08FC"/>
    <w:rsid w:val="004A090B"/>
    <w:rsid w:val="004A091C"/>
    <w:rsid w:val="004A09C3"/>
    <w:rsid w:val="004A09DF"/>
    <w:rsid w:val="004A0A70"/>
    <w:rsid w:val="004A0B23"/>
    <w:rsid w:val="004A0B5F"/>
    <w:rsid w:val="004A0BFC"/>
    <w:rsid w:val="004A0C66"/>
    <w:rsid w:val="004A0CAB"/>
    <w:rsid w:val="004A0D72"/>
    <w:rsid w:val="004A0DDA"/>
    <w:rsid w:val="004A0DF7"/>
    <w:rsid w:val="004A0E2D"/>
    <w:rsid w:val="004A0EA5"/>
    <w:rsid w:val="004A0ED6"/>
    <w:rsid w:val="004A0F78"/>
    <w:rsid w:val="004A0FA2"/>
    <w:rsid w:val="004A0FD7"/>
    <w:rsid w:val="004A104F"/>
    <w:rsid w:val="004A1094"/>
    <w:rsid w:val="004A10CD"/>
    <w:rsid w:val="004A10D6"/>
    <w:rsid w:val="004A10F0"/>
    <w:rsid w:val="004A1108"/>
    <w:rsid w:val="004A1148"/>
    <w:rsid w:val="004A1273"/>
    <w:rsid w:val="004A1301"/>
    <w:rsid w:val="004A1379"/>
    <w:rsid w:val="004A13C1"/>
    <w:rsid w:val="004A1499"/>
    <w:rsid w:val="004A15BE"/>
    <w:rsid w:val="004A15D5"/>
    <w:rsid w:val="004A166D"/>
    <w:rsid w:val="004A1679"/>
    <w:rsid w:val="004A16FB"/>
    <w:rsid w:val="004A1752"/>
    <w:rsid w:val="004A17AB"/>
    <w:rsid w:val="004A17ED"/>
    <w:rsid w:val="004A19A6"/>
    <w:rsid w:val="004A19E5"/>
    <w:rsid w:val="004A1A2C"/>
    <w:rsid w:val="004A1A58"/>
    <w:rsid w:val="004A1A81"/>
    <w:rsid w:val="004A1A8D"/>
    <w:rsid w:val="004A1BAA"/>
    <w:rsid w:val="004A1BF7"/>
    <w:rsid w:val="004A1C1B"/>
    <w:rsid w:val="004A1C7F"/>
    <w:rsid w:val="004A1CAF"/>
    <w:rsid w:val="004A1EC1"/>
    <w:rsid w:val="004A1ECD"/>
    <w:rsid w:val="004A1F0D"/>
    <w:rsid w:val="004A1F45"/>
    <w:rsid w:val="004A1FE7"/>
    <w:rsid w:val="004A1FEE"/>
    <w:rsid w:val="004A2019"/>
    <w:rsid w:val="004A2020"/>
    <w:rsid w:val="004A2045"/>
    <w:rsid w:val="004A204D"/>
    <w:rsid w:val="004A205E"/>
    <w:rsid w:val="004A2074"/>
    <w:rsid w:val="004A20B8"/>
    <w:rsid w:val="004A21E6"/>
    <w:rsid w:val="004A2334"/>
    <w:rsid w:val="004A23F5"/>
    <w:rsid w:val="004A24A2"/>
    <w:rsid w:val="004A24A5"/>
    <w:rsid w:val="004A24FD"/>
    <w:rsid w:val="004A2542"/>
    <w:rsid w:val="004A25CF"/>
    <w:rsid w:val="004A2640"/>
    <w:rsid w:val="004A27EE"/>
    <w:rsid w:val="004A27EF"/>
    <w:rsid w:val="004A27F9"/>
    <w:rsid w:val="004A282D"/>
    <w:rsid w:val="004A2838"/>
    <w:rsid w:val="004A2853"/>
    <w:rsid w:val="004A2888"/>
    <w:rsid w:val="004A2958"/>
    <w:rsid w:val="004A29A6"/>
    <w:rsid w:val="004A2A52"/>
    <w:rsid w:val="004A2A78"/>
    <w:rsid w:val="004A2ABC"/>
    <w:rsid w:val="004A2B99"/>
    <w:rsid w:val="004A2BA7"/>
    <w:rsid w:val="004A2C03"/>
    <w:rsid w:val="004A2C0E"/>
    <w:rsid w:val="004A2C41"/>
    <w:rsid w:val="004A2C49"/>
    <w:rsid w:val="004A2C92"/>
    <w:rsid w:val="004A2CA2"/>
    <w:rsid w:val="004A2CA4"/>
    <w:rsid w:val="004A2D38"/>
    <w:rsid w:val="004A2D67"/>
    <w:rsid w:val="004A2D8D"/>
    <w:rsid w:val="004A2DA7"/>
    <w:rsid w:val="004A2DE0"/>
    <w:rsid w:val="004A2DF7"/>
    <w:rsid w:val="004A2E18"/>
    <w:rsid w:val="004A2EAC"/>
    <w:rsid w:val="004A2EAF"/>
    <w:rsid w:val="004A2F60"/>
    <w:rsid w:val="004A2FB7"/>
    <w:rsid w:val="004A2FC9"/>
    <w:rsid w:val="004A30F1"/>
    <w:rsid w:val="004A3120"/>
    <w:rsid w:val="004A31CA"/>
    <w:rsid w:val="004A3224"/>
    <w:rsid w:val="004A325F"/>
    <w:rsid w:val="004A3344"/>
    <w:rsid w:val="004A346A"/>
    <w:rsid w:val="004A3486"/>
    <w:rsid w:val="004A34E7"/>
    <w:rsid w:val="004A3583"/>
    <w:rsid w:val="004A358C"/>
    <w:rsid w:val="004A363C"/>
    <w:rsid w:val="004A363D"/>
    <w:rsid w:val="004A364B"/>
    <w:rsid w:val="004A370D"/>
    <w:rsid w:val="004A384D"/>
    <w:rsid w:val="004A3852"/>
    <w:rsid w:val="004A3879"/>
    <w:rsid w:val="004A38B1"/>
    <w:rsid w:val="004A3907"/>
    <w:rsid w:val="004A390B"/>
    <w:rsid w:val="004A3980"/>
    <w:rsid w:val="004A3985"/>
    <w:rsid w:val="004A3995"/>
    <w:rsid w:val="004A3A43"/>
    <w:rsid w:val="004A3AFC"/>
    <w:rsid w:val="004A3C19"/>
    <w:rsid w:val="004A3E61"/>
    <w:rsid w:val="004A3E76"/>
    <w:rsid w:val="004A3F37"/>
    <w:rsid w:val="004A3F91"/>
    <w:rsid w:val="004A3F96"/>
    <w:rsid w:val="004A3FC5"/>
    <w:rsid w:val="004A3FED"/>
    <w:rsid w:val="004A4054"/>
    <w:rsid w:val="004A4093"/>
    <w:rsid w:val="004A4094"/>
    <w:rsid w:val="004A40FD"/>
    <w:rsid w:val="004A412B"/>
    <w:rsid w:val="004A41A2"/>
    <w:rsid w:val="004A4263"/>
    <w:rsid w:val="004A42B1"/>
    <w:rsid w:val="004A42D0"/>
    <w:rsid w:val="004A434C"/>
    <w:rsid w:val="004A4408"/>
    <w:rsid w:val="004A4493"/>
    <w:rsid w:val="004A4537"/>
    <w:rsid w:val="004A4590"/>
    <w:rsid w:val="004A46AF"/>
    <w:rsid w:val="004A4778"/>
    <w:rsid w:val="004A479F"/>
    <w:rsid w:val="004A47B8"/>
    <w:rsid w:val="004A47E9"/>
    <w:rsid w:val="004A4821"/>
    <w:rsid w:val="004A488E"/>
    <w:rsid w:val="004A490C"/>
    <w:rsid w:val="004A495D"/>
    <w:rsid w:val="004A497A"/>
    <w:rsid w:val="004A4A46"/>
    <w:rsid w:val="004A4A6A"/>
    <w:rsid w:val="004A4ACE"/>
    <w:rsid w:val="004A4B0C"/>
    <w:rsid w:val="004A4BD8"/>
    <w:rsid w:val="004A4BEF"/>
    <w:rsid w:val="004A4BF9"/>
    <w:rsid w:val="004A4C17"/>
    <w:rsid w:val="004A4D2E"/>
    <w:rsid w:val="004A4DBF"/>
    <w:rsid w:val="004A4DC3"/>
    <w:rsid w:val="004A4E01"/>
    <w:rsid w:val="004A4E06"/>
    <w:rsid w:val="004A4E26"/>
    <w:rsid w:val="004A4F02"/>
    <w:rsid w:val="004A4F99"/>
    <w:rsid w:val="004A4FA8"/>
    <w:rsid w:val="004A5012"/>
    <w:rsid w:val="004A5094"/>
    <w:rsid w:val="004A5182"/>
    <w:rsid w:val="004A51A1"/>
    <w:rsid w:val="004A51F9"/>
    <w:rsid w:val="004A526D"/>
    <w:rsid w:val="004A52C1"/>
    <w:rsid w:val="004A52E6"/>
    <w:rsid w:val="004A53AF"/>
    <w:rsid w:val="004A53FF"/>
    <w:rsid w:val="004A547E"/>
    <w:rsid w:val="004A5692"/>
    <w:rsid w:val="004A5783"/>
    <w:rsid w:val="004A581F"/>
    <w:rsid w:val="004A594A"/>
    <w:rsid w:val="004A5958"/>
    <w:rsid w:val="004A597E"/>
    <w:rsid w:val="004A5A49"/>
    <w:rsid w:val="004A5A8C"/>
    <w:rsid w:val="004A5C3C"/>
    <w:rsid w:val="004A5C77"/>
    <w:rsid w:val="004A5CA7"/>
    <w:rsid w:val="004A5D2B"/>
    <w:rsid w:val="004A5DA1"/>
    <w:rsid w:val="004A5DF0"/>
    <w:rsid w:val="004A5DFC"/>
    <w:rsid w:val="004A5E3A"/>
    <w:rsid w:val="004A5EEB"/>
    <w:rsid w:val="004A5F57"/>
    <w:rsid w:val="004A6031"/>
    <w:rsid w:val="004A6037"/>
    <w:rsid w:val="004A60F0"/>
    <w:rsid w:val="004A6111"/>
    <w:rsid w:val="004A611B"/>
    <w:rsid w:val="004A6167"/>
    <w:rsid w:val="004A61DB"/>
    <w:rsid w:val="004A61E2"/>
    <w:rsid w:val="004A61E6"/>
    <w:rsid w:val="004A6221"/>
    <w:rsid w:val="004A6266"/>
    <w:rsid w:val="004A6325"/>
    <w:rsid w:val="004A6351"/>
    <w:rsid w:val="004A638F"/>
    <w:rsid w:val="004A63C2"/>
    <w:rsid w:val="004A6449"/>
    <w:rsid w:val="004A645A"/>
    <w:rsid w:val="004A6494"/>
    <w:rsid w:val="004A6529"/>
    <w:rsid w:val="004A6547"/>
    <w:rsid w:val="004A659C"/>
    <w:rsid w:val="004A6604"/>
    <w:rsid w:val="004A66CC"/>
    <w:rsid w:val="004A66EC"/>
    <w:rsid w:val="004A671E"/>
    <w:rsid w:val="004A67D0"/>
    <w:rsid w:val="004A67E2"/>
    <w:rsid w:val="004A6844"/>
    <w:rsid w:val="004A6907"/>
    <w:rsid w:val="004A6910"/>
    <w:rsid w:val="004A691A"/>
    <w:rsid w:val="004A6A24"/>
    <w:rsid w:val="004A6AF7"/>
    <w:rsid w:val="004A6B79"/>
    <w:rsid w:val="004A6BB2"/>
    <w:rsid w:val="004A6BC6"/>
    <w:rsid w:val="004A6C0D"/>
    <w:rsid w:val="004A6CAC"/>
    <w:rsid w:val="004A6D46"/>
    <w:rsid w:val="004A6D75"/>
    <w:rsid w:val="004A6DB4"/>
    <w:rsid w:val="004A6DE4"/>
    <w:rsid w:val="004A6EB5"/>
    <w:rsid w:val="004A6FB6"/>
    <w:rsid w:val="004A7104"/>
    <w:rsid w:val="004A7127"/>
    <w:rsid w:val="004A7227"/>
    <w:rsid w:val="004A7237"/>
    <w:rsid w:val="004A723B"/>
    <w:rsid w:val="004A723E"/>
    <w:rsid w:val="004A7280"/>
    <w:rsid w:val="004A72B2"/>
    <w:rsid w:val="004A72D4"/>
    <w:rsid w:val="004A7338"/>
    <w:rsid w:val="004A7363"/>
    <w:rsid w:val="004A7388"/>
    <w:rsid w:val="004A73B6"/>
    <w:rsid w:val="004A73C1"/>
    <w:rsid w:val="004A747F"/>
    <w:rsid w:val="004A7496"/>
    <w:rsid w:val="004A74E3"/>
    <w:rsid w:val="004A7626"/>
    <w:rsid w:val="004A7672"/>
    <w:rsid w:val="004A778C"/>
    <w:rsid w:val="004A7824"/>
    <w:rsid w:val="004A7908"/>
    <w:rsid w:val="004A790F"/>
    <w:rsid w:val="004A792D"/>
    <w:rsid w:val="004A7953"/>
    <w:rsid w:val="004A796D"/>
    <w:rsid w:val="004A7985"/>
    <w:rsid w:val="004A79D2"/>
    <w:rsid w:val="004A7A2C"/>
    <w:rsid w:val="004A7A86"/>
    <w:rsid w:val="004A7B13"/>
    <w:rsid w:val="004A7B1C"/>
    <w:rsid w:val="004A7C40"/>
    <w:rsid w:val="004A7CA4"/>
    <w:rsid w:val="004A7D30"/>
    <w:rsid w:val="004A7D88"/>
    <w:rsid w:val="004A7DDE"/>
    <w:rsid w:val="004A7DEF"/>
    <w:rsid w:val="004A7DF3"/>
    <w:rsid w:val="004A7E1B"/>
    <w:rsid w:val="004A7E5E"/>
    <w:rsid w:val="004A7E65"/>
    <w:rsid w:val="004A7E79"/>
    <w:rsid w:val="004A7FEA"/>
    <w:rsid w:val="004B00A0"/>
    <w:rsid w:val="004B00CC"/>
    <w:rsid w:val="004B0189"/>
    <w:rsid w:val="004B025B"/>
    <w:rsid w:val="004B02DC"/>
    <w:rsid w:val="004B02DE"/>
    <w:rsid w:val="004B0322"/>
    <w:rsid w:val="004B0405"/>
    <w:rsid w:val="004B041B"/>
    <w:rsid w:val="004B0435"/>
    <w:rsid w:val="004B04EB"/>
    <w:rsid w:val="004B069A"/>
    <w:rsid w:val="004B0712"/>
    <w:rsid w:val="004B075E"/>
    <w:rsid w:val="004B087E"/>
    <w:rsid w:val="004B094F"/>
    <w:rsid w:val="004B0968"/>
    <w:rsid w:val="004B0999"/>
    <w:rsid w:val="004B09AF"/>
    <w:rsid w:val="004B0B0D"/>
    <w:rsid w:val="004B0B29"/>
    <w:rsid w:val="004B0B34"/>
    <w:rsid w:val="004B0B85"/>
    <w:rsid w:val="004B0BA8"/>
    <w:rsid w:val="004B0BC7"/>
    <w:rsid w:val="004B0BFD"/>
    <w:rsid w:val="004B0CCE"/>
    <w:rsid w:val="004B0CE1"/>
    <w:rsid w:val="004B0D46"/>
    <w:rsid w:val="004B0D4D"/>
    <w:rsid w:val="004B0D50"/>
    <w:rsid w:val="004B0D6C"/>
    <w:rsid w:val="004B0D78"/>
    <w:rsid w:val="004B0DCD"/>
    <w:rsid w:val="004B0E23"/>
    <w:rsid w:val="004B0E66"/>
    <w:rsid w:val="004B0E7B"/>
    <w:rsid w:val="004B0E9A"/>
    <w:rsid w:val="004B0F78"/>
    <w:rsid w:val="004B1017"/>
    <w:rsid w:val="004B10A5"/>
    <w:rsid w:val="004B10CB"/>
    <w:rsid w:val="004B11B2"/>
    <w:rsid w:val="004B11B3"/>
    <w:rsid w:val="004B1230"/>
    <w:rsid w:val="004B126C"/>
    <w:rsid w:val="004B1278"/>
    <w:rsid w:val="004B1305"/>
    <w:rsid w:val="004B13B9"/>
    <w:rsid w:val="004B14B8"/>
    <w:rsid w:val="004B14E8"/>
    <w:rsid w:val="004B1533"/>
    <w:rsid w:val="004B1544"/>
    <w:rsid w:val="004B159F"/>
    <w:rsid w:val="004B1627"/>
    <w:rsid w:val="004B1695"/>
    <w:rsid w:val="004B16FD"/>
    <w:rsid w:val="004B171F"/>
    <w:rsid w:val="004B1726"/>
    <w:rsid w:val="004B1791"/>
    <w:rsid w:val="004B17BF"/>
    <w:rsid w:val="004B1813"/>
    <w:rsid w:val="004B1861"/>
    <w:rsid w:val="004B18B0"/>
    <w:rsid w:val="004B1970"/>
    <w:rsid w:val="004B199B"/>
    <w:rsid w:val="004B1A12"/>
    <w:rsid w:val="004B1A49"/>
    <w:rsid w:val="004B1A7D"/>
    <w:rsid w:val="004B1AB2"/>
    <w:rsid w:val="004B1ADF"/>
    <w:rsid w:val="004B1AE9"/>
    <w:rsid w:val="004B1B01"/>
    <w:rsid w:val="004B1C33"/>
    <w:rsid w:val="004B1C79"/>
    <w:rsid w:val="004B1C97"/>
    <w:rsid w:val="004B1CAC"/>
    <w:rsid w:val="004B1CBA"/>
    <w:rsid w:val="004B1CD5"/>
    <w:rsid w:val="004B1D2F"/>
    <w:rsid w:val="004B1D56"/>
    <w:rsid w:val="004B1F6E"/>
    <w:rsid w:val="004B1F71"/>
    <w:rsid w:val="004B1FD3"/>
    <w:rsid w:val="004B203D"/>
    <w:rsid w:val="004B2098"/>
    <w:rsid w:val="004B20D7"/>
    <w:rsid w:val="004B20F9"/>
    <w:rsid w:val="004B215A"/>
    <w:rsid w:val="004B220A"/>
    <w:rsid w:val="004B22C8"/>
    <w:rsid w:val="004B2400"/>
    <w:rsid w:val="004B2499"/>
    <w:rsid w:val="004B2594"/>
    <w:rsid w:val="004B25DE"/>
    <w:rsid w:val="004B2621"/>
    <w:rsid w:val="004B2727"/>
    <w:rsid w:val="004B2735"/>
    <w:rsid w:val="004B27EC"/>
    <w:rsid w:val="004B27FF"/>
    <w:rsid w:val="004B2936"/>
    <w:rsid w:val="004B29A2"/>
    <w:rsid w:val="004B29F8"/>
    <w:rsid w:val="004B2A1B"/>
    <w:rsid w:val="004B2AF3"/>
    <w:rsid w:val="004B2B54"/>
    <w:rsid w:val="004B2B89"/>
    <w:rsid w:val="004B2BC3"/>
    <w:rsid w:val="004B2C72"/>
    <w:rsid w:val="004B2CF0"/>
    <w:rsid w:val="004B2DF6"/>
    <w:rsid w:val="004B2E0D"/>
    <w:rsid w:val="004B2E8C"/>
    <w:rsid w:val="004B2E91"/>
    <w:rsid w:val="004B2EA2"/>
    <w:rsid w:val="004B2ED6"/>
    <w:rsid w:val="004B2EF9"/>
    <w:rsid w:val="004B2FD0"/>
    <w:rsid w:val="004B30C9"/>
    <w:rsid w:val="004B30E3"/>
    <w:rsid w:val="004B31A1"/>
    <w:rsid w:val="004B3292"/>
    <w:rsid w:val="004B32B9"/>
    <w:rsid w:val="004B32BA"/>
    <w:rsid w:val="004B3358"/>
    <w:rsid w:val="004B338B"/>
    <w:rsid w:val="004B33BF"/>
    <w:rsid w:val="004B33C5"/>
    <w:rsid w:val="004B3478"/>
    <w:rsid w:val="004B34D7"/>
    <w:rsid w:val="004B34FA"/>
    <w:rsid w:val="004B353F"/>
    <w:rsid w:val="004B3543"/>
    <w:rsid w:val="004B3563"/>
    <w:rsid w:val="004B35A4"/>
    <w:rsid w:val="004B3603"/>
    <w:rsid w:val="004B3622"/>
    <w:rsid w:val="004B366B"/>
    <w:rsid w:val="004B3707"/>
    <w:rsid w:val="004B3719"/>
    <w:rsid w:val="004B3728"/>
    <w:rsid w:val="004B374F"/>
    <w:rsid w:val="004B375D"/>
    <w:rsid w:val="004B37BE"/>
    <w:rsid w:val="004B384A"/>
    <w:rsid w:val="004B38AF"/>
    <w:rsid w:val="004B3990"/>
    <w:rsid w:val="004B39AB"/>
    <w:rsid w:val="004B3A2A"/>
    <w:rsid w:val="004B3A6B"/>
    <w:rsid w:val="004B3B0E"/>
    <w:rsid w:val="004B3B74"/>
    <w:rsid w:val="004B3BBC"/>
    <w:rsid w:val="004B3CC9"/>
    <w:rsid w:val="004B3D03"/>
    <w:rsid w:val="004B3D2B"/>
    <w:rsid w:val="004B3D5F"/>
    <w:rsid w:val="004B3DD1"/>
    <w:rsid w:val="004B3DDA"/>
    <w:rsid w:val="004B3EB9"/>
    <w:rsid w:val="004B3F78"/>
    <w:rsid w:val="004B3FF3"/>
    <w:rsid w:val="004B4002"/>
    <w:rsid w:val="004B4021"/>
    <w:rsid w:val="004B412C"/>
    <w:rsid w:val="004B4138"/>
    <w:rsid w:val="004B4200"/>
    <w:rsid w:val="004B422E"/>
    <w:rsid w:val="004B438D"/>
    <w:rsid w:val="004B44CE"/>
    <w:rsid w:val="004B451E"/>
    <w:rsid w:val="004B4532"/>
    <w:rsid w:val="004B455D"/>
    <w:rsid w:val="004B45D5"/>
    <w:rsid w:val="004B45D7"/>
    <w:rsid w:val="004B464C"/>
    <w:rsid w:val="004B46C8"/>
    <w:rsid w:val="004B4772"/>
    <w:rsid w:val="004B482D"/>
    <w:rsid w:val="004B484D"/>
    <w:rsid w:val="004B48BA"/>
    <w:rsid w:val="004B48E2"/>
    <w:rsid w:val="004B4960"/>
    <w:rsid w:val="004B4963"/>
    <w:rsid w:val="004B49BB"/>
    <w:rsid w:val="004B4A03"/>
    <w:rsid w:val="004B4A39"/>
    <w:rsid w:val="004B4AF8"/>
    <w:rsid w:val="004B4B7D"/>
    <w:rsid w:val="004B4BD4"/>
    <w:rsid w:val="004B4BEF"/>
    <w:rsid w:val="004B4CA1"/>
    <w:rsid w:val="004B4CB5"/>
    <w:rsid w:val="004B4DE0"/>
    <w:rsid w:val="004B4ED3"/>
    <w:rsid w:val="004B4F05"/>
    <w:rsid w:val="004B4F39"/>
    <w:rsid w:val="004B502F"/>
    <w:rsid w:val="004B50A5"/>
    <w:rsid w:val="004B511D"/>
    <w:rsid w:val="004B5124"/>
    <w:rsid w:val="004B51B7"/>
    <w:rsid w:val="004B52BA"/>
    <w:rsid w:val="004B52EF"/>
    <w:rsid w:val="004B533A"/>
    <w:rsid w:val="004B539B"/>
    <w:rsid w:val="004B540E"/>
    <w:rsid w:val="004B5452"/>
    <w:rsid w:val="004B550B"/>
    <w:rsid w:val="004B5554"/>
    <w:rsid w:val="004B556E"/>
    <w:rsid w:val="004B55DA"/>
    <w:rsid w:val="004B55FD"/>
    <w:rsid w:val="004B5601"/>
    <w:rsid w:val="004B562F"/>
    <w:rsid w:val="004B56B9"/>
    <w:rsid w:val="004B56E4"/>
    <w:rsid w:val="004B56E7"/>
    <w:rsid w:val="004B571C"/>
    <w:rsid w:val="004B581A"/>
    <w:rsid w:val="004B5824"/>
    <w:rsid w:val="004B584A"/>
    <w:rsid w:val="004B588D"/>
    <w:rsid w:val="004B58D3"/>
    <w:rsid w:val="004B58DE"/>
    <w:rsid w:val="004B594C"/>
    <w:rsid w:val="004B5966"/>
    <w:rsid w:val="004B5986"/>
    <w:rsid w:val="004B5A0C"/>
    <w:rsid w:val="004B5B10"/>
    <w:rsid w:val="004B5B2C"/>
    <w:rsid w:val="004B5B4E"/>
    <w:rsid w:val="004B5CBC"/>
    <w:rsid w:val="004B5CF8"/>
    <w:rsid w:val="004B5DD0"/>
    <w:rsid w:val="004B5E4A"/>
    <w:rsid w:val="004B5E5C"/>
    <w:rsid w:val="004B5EA6"/>
    <w:rsid w:val="004B5F10"/>
    <w:rsid w:val="004B5F44"/>
    <w:rsid w:val="004B5FB0"/>
    <w:rsid w:val="004B601E"/>
    <w:rsid w:val="004B6079"/>
    <w:rsid w:val="004B60D2"/>
    <w:rsid w:val="004B6127"/>
    <w:rsid w:val="004B61E3"/>
    <w:rsid w:val="004B61E7"/>
    <w:rsid w:val="004B6234"/>
    <w:rsid w:val="004B63BE"/>
    <w:rsid w:val="004B6493"/>
    <w:rsid w:val="004B651E"/>
    <w:rsid w:val="004B65A0"/>
    <w:rsid w:val="004B65A3"/>
    <w:rsid w:val="004B65BE"/>
    <w:rsid w:val="004B65FD"/>
    <w:rsid w:val="004B660C"/>
    <w:rsid w:val="004B6628"/>
    <w:rsid w:val="004B672E"/>
    <w:rsid w:val="004B67E9"/>
    <w:rsid w:val="004B6824"/>
    <w:rsid w:val="004B6826"/>
    <w:rsid w:val="004B68C5"/>
    <w:rsid w:val="004B699E"/>
    <w:rsid w:val="004B6A46"/>
    <w:rsid w:val="004B6A76"/>
    <w:rsid w:val="004B6A91"/>
    <w:rsid w:val="004B6B09"/>
    <w:rsid w:val="004B6B0A"/>
    <w:rsid w:val="004B6B7F"/>
    <w:rsid w:val="004B6BD7"/>
    <w:rsid w:val="004B6C4F"/>
    <w:rsid w:val="004B6C76"/>
    <w:rsid w:val="004B6CB7"/>
    <w:rsid w:val="004B6CD1"/>
    <w:rsid w:val="004B6E9C"/>
    <w:rsid w:val="004B6EB6"/>
    <w:rsid w:val="004B6EC2"/>
    <w:rsid w:val="004B6FD2"/>
    <w:rsid w:val="004B7080"/>
    <w:rsid w:val="004B7096"/>
    <w:rsid w:val="004B70A9"/>
    <w:rsid w:val="004B70AD"/>
    <w:rsid w:val="004B716C"/>
    <w:rsid w:val="004B7179"/>
    <w:rsid w:val="004B71A4"/>
    <w:rsid w:val="004B71F5"/>
    <w:rsid w:val="004B7220"/>
    <w:rsid w:val="004B723F"/>
    <w:rsid w:val="004B7257"/>
    <w:rsid w:val="004B727C"/>
    <w:rsid w:val="004B72D0"/>
    <w:rsid w:val="004B72D5"/>
    <w:rsid w:val="004B72E6"/>
    <w:rsid w:val="004B7322"/>
    <w:rsid w:val="004B7331"/>
    <w:rsid w:val="004B73D7"/>
    <w:rsid w:val="004B7414"/>
    <w:rsid w:val="004B744B"/>
    <w:rsid w:val="004B744D"/>
    <w:rsid w:val="004B7461"/>
    <w:rsid w:val="004B74BC"/>
    <w:rsid w:val="004B74E7"/>
    <w:rsid w:val="004B7521"/>
    <w:rsid w:val="004B7611"/>
    <w:rsid w:val="004B77D3"/>
    <w:rsid w:val="004B77F9"/>
    <w:rsid w:val="004B7851"/>
    <w:rsid w:val="004B78C8"/>
    <w:rsid w:val="004B7952"/>
    <w:rsid w:val="004B7982"/>
    <w:rsid w:val="004B79FF"/>
    <w:rsid w:val="004B7ADE"/>
    <w:rsid w:val="004B7B5E"/>
    <w:rsid w:val="004B7CF3"/>
    <w:rsid w:val="004B7D74"/>
    <w:rsid w:val="004B7E17"/>
    <w:rsid w:val="004B7E37"/>
    <w:rsid w:val="004B7EC4"/>
    <w:rsid w:val="004B7EEB"/>
    <w:rsid w:val="004B7EF0"/>
    <w:rsid w:val="004B7F36"/>
    <w:rsid w:val="004C002E"/>
    <w:rsid w:val="004C00A6"/>
    <w:rsid w:val="004C00B7"/>
    <w:rsid w:val="004C014E"/>
    <w:rsid w:val="004C01BF"/>
    <w:rsid w:val="004C02C3"/>
    <w:rsid w:val="004C02DB"/>
    <w:rsid w:val="004C0339"/>
    <w:rsid w:val="004C0385"/>
    <w:rsid w:val="004C040E"/>
    <w:rsid w:val="004C041F"/>
    <w:rsid w:val="004C04BE"/>
    <w:rsid w:val="004C0517"/>
    <w:rsid w:val="004C056A"/>
    <w:rsid w:val="004C060A"/>
    <w:rsid w:val="004C0622"/>
    <w:rsid w:val="004C06E0"/>
    <w:rsid w:val="004C073C"/>
    <w:rsid w:val="004C07FF"/>
    <w:rsid w:val="004C08B1"/>
    <w:rsid w:val="004C0902"/>
    <w:rsid w:val="004C097A"/>
    <w:rsid w:val="004C0A81"/>
    <w:rsid w:val="004C0ACC"/>
    <w:rsid w:val="004C0B33"/>
    <w:rsid w:val="004C0B9A"/>
    <w:rsid w:val="004C0BAC"/>
    <w:rsid w:val="004C0C94"/>
    <w:rsid w:val="004C0CC5"/>
    <w:rsid w:val="004C0CD0"/>
    <w:rsid w:val="004C0CDA"/>
    <w:rsid w:val="004C0D0C"/>
    <w:rsid w:val="004C0D5C"/>
    <w:rsid w:val="004C0D7B"/>
    <w:rsid w:val="004C0D89"/>
    <w:rsid w:val="004C0D9F"/>
    <w:rsid w:val="004C0DFD"/>
    <w:rsid w:val="004C0E37"/>
    <w:rsid w:val="004C0E59"/>
    <w:rsid w:val="004C0EBF"/>
    <w:rsid w:val="004C0EE8"/>
    <w:rsid w:val="004C0EF2"/>
    <w:rsid w:val="004C0F58"/>
    <w:rsid w:val="004C0F5A"/>
    <w:rsid w:val="004C10E8"/>
    <w:rsid w:val="004C117A"/>
    <w:rsid w:val="004C1238"/>
    <w:rsid w:val="004C1309"/>
    <w:rsid w:val="004C137C"/>
    <w:rsid w:val="004C139B"/>
    <w:rsid w:val="004C1411"/>
    <w:rsid w:val="004C1436"/>
    <w:rsid w:val="004C144E"/>
    <w:rsid w:val="004C147F"/>
    <w:rsid w:val="004C149E"/>
    <w:rsid w:val="004C14A0"/>
    <w:rsid w:val="004C1535"/>
    <w:rsid w:val="004C1582"/>
    <w:rsid w:val="004C15BD"/>
    <w:rsid w:val="004C1680"/>
    <w:rsid w:val="004C1686"/>
    <w:rsid w:val="004C1693"/>
    <w:rsid w:val="004C16BA"/>
    <w:rsid w:val="004C16FD"/>
    <w:rsid w:val="004C1989"/>
    <w:rsid w:val="004C199B"/>
    <w:rsid w:val="004C19BB"/>
    <w:rsid w:val="004C1AE4"/>
    <w:rsid w:val="004C1B35"/>
    <w:rsid w:val="004C1B91"/>
    <w:rsid w:val="004C1BB6"/>
    <w:rsid w:val="004C1BDD"/>
    <w:rsid w:val="004C1BEE"/>
    <w:rsid w:val="004C1C06"/>
    <w:rsid w:val="004C1C33"/>
    <w:rsid w:val="004C1C9F"/>
    <w:rsid w:val="004C1CD8"/>
    <w:rsid w:val="004C1CE9"/>
    <w:rsid w:val="004C1D95"/>
    <w:rsid w:val="004C1DEC"/>
    <w:rsid w:val="004C1E36"/>
    <w:rsid w:val="004C1E58"/>
    <w:rsid w:val="004C1E8C"/>
    <w:rsid w:val="004C1E8F"/>
    <w:rsid w:val="004C1FF2"/>
    <w:rsid w:val="004C2050"/>
    <w:rsid w:val="004C20F2"/>
    <w:rsid w:val="004C2187"/>
    <w:rsid w:val="004C2190"/>
    <w:rsid w:val="004C2191"/>
    <w:rsid w:val="004C21A8"/>
    <w:rsid w:val="004C21D6"/>
    <w:rsid w:val="004C21E4"/>
    <w:rsid w:val="004C220E"/>
    <w:rsid w:val="004C224E"/>
    <w:rsid w:val="004C2292"/>
    <w:rsid w:val="004C22D2"/>
    <w:rsid w:val="004C2391"/>
    <w:rsid w:val="004C23C3"/>
    <w:rsid w:val="004C244E"/>
    <w:rsid w:val="004C24BD"/>
    <w:rsid w:val="004C24C4"/>
    <w:rsid w:val="004C24C6"/>
    <w:rsid w:val="004C26A5"/>
    <w:rsid w:val="004C26B2"/>
    <w:rsid w:val="004C26D9"/>
    <w:rsid w:val="004C27B1"/>
    <w:rsid w:val="004C27D8"/>
    <w:rsid w:val="004C2962"/>
    <w:rsid w:val="004C2A46"/>
    <w:rsid w:val="004C2A56"/>
    <w:rsid w:val="004C2A86"/>
    <w:rsid w:val="004C2A88"/>
    <w:rsid w:val="004C2AB4"/>
    <w:rsid w:val="004C2AF4"/>
    <w:rsid w:val="004C2B26"/>
    <w:rsid w:val="004C2B39"/>
    <w:rsid w:val="004C2B49"/>
    <w:rsid w:val="004C2B9A"/>
    <w:rsid w:val="004C2B9B"/>
    <w:rsid w:val="004C2C52"/>
    <w:rsid w:val="004C2C6B"/>
    <w:rsid w:val="004C2CCC"/>
    <w:rsid w:val="004C2D66"/>
    <w:rsid w:val="004C2D75"/>
    <w:rsid w:val="004C2E90"/>
    <w:rsid w:val="004C2EE6"/>
    <w:rsid w:val="004C2F61"/>
    <w:rsid w:val="004C3015"/>
    <w:rsid w:val="004C301A"/>
    <w:rsid w:val="004C302D"/>
    <w:rsid w:val="004C30E4"/>
    <w:rsid w:val="004C310A"/>
    <w:rsid w:val="004C3154"/>
    <w:rsid w:val="004C3184"/>
    <w:rsid w:val="004C3198"/>
    <w:rsid w:val="004C3285"/>
    <w:rsid w:val="004C32A1"/>
    <w:rsid w:val="004C32B4"/>
    <w:rsid w:val="004C32C4"/>
    <w:rsid w:val="004C32CB"/>
    <w:rsid w:val="004C3576"/>
    <w:rsid w:val="004C35C3"/>
    <w:rsid w:val="004C35E5"/>
    <w:rsid w:val="004C35EC"/>
    <w:rsid w:val="004C3659"/>
    <w:rsid w:val="004C3666"/>
    <w:rsid w:val="004C3684"/>
    <w:rsid w:val="004C373B"/>
    <w:rsid w:val="004C375A"/>
    <w:rsid w:val="004C3793"/>
    <w:rsid w:val="004C37A5"/>
    <w:rsid w:val="004C37C9"/>
    <w:rsid w:val="004C38E9"/>
    <w:rsid w:val="004C397C"/>
    <w:rsid w:val="004C3A10"/>
    <w:rsid w:val="004C3A20"/>
    <w:rsid w:val="004C3BE2"/>
    <w:rsid w:val="004C3CD0"/>
    <w:rsid w:val="004C3D22"/>
    <w:rsid w:val="004C3D95"/>
    <w:rsid w:val="004C3DD1"/>
    <w:rsid w:val="004C3E52"/>
    <w:rsid w:val="004C3E7F"/>
    <w:rsid w:val="004C3F24"/>
    <w:rsid w:val="004C4023"/>
    <w:rsid w:val="004C404D"/>
    <w:rsid w:val="004C4087"/>
    <w:rsid w:val="004C410C"/>
    <w:rsid w:val="004C41A9"/>
    <w:rsid w:val="004C41BF"/>
    <w:rsid w:val="004C41E5"/>
    <w:rsid w:val="004C4214"/>
    <w:rsid w:val="004C426E"/>
    <w:rsid w:val="004C42C9"/>
    <w:rsid w:val="004C4333"/>
    <w:rsid w:val="004C4370"/>
    <w:rsid w:val="004C43BB"/>
    <w:rsid w:val="004C440F"/>
    <w:rsid w:val="004C4418"/>
    <w:rsid w:val="004C448C"/>
    <w:rsid w:val="004C44CF"/>
    <w:rsid w:val="004C4502"/>
    <w:rsid w:val="004C456A"/>
    <w:rsid w:val="004C458C"/>
    <w:rsid w:val="004C461B"/>
    <w:rsid w:val="004C4649"/>
    <w:rsid w:val="004C4684"/>
    <w:rsid w:val="004C4721"/>
    <w:rsid w:val="004C47EA"/>
    <w:rsid w:val="004C47F8"/>
    <w:rsid w:val="004C4878"/>
    <w:rsid w:val="004C4AA4"/>
    <w:rsid w:val="004C4AA6"/>
    <w:rsid w:val="004C4AD2"/>
    <w:rsid w:val="004C4B75"/>
    <w:rsid w:val="004C4B87"/>
    <w:rsid w:val="004C4BA2"/>
    <w:rsid w:val="004C4D4E"/>
    <w:rsid w:val="004C4EEB"/>
    <w:rsid w:val="004C5031"/>
    <w:rsid w:val="004C50E2"/>
    <w:rsid w:val="004C512C"/>
    <w:rsid w:val="004C5259"/>
    <w:rsid w:val="004C531E"/>
    <w:rsid w:val="004C5395"/>
    <w:rsid w:val="004C542E"/>
    <w:rsid w:val="004C5431"/>
    <w:rsid w:val="004C543D"/>
    <w:rsid w:val="004C5524"/>
    <w:rsid w:val="004C5693"/>
    <w:rsid w:val="004C5828"/>
    <w:rsid w:val="004C594B"/>
    <w:rsid w:val="004C5993"/>
    <w:rsid w:val="004C5A3F"/>
    <w:rsid w:val="004C5A53"/>
    <w:rsid w:val="004C5A6A"/>
    <w:rsid w:val="004C5AC9"/>
    <w:rsid w:val="004C5AD8"/>
    <w:rsid w:val="004C5AF3"/>
    <w:rsid w:val="004C5B0D"/>
    <w:rsid w:val="004C5B9E"/>
    <w:rsid w:val="004C5C83"/>
    <w:rsid w:val="004C5D4A"/>
    <w:rsid w:val="004C5DA9"/>
    <w:rsid w:val="004C5DB9"/>
    <w:rsid w:val="004C5DBB"/>
    <w:rsid w:val="004C5DF4"/>
    <w:rsid w:val="004C5EB8"/>
    <w:rsid w:val="004C5EE9"/>
    <w:rsid w:val="004C5EF1"/>
    <w:rsid w:val="004C5F1B"/>
    <w:rsid w:val="004C5F3C"/>
    <w:rsid w:val="004C5F5D"/>
    <w:rsid w:val="004C5FA3"/>
    <w:rsid w:val="004C5FA4"/>
    <w:rsid w:val="004C5FE4"/>
    <w:rsid w:val="004C601B"/>
    <w:rsid w:val="004C610C"/>
    <w:rsid w:val="004C6113"/>
    <w:rsid w:val="004C615B"/>
    <w:rsid w:val="004C6175"/>
    <w:rsid w:val="004C6187"/>
    <w:rsid w:val="004C61B1"/>
    <w:rsid w:val="004C6205"/>
    <w:rsid w:val="004C6261"/>
    <w:rsid w:val="004C641E"/>
    <w:rsid w:val="004C6424"/>
    <w:rsid w:val="004C6441"/>
    <w:rsid w:val="004C648B"/>
    <w:rsid w:val="004C64A2"/>
    <w:rsid w:val="004C64EB"/>
    <w:rsid w:val="004C64F1"/>
    <w:rsid w:val="004C6526"/>
    <w:rsid w:val="004C668B"/>
    <w:rsid w:val="004C66C3"/>
    <w:rsid w:val="004C66DC"/>
    <w:rsid w:val="004C6797"/>
    <w:rsid w:val="004C6858"/>
    <w:rsid w:val="004C6870"/>
    <w:rsid w:val="004C69F1"/>
    <w:rsid w:val="004C6A93"/>
    <w:rsid w:val="004C6AFC"/>
    <w:rsid w:val="004C6B30"/>
    <w:rsid w:val="004C6B7A"/>
    <w:rsid w:val="004C6B9D"/>
    <w:rsid w:val="004C6BCB"/>
    <w:rsid w:val="004C6BD5"/>
    <w:rsid w:val="004C6BF8"/>
    <w:rsid w:val="004C6C13"/>
    <w:rsid w:val="004C6C6C"/>
    <w:rsid w:val="004C6E50"/>
    <w:rsid w:val="004C6EBD"/>
    <w:rsid w:val="004C6F95"/>
    <w:rsid w:val="004C6FEA"/>
    <w:rsid w:val="004C7039"/>
    <w:rsid w:val="004C709B"/>
    <w:rsid w:val="004C70B5"/>
    <w:rsid w:val="004C70DE"/>
    <w:rsid w:val="004C7169"/>
    <w:rsid w:val="004C71BB"/>
    <w:rsid w:val="004C71C6"/>
    <w:rsid w:val="004C724C"/>
    <w:rsid w:val="004C7293"/>
    <w:rsid w:val="004C72B7"/>
    <w:rsid w:val="004C72B8"/>
    <w:rsid w:val="004C7395"/>
    <w:rsid w:val="004C739A"/>
    <w:rsid w:val="004C7401"/>
    <w:rsid w:val="004C741B"/>
    <w:rsid w:val="004C7519"/>
    <w:rsid w:val="004C757D"/>
    <w:rsid w:val="004C75CD"/>
    <w:rsid w:val="004C760B"/>
    <w:rsid w:val="004C7618"/>
    <w:rsid w:val="004C761E"/>
    <w:rsid w:val="004C771E"/>
    <w:rsid w:val="004C7768"/>
    <w:rsid w:val="004C778C"/>
    <w:rsid w:val="004C7830"/>
    <w:rsid w:val="004C7876"/>
    <w:rsid w:val="004C7994"/>
    <w:rsid w:val="004C79B4"/>
    <w:rsid w:val="004C79FE"/>
    <w:rsid w:val="004C7A1C"/>
    <w:rsid w:val="004C7A83"/>
    <w:rsid w:val="004C7AA0"/>
    <w:rsid w:val="004C7B1E"/>
    <w:rsid w:val="004C7B22"/>
    <w:rsid w:val="004C7B5D"/>
    <w:rsid w:val="004C7C7C"/>
    <w:rsid w:val="004C7C7E"/>
    <w:rsid w:val="004C7C90"/>
    <w:rsid w:val="004C7C9D"/>
    <w:rsid w:val="004C7E15"/>
    <w:rsid w:val="004C7EB7"/>
    <w:rsid w:val="004C7ECB"/>
    <w:rsid w:val="004C7F1A"/>
    <w:rsid w:val="004C7F31"/>
    <w:rsid w:val="004C7F3B"/>
    <w:rsid w:val="004C7F5B"/>
    <w:rsid w:val="004C7F9E"/>
    <w:rsid w:val="004D014F"/>
    <w:rsid w:val="004D0154"/>
    <w:rsid w:val="004D01B4"/>
    <w:rsid w:val="004D0235"/>
    <w:rsid w:val="004D024F"/>
    <w:rsid w:val="004D031C"/>
    <w:rsid w:val="004D0480"/>
    <w:rsid w:val="004D049D"/>
    <w:rsid w:val="004D04B6"/>
    <w:rsid w:val="004D04F1"/>
    <w:rsid w:val="004D056C"/>
    <w:rsid w:val="004D0580"/>
    <w:rsid w:val="004D05BF"/>
    <w:rsid w:val="004D066B"/>
    <w:rsid w:val="004D06F8"/>
    <w:rsid w:val="004D0725"/>
    <w:rsid w:val="004D08EB"/>
    <w:rsid w:val="004D0928"/>
    <w:rsid w:val="004D0981"/>
    <w:rsid w:val="004D09AF"/>
    <w:rsid w:val="004D0A0C"/>
    <w:rsid w:val="004D0AE8"/>
    <w:rsid w:val="004D0C09"/>
    <w:rsid w:val="004D0C47"/>
    <w:rsid w:val="004D0C55"/>
    <w:rsid w:val="004D0CDD"/>
    <w:rsid w:val="004D0CF5"/>
    <w:rsid w:val="004D0D17"/>
    <w:rsid w:val="004D0D21"/>
    <w:rsid w:val="004D0D2A"/>
    <w:rsid w:val="004D0DAE"/>
    <w:rsid w:val="004D0E1A"/>
    <w:rsid w:val="004D0E7A"/>
    <w:rsid w:val="004D0EA5"/>
    <w:rsid w:val="004D0EBA"/>
    <w:rsid w:val="004D0EF3"/>
    <w:rsid w:val="004D0F0C"/>
    <w:rsid w:val="004D0F5B"/>
    <w:rsid w:val="004D0F90"/>
    <w:rsid w:val="004D0FB0"/>
    <w:rsid w:val="004D0FF6"/>
    <w:rsid w:val="004D103E"/>
    <w:rsid w:val="004D10BC"/>
    <w:rsid w:val="004D10BD"/>
    <w:rsid w:val="004D10F9"/>
    <w:rsid w:val="004D1103"/>
    <w:rsid w:val="004D1114"/>
    <w:rsid w:val="004D1133"/>
    <w:rsid w:val="004D1188"/>
    <w:rsid w:val="004D12A3"/>
    <w:rsid w:val="004D13D3"/>
    <w:rsid w:val="004D1429"/>
    <w:rsid w:val="004D148A"/>
    <w:rsid w:val="004D155F"/>
    <w:rsid w:val="004D162A"/>
    <w:rsid w:val="004D162B"/>
    <w:rsid w:val="004D165A"/>
    <w:rsid w:val="004D168F"/>
    <w:rsid w:val="004D1698"/>
    <w:rsid w:val="004D1882"/>
    <w:rsid w:val="004D1970"/>
    <w:rsid w:val="004D1999"/>
    <w:rsid w:val="004D19F4"/>
    <w:rsid w:val="004D1A5A"/>
    <w:rsid w:val="004D1A67"/>
    <w:rsid w:val="004D1A9F"/>
    <w:rsid w:val="004D1AA1"/>
    <w:rsid w:val="004D1BE1"/>
    <w:rsid w:val="004D1BEB"/>
    <w:rsid w:val="004D1C84"/>
    <w:rsid w:val="004D1CAE"/>
    <w:rsid w:val="004D1D4A"/>
    <w:rsid w:val="004D1E24"/>
    <w:rsid w:val="004D1EC8"/>
    <w:rsid w:val="004D1EE2"/>
    <w:rsid w:val="004D1EEE"/>
    <w:rsid w:val="004D1FEE"/>
    <w:rsid w:val="004D2024"/>
    <w:rsid w:val="004D2171"/>
    <w:rsid w:val="004D2218"/>
    <w:rsid w:val="004D228D"/>
    <w:rsid w:val="004D22AC"/>
    <w:rsid w:val="004D22B2"/>
    <w:rsid w:val="004D22BC"/>
    <w:rsid w:val="004D22FF"/>
    <w:rsid w:val="004D237D"/>
    <w:rsid w:val="004D23DC"/>
    <w:rsid w:val="004D23E0"/>
    <w:rsid w:val="004D23EA"/>
    <w:rsid w:val="004D2481"/>
    <w:rsid w:val="004D24B5"/>
    <w:rsid w:val="004D272C"/>
    <w:rsid w:val="004D2742"/>
    <w:rsid w:val="004D2897"/>
    <w:rsid w:val="004D2ADA"/>
    <w:rsid w:val="004D2AE4"/>
    <w:rsid w:val="004D2B1E"/>
    <w:rsid w:val="004D2BBF"/>
    <w:rsid w:val="004D2BEF"/>
    <w:rsid w:val="004D2C26"/>
    <w:rsid w:val="004D2DBD"/>
    <w:rsid w:val="004D2E33"/>
    <w:rsid w:val="004D2E7A"/>
    <w:rsid w:val="004D2ED0"/>
    <w:rsid w:val="004D2EE5"/>
    <w:rsid w:val="004D2F02"/>
    <w:rsid w:val="004D2F07"/>
    <w:rsid w:val="004D2F42"/>
    <w:rsid w:val="004D30D6"/>
    <w:rsid w:val="004D3124"/>
    <w:rsid w:val="004D3126"/>
    <w:rsid w:val="004D312C"/>
    <w:rsid w:val="004D3157"/>
    <w:rsid w:val="004D3276"/>
    <w:rsid w:val="004D3279"/>
    <w:rsid w:val="004D3399"/>
    <w:rsid w:val="004D33CC"/>
    <w:rsid w:val="004D3432"/>
    <w:rsid w:val="004D3438"/>
    <w:rsid w:val="004D345A"/>
    <w:rsid w:val="004D352E"/>
    <w:rsid w:val="004D356A"/>
    <w:rsid w:val="004D360F"/>
    <w:rsid w:val="004D3654"/>
    <w:rsid w:val="004D36AF"/>
    <w:rsid w:val="004D36F8"/>
    <w:rsid w:val="004D3764"/>
    <w:rsid w:val="004D37F9"/>
    <w:rsid w:val="004D38A1"/>
    <w:rsid w:val="004D3957"/>
    <w:rsid w:val="004D3A79"/>
    <w:rsid w:val="004D3AB2"/>
    <w:rsid w:val="004D3AC1"/>
    <w:rsid w:val="004D3AE1"/>
    <w:rsid w:val="004D3B44"/>
    <w:rsid w:val="004D3BB4"/>
    <w:rsid w:val="004D3BB8"/>
    <w:rsid w:val="004D3C23"/>
    <w:rsid w:val="004D3C54"/>
    <w:rsid w:val="004D3CCC"/>
    <w:rsid w:val="004D3D0B"/>
    <w:rsid w:val="004D3D0D"/>
    <w:rsid w:val="004D3D24"/>
    <w:rsid w:val="004D3DAB"/>
    <w:rsid w:val="004D3DDB"/>
    <w:rsid w:val="004D3E17"/>
    <w:rsid w:val="004D3ECC"/>
    <w:rsid w:val="004D3F61"/>
    <w:rsid w:val="004D3F96"/>
    <w:rsid w:val="004D3FAD"/>
    <w:rsid w:val="004D3FF7"/>
    <w:rsid w:val="004D4040"/>
    <w:rsid w:val="004D4109"/>
    <w:rsid w:val="004D4153"/>
    <w:rsid w:val="004D41D2"/>
    <w:rsid w:val="004D4286"/>
    <w:rsid w:val="004D4296"/>
    <w:rsid w:val="004D42F0"/>
    <w:rsid w:val="004D434D"/>
    <w:rsid w:val="004D434E"/>
    <w:rsid w:val="004D437F"/>
    <w:rsid w:val="004D449E"/>
    <w:rsid w:val="004D45D8"/>
    <w:rsid w:val="004D467D"/>
    <w:rsid w:val="004D48AA"/>
    <w:rsid w:val="004D4937"/>
    <w:rsid w:val="004D49A5"/>
    <w:rsid w:val="004D49AA"/>
    <w:rsid w:val="004D49E3"/>
    <w:rsid w:val="004D4A10"/>
    <w:rsid w:val="004D4A8D"/>
    <w:rsid w:val="004D4B65"/>
    <w:rsid w:val="004D4B82"/>
    <w:rsid w:val="004D4BFA"/>
    <w:rsid w:val="004D4C99"/>
    <w:rsid w:val="004D4CC2"/>
    <w:rsid w:val="004D4CC6"/>
    <w:rsid w:val="004D4CDA"/>
    <w:rsid w:val="004D4CF0"/>
    <w:rsid w:val="004D4D35"/>
    <w:rsid w:val="004D4D62"/>
    <w:rsid w:val="004D4DAE"/>
    <w:rsid w:val="004D4E23"/>
    <w:rsid w:val="004D4E69"/>
    <w:rsid w:val="004D4F16"/>
    <w:rsid w:val="004D4F41"/>
    <w:rsid w:val="004D4FB5"/>
    <w:rsid w:val="004D4FED"/>
    <w:rsid w:val="004D4FF3"/>
    <w:rsid w:val="004D501A"/>
    <w:rsid w:val="004D5097"/>
    <w:rsid w:val="004D50AA"/>
    <w:rsid w:val="004D50D8"/>
    <w:rsid w:val="004D511D"/>
    <w:rsid w:val="004D51D9"/>
    <w:rsid w:val="004D526C"/>
    <w:rsid w:val="004D527F"/>
    <w:rsid w:val="004D528D"/>
    <w:rsid w:val="004D52A1"/>
    <w:rsid w:val="004D5319"/>
    <w:rsid w:val="004D535E"/>
    <w:rsid w:val="004D538C"/>
    <w:rsid w:val="004D549E"/>
    <w:rsid w:val="004D5587"/>
    <w:rsid w:val="004D55A3"/>
    <w:rsid w:val="004D55BC"/>
    <w:rsid w:val="004D55F1"/>
    <w:rsid w:val="004D562D"/>
    <w:rsid w:val="004D564C"/>
    <w:rsid w:val="004D572B"/>
    <w:rsid w:val="004D584D"/>
    <w:rsid w:val="004D5926"/>
    <w:rsid w:val="004D594F"/>
    <w:rsid w:val="004D5957"/>
    <w:rsid w:val="004D59AE"/>
    <w:rsid w:val="004D59DB"/>
    <w:rsid w:val="004D59F7"/>
    <w:rsid w:val="004D5A06"/>
    <w:rsid w:val="004D5A52"/>
    <w:rsid w:val="004D5A5B"/>
    <w:rsid w:val="004D5B89"/>
    <w:rsid w:val="004D5C45"/>
    <w:rsid w:val="004D5CA9"/>
    <w:rsid w:val="004D5DD0"/>
    <w:rsid w:val="004D5E0D"/>
    <w:rsid w:val="004D5E40"/>
    <w:rsid w:val="004D5E51"/>
    <w:rsid w:val="004D5E5D"/>
    <w:rsid w:val="004D5EC3"/>
    <w:rsid w:val="004D5EED"/>
    <w:rsid w:val="004D5FB4"/>
    <w:rsid w:val="004D5FC0"/>
    <w:rsid w:val="004D6087"/>
    <w:rsid w:val="004D60CF"/>
    <w:rsid w:val="004D6116"/>
    <w:rsid w:val="004D6166"/>
    <w:rsid w:val="004D617B"/>
    <w:rsid w:val="004D6192"/>
    <w:rsid w:val="004D61FC"/>
    <w:rsid w:val="004D62A6"/>
    <w:rsid w:val="004D62CB"/>
    <w:rsid w:val="004D6392"/>
    <w:rsid w:val="004D63AD"/>
    <w:rsid w:val="004D6413"/>
    <w:rsid w:val="004D6476"/>
    <w:rsid w:val="004D64FE"/>
    <w:rsid w:val="004D658E"/>
    <w:rsid w:val="004D65D8"/>
    <w:rsid w:val="004D65F8"/>
    <w:rsid w:val="004D6629"/>
    <w:rsid w:val="004D6646"/>
    <w:rsid w:val="004D668B"/>
    <w:rsid w:val="004D66B9"/>
    <w:rsid w:val="004D66BD"/>
    <w:rsid w:val="004D6799"/>
    <w:rsid w:val="004D68AC"/>
    <w:rsid w:val="004D68F1"/>
    <w:rsid w:val="004D6940"/>
    <w:rsid w:val="004D69B8"/>
    <w:rsid w:val="004D6A2C"/>
    <w:rsid w:val="004D6A4F"/>
    <w:rsid w:val="004D6A98"/>
    <w:rsid w:val="004D6AA3"/>
    <w:rsid w:val="004D6B59"/>
    <w:rsid w:val="004D6B90"/>
    <w:rsid w:val="004D6BAE"/>
    <w:rsid w:val="004D6BCD"/>
    <w:rsid w:val="004D6C3D"/>
    <w:rsid w:val="004D6D02"/>
    <w:rsid w:val="004D6D35"/>
    <w:rsid w:val="004D6D8C"/>
    <w:rsid w:val="004D6DE9"/>
    <w:rsid w:val="004D6DF7"/>
    <w:rsid w:val="004D6E25"/>
    <w:rsid w:val="004D6E8D"/>
    <w:rsid w:val="004D6EDB"/>
    <w:rsid w:val="004D6F6A"/>
    <w:rsid w:val="004D6F9D"/>
    <w:rsid w:val="004D6FD5"/>
    <w:rsid w:val="004D6FDE"/>
    <w:rsid w:val="004D7072"/>
    <w:rsid w:val="004D7147"/>
    <w:rsid w:val="004D71E9"/>
    <w:rsid w:val="004D7237"/>
    <w:rsid w:val="004D734E"/>
    <w:rsid w:val="004D7366"/>
    <w:rsid w:val="004D73F1"/>
    <w:rsid w:val="004D7462"/>
    <w:rsid w:val="004D7499"/>
    <w:rsid w:val="004D74F3"/>
    <w:rsid w:val="004D7549"/>
    <w:rsid w:val="004D75DA"/>
    <w:rsid w:val="004D75FF"/>
    <w:rsid w:val="004D762C"/>
    <w:rsid w:val="004D7642"/>
    <w:rsid w:val="004D764E"/>
    <w:rsid w:val="004D7699"/>
    <w:rsid w:val="004D76C6"/>
    <w:rsid w:val="004D77E7"/>
    <w:rsid w:val="004D781C"/>
    <w:rsid w:val="004D796D"/>
    <w:rsid w:val="004D7B2A"/>
    <w:rsid w:val="004D7C05"/>
    <w:rsid w:val="004D7C25"/>
    <w:rsid w:val="004D7D84"/>
    <w:rsid w:val="004D7DD4"/>
    <w:rsid w:val="004D7DF3"/>
    <w:rsid w:val="004D7DFB"/>
    <w:rsid w:val="004D7E32"/>
    <w:rsid w:val="004D7E64"/>
    <w:rsid w:val="004D7E9E"/>
    <w:rsid w:val="004D7EF6"/>
    <w:rsid w:val="004D7F68"/>
    <w:rsid w:val="004D7F89"/>
    <w:rsid w:val="004E0035"/>
    <w:rsid w:val="004E00CB"/>
    <w:rsid w:val="004E01BB"/>
    <w:rsid w:val="004E020B"/>
    <w:rsid w:val="004E0254"/>
    <w:rsid w:val="004E025C"/>
    <w:rsid w:val="004E0294"/>
    <w:rsid w:val="004E02B2"/>
    <w:rsid w:val="004E0300"/>
    <w:rsid w:val="004E034E"/>
    <w:rsid w:val="004E03E5"/>
    <w:rsid w:val="004E03F3"/>
    <w:rsid w:val="004E04CC"/>
    <w:rsid w:val="004E0510"/>
    <w:rsid w:val="004E05DE"/>
    <w:rsid w:val="004E05FC"/>
    <w:rsid w:val="004E0656"/>
    <w:rsid w:val="004E069F"/>
    <w:rsid w:val="004E06B7"/>
    <w:rsid w:val="004E0793"/>
    <w:rsid w:val="004E086E"/>
    <w:rsid w:val="004E08B4"/>
    <w:rsid w:val="004E093C"/>
    <w:rsid w:val="004E0A1B"/>
    <w:rsid w:val="004E0A93"/>
    <w:rsid w:val="004E0ABA"/>
    <w:rsid w:val="004E0B86"/>
    <w:rsid w:val="004E0BB0"/>
    <w:rsid w:val="004E0BB7"/>
    <w:rsid w:val="004E0BB8"/>
    <w:rsid w:val="004E0C53"/>
    <w:rsid w:val="004E0C77"/>
    <w:rsid w:val="004E0D0E"/>
    <w:rsid w:val="004E0D7B"/>
    <w:rsid w:val="004E0D97"/>
    <w:rsid w:val="004E0F4D"/>
    <w:rsid w:val="004E0FBB"/>
    <w:rsid w:val="004E104C"/>
    <w:rsid w:val="004E1062"/>
    <w:rsid w:val="004E1074"/>
    <w:rsid w:val="004E10D9"/>
    <w:rsid w:val="004E11A5"/>
    <w:rsid w:val="004E11B5"/>
    <w:rsid w:val="004E11DC"/>
    <w:rsid w:val="004E1288"/>
    <w:rsid w:val="004E12CA"/>
    <w:rsid w:val="004E12F5"/>
    <w:rsid w:val="004E1349"/>
    <w:rsid w:val="004E1360"/>
    <w:rsid w:val="004E1398"/>
    <w:rsid w:val="004E1404"/>
    <w:rsid w:val="004E1425"/>
    <w:rsid w:val="004E149E"/>
    <w:rsid w:val="004E14A5"/>
    <w:rsid w:val="004E14DC"/>
    <w:rsid w:val="004E1519"/>
    <w:rsid w:val="004E1639"/>
    <w:rsid w:val="004E1659"/>
    <w:rsid w:val="004E1693"/>
    <w:rsid w:val="004E16CA"/>
    <w:rsid w:val="004E16D6"/>
    <w:rsid w:val="004E17C3"/>
    <w:rsid w:val="004E187B"/>
    <w:rsid w:val="004E18F3"/>
    <w:rsid w:val="004E18F4"/>
    <w:rsid w:val="004E1951"/>
    <w:rsid w:val="004E196E"/>
    <w:rsid w:val="004E1A1F"/>
    <w:rsid w:val="004E1A74"/>
    <w:rsid w:val="004E1ACB"/>
    <w:rsid w:val="004E1AED"/>
    <w:rsid w:val="004E1AF6"/>
    <w:rsid w:val="004E1B7E"/>
    <w:rsid w:val="004E1BB3"/>
    <w:rsid w:val="004E1BBF"/>
    <w:rsid w:val="004E1C09"/>
    <w:rsid w:val="004E1D23"/>
    <w:rsid w:val="004E1DBD"/>
    <w:rsid w:val="004E1DC4"/>
    <w:rsid w:val="004E1DFF"/>
    <w:rsid w:val="004E1E4F"/>
    <w:rsid w:val="004E1E79"/>
    <w:rsid w:val="004E1E8C"/>
    <w:rsid w:val="004E1EA2"/>
    <w:rsid w:val="004E1F11"/>
    <w:rsid w:val="004E1F61"/>
    <w:rsid w:val="004E1F9C"/>
    <w:rsid w:val="004E1FA7"/>
    <w:rsid w:val="004E2004"/>
    <w:rsid w:val="004E200A"/>
    <w:rsid w:val="004E2033"/>
    <w:rsid w:val="004E2290"/>
    <w:rsid w:val="004E2305"/>
    <w:rsid w:val="004E23B4"/>
    <w:rsid w:val="004E23D8"/>
    <w:rsid w:val="004E245F"/>
    <w:rsid w:val="004E2550"/>
    <w:rsid w:val="004E257C"/>
    <w:rsid w:val="004E25EC"/>
    <w:rsid w:val="004E2675"/>
    <w:rsid w:val="004E2683"/>
    <w:rsid w:val="004E280A"/>
    <w:rsid w:val="004E2834"/>
    <w:rsid w:val="004E2857"/>
    <w:rsid w:val="004E2897"/>
    <w:rsid w:val="004E28B8"/>
    <w:rsid w:val="004E2960"/>
    <w:rsid w:val="004E2A3A"/>
    <w:rsid w:val="004E2ABD"/>
    <w:rsid w:val="004E2BB6"/>
    <w:rsid w:val="004E2C8C"/>
    <w:rsid w:val="004E2D36"/>
    <w:rsid w:val="004E2D97"/>
    <w:rsid w:val="004E2DA2"/>
    <w:rsid w:val="004E2DD3"/>
    <w:rsid w:val="004E2DF2"/>
    <w:rsid w:val="004E2E45"/>
    <w:rsid w:val="004E2EA5"/>
    <w:rsid w:val="004E2EAC"/>
    <w:rsid w:val="004E2EBE"/>
    <w:rsid w:val="004E2EF2"/>
    <w:rsid w:val="004E2F26"/>
    <w:rsid w:val="004E311C"/>
    <w:rsid w:val="004E3149"/>
    <w:rsid w:val="004E3166"/>
    <w:rsid w:val="004E3187"/>
    <w:rsid w:val="004E31CF"/>
    <w:rsid w:val="004E3366"/>
    <w:rsid w:val="004E337F"/>
    <w:rsid w:val="004E33E9"/>
    <w:rsid w:val="004E3462"/>
    <w:rsid w:val="004E346A"/>
    <w:rsid w:val="004E34BE"/>
    <w:rsid w:val="004E363F"/>
    <w:rsid w:val="004E3749"/>
    <w:rsid w:val="004E37A2"/>
    <w:rsid w:val="004E3807"/>
    <w:rsid w:val="004E3809"/>
    <w:rsid w:val="004E38DA"/>
    <w:rsid w:val="004E3948"/>
    <w:rsid w:val="004E3971"/>
    <w:rsid w:val="004E39EF"/>
    <w:rsid w:val="004E3A72"/>
    <w:rsid w:val="004E3A7D"/>
    <w:rsid w:val="004E3AD2"/>
    <w:rsid w:val="004E3B9D"/>
    <w:rsid w:val="004E3BAC"/>
    <w:rsid w:val="004E3BE5"/>
    <w:rsid w:val="004E3D55"/>
    <w:rsid w:val="004E3D89"/>
    <w:rsid w:val="004E3E10"/>
    <w:rsid w:val="004E3ECF"/>
    <w:rsid w:val="004E3F77"/>
    <w:rsid w:val="004E3FC4"/>
    <w:rsid w:val="004E4038"/>
    <w:rsid w:val="004E4079"/>
    <w:rsid w:val="004E410D"/>
    <w:rsid w:val="004E4183"/>
    <w:rsid w:val="004E418E"/>
    <w:rsid w:val="004E41C0"/>
    <w:rsid w:val="004E4224"/>
    <w:rsid w:val="004E4263"/>
    <w:rsid w:val="004E435E"/>
    <w:rsid w:val="004E4434"/>
    <w:rsid w:val="004E44CC"/>
    <w:rsid w:val="004E44FD"/>
    <w:rsid w:val="004E4515"/>
    <w:rsid w:val="004E4534"/>
    <w:rsid w:val="004E4565"/>
    <w:rsid w:val="004E4636"/>
    <w:rsid w:val="004E4648"/>
    <w:rsid w:val="004E4670"/>
    <w:rsid w:val="004E470A"/>
    <w:rsid w:val="004E476F"/>
    <w:rsid w:val="004E4810"/>
    <w:rsid w:val="004E4831"/>
    <w:rsid w:val="004E48CE"/>
    <w:rsid w:val="004E48F3"/>
    <w:rsid w:val="004E4980"/>
    <w:rsid w:val="004E49BB"/>
    <w:rsid w:val="004E4A17"/>
    <w:rsid w:val="004E4B41"/>
    <w:rsid w:val="004E4BD5"/>
    <w:rsid w:val="004E4D07"/>
    <w:rsid w:val="004E4D37"/>
    <w:rsid w:val="004E4D4C"/>
    <w:rsid w:val="004E4D77"/>
    <w:rsid w:val="004E4DF0"/>
    <w:rsid w:val="004E4E73"/>
    <w:rsid w:val="004E4F21"/>
    <w:rsid w:val="004E4F34"/>
    <w:rsid w:val="004E4FDC"/>
    <w:rsid w:val="004E5060"/>
    <w:rsid w:val="004E5073"/>
    <w:rsid w:val="004E50CE"/>
    <w:rsid w:val="004E5207"/>
    <w:rsid w:val="004E5323"/>
    <w:rsid w:val="004E5417"/>
    <w:rsid w:val="004E5437"/>
    <w:rsid w:val="004E54A5"/>
    <w:rsid w:val="004E54C6"/>
    <w:rsid w:val="004E5517"/>
    <w:rsid w:val="004E55ED"/>
    <w:rsid w:val="004E56B0"/>
    <w:rsid w:val="004E56B6"/>
    <w:rsid w:val="004E56D8"/>
    <w:rsid w:val="004E56E2"/>
    <w:rsid w:val="004E5734"/>
    <w:rsid w:val="004E5761"/>
    <w:rsid w:val="004E5811"/>
    <w:rsid w:val="004E5844"/>
    <w:rsid w:val="004E5850"/>
    <w:rsid w:val="004E58AE"/>
    <w:rsid w:val="004E5C2E"/>
    <w:rsid w:val="004E5C62"/>
    <w:rsid w:val="004E5C7D"/>
    <w:rsid w:val="004E5C92"/>
    <w:rsid w:val="004E5CB4"/>
    <w:rsid w:val="004E5D95"/>
    <w:rsid w:val="004E5E10"/>
    <w:rsid w:val="004E5E68"/>
    <w:rsid w:val="004E5E7D"/>
    <w:rsid w:val="004E5F6D"/>
    <w:rsid w:val="004E5F84"/>
    <w:rsid w:val="004E5FAE"/>
    <w:rsid w:val="004E5FB7"/>
    <w:rsid w:val="004E604B"/>
    <w:rsid w:val="004E6096"/>
    <w:rsid w:val="004E617B"/>
    <w:rsid w:val="004E61E2"/>
    <w:rsid w:val="004E6241"/>
    <w:rsid w:val="004E63EB"/>
    <w:rsid w:val="004E641E"/>
    <w:rsid w:val="004E6433"/>
    <w:rsid w:val="004E6458"/>
    <w:rsid w:val="004E6461"/>
    <w:rsid w:val="004E65BD"/>
    <w:rsid w:val="004E6605"/>
    <w:rsid w:val="004E66C7"/>
    <w:rsid w:val="004E6718"/>
    <w:rsid w:val="004E67A3"/>
    <w:rsid w:val="004E6812"/>
    <w:rsid w:val="004E6864"/>
    <w:rsid w:val="004E68D1"/>
    <w:rsid w:val="004E68F1"/>
    <w:rsid w:val="004E69D2"/>
    <w:rsid w:val="004E69E0"/>
    <w:rsid w:val="004E6A15"/>
    <w:rsid w:val="004E6AC1"/>
    <w:rsid w:val="004E6AFC"/>
    <w:rsid w:val="004E6B4D"/>
    <w:rsid w:val="004E6B5F"/>
    <w:rsid w:val="004E6CD6"/>
    <w:rsid w:val="004E6D36"/>
    <w:rsid w:val="004E6E11"/>
    <w:rsid w:val="004E6E67"/>
    <w:rsid w:val="004E6E78"/>
    <w:rsid w:val="004E6E7F"/>
    <w:rsid w:val="004E6ED4"/>
    <w:rsid w:val="004E6F8F"/>
    <w:rsid w:val="004E6FCA"/>
    <w:rsid w:val="004E70DC"/>
    <w:rsid w:val="004E715B"/>
    <w:rsid w:val="004E71E0"/>
    <w:rsid w:val="004E71EA"/>
    <w:rsid w:val="004E71F3"/>
    <w:rsid w:val="004E7240"/>
    <w:rsid w:val="004E72FF"/>
    <w:rsid w:val="004E7333"/>
    <w:rsid w:val="004E738E"/>
    <w:rsid w:val="004E73B2"/>
    <w:rsid w:val="004E73EC"/>
    <w:rsid w:val="004E75F8"/>
    <w:rsid w:val="004E7608"/>
    <w:rsid w:val="004E7672"/>
    <w:rsid w:val="004E76D6"/>
    <w:rsid w:val="004E7725"/>
    <w:rsid w:val="004E77D2"/>
    <w:rsid w:val="004E78AB"/>
    <w:rsid w:val="004E78D7"/>
    <w:rsid w:val="004E7912"/>
    <w:rsid w:val="004E796A"/>
    <w:rsid w:val="004E7AB9"/>
    <w:rsid w:val="004E7B35"/>
    <w:rsid w:val="004E7B62"/>
    <w:rsid w:val="004E7B63"/>
    <w:rsid w:val="004E7BB0"/>
    <w:rsid w:val="004E7BB3"/>
    <w:rsid w:val="004E7BD0"/>
    <w:rsid w:val="004E7BDB"/>
    <w:rsid w:val="004E7D61"/>
    <w:rsid w:val="004E7D77"/>
    <w:rsid w:val="004E7D9A"/>
    <w:rsid w:val="004E7E27"/>
    <w:rsid w:val="004E7EB0"/>
    <w:rsid w:val="004E7EBD"/>
    <w:rsid w:val="004E7F40"/>
    <w:rsid w:val="004E7FBD"/>
    <w:rsid w:val="004F017B"/>
    <w:rsid w:val="004F020B"/>
    <w:rsid w:val="004F029B"/>
    <w:rsid w:val="004F029F"/>
    <w:rsid w:val="004F039A"/>
    <w:rsid w:val="004F03AF"/>
    <w:rsid w:val="004F0438"/>
    <w:rsid w:val="004F0543"/>
    <w:rsid w:val="004F05A3"/>
    <w:rsid w:val="004F069E"/>
    <w:rsid w:val="004F06A2"/>
    <w:rsid w:val="004F071D"/>
    <w:rsid w:val="004F0786"/>
    <w:rsid w:val="004F0839"/>
    <w:rsid w:val="004F0856"/>
    <w:rsid w:val="004F08A1"/>
    <w:rsid w:val="004F08D6"/>
    <w:rsid w:val="004F0952"/>
    <w:rsid w:val="004F0994"/>
    <w:rsid w:val="004F0B88"/>
    <w:rsid w:val="004F0BE6"/>
    <w:rsid w:val="004F0BF7"/>
    <w:rsid w:val="004F0CE5"/>
    <w:rsid w:val="004F0D9A"/>
    <w:rsid w:val="004F0DFA"/>
    <w:rsid w:val="004F0E6E"/>
    <w:rsid w:val="004F0E99"/>
    <w:rsid w:val="004F0F17"/>
    <w:rsid w:val="004F0F42"/>
    <w:rsid w:val="004F0F8E"/>
    <w:rsid w:val="004F0FB1"/>
    <w:rsid w:val="004F0FC3"/>
    <w:rsid w:val="004F1111"/>
    <w:rsid w:val="004F112A"/>
    <w:rsid w:val="004F1273"/>
    <w:rsid w:val="004F129E"/>
    <w:rsid w:val="004F13C0"/>
    <w:rsid w:val="004F1440"/>
    <w:rsid w:val="004F1478"/>
    <w:rsid w:val="004F163F"/>
    <w:rsid w:val="004F167D"/>
    <w:rsid w:val="004F16BF"/>
    <w:rsid w:val="004F16D5"/>
    <w:rsid w:val="004F177B"/>
    <w:rsid w:val="004F178A"/>
    <w:rsid w:val="004F1797"/>
    <w:rsid w:val="004F17AA"/>
    <w:rsid w:val="004F17B4"/>
    <w:rsid w:val="004F180A"/>
    <w:rsid w:val="004F1810"/>
    <w:rsid w:val="004F188E"/>
    <w:rsid w:val="004F191A"/>
    <w:rsid w:val="004F1989"/>
    <w:rsid w:val="004F19EE"/>
    <w:rsid w:val="004F1AEE"/>
    <w:rsid w:val="004F1B35"/>
    <w:rsid w:val="004F1B6E"/>
    <w:rsid w:val="004F1BDA"/>
    <w:rsid w:val="004F1CE6"/>
    <w:rsid w:val="004F1D29"/>
    <w:rsid w:val="004F1DE7"/>
    <w:rsid w:val="004F1E21"/>
    <w:rsid w:val="004F1EFF"/>
    <w:rsid w:val="004F1F0C"/>
    <w:rsid w:val="004F1F82"/>
    <w:rsid w:val="004F1F9F"/>
    <w:rsid w:val="004F2003"/>
    <w:rsid w:val="004F20FA"/>
    <w:rsid w:val="004F2117"/>
    <w:rsid w:val="004F2183"/>
    <w:rsid w:val="004F226A"/>
    <w:rsid w:val="004F22CA"/>
    <w:rsid w:val="004F237E"/>
    <w:rsid w:val="004F23F4"/>
    <w:rsid w:val="004F247B"/>
    <w:rsid w:val="004F24DD"/>
    <w:rsid w:val="004F251E"/>
    <w:rsid w:val="004F2543"/>
    <w:rsid w:val="004F2581"/>
    <w:rsid w:val="004F25BE"/>
    <w:rsid w:val="004F261B"/>
    <w:rsid w:val="004F26D1"/>
    <w:rsid w:val="004F2701"/>
    <w:rsid w:val="004F27D6"/>
    <w:rsid w:val="004F27E5"/>
    <w:rsid w:val="004F2866"/>
    <w:rsid w:val="004F291B"/>
    <w:rsid w:val="004F29A2"/>
    <w:rsid w:val="004F29E9"/>
    <w:rsid w:val="004F2A1A"/>
    <w:rsid w:val="004F2ADF"/>
    <w:rsid w:val="004F2AEC"/>
    <w:rsid w:val="004F2B6C"/>
    <w:rsid w:val="004F2BA4"/>
    <w:rsid w:val="004F2BB7"/>
    <w:rsid w:val="004F2BD8"/>
    <w:rsid w:val="004F2C0E"/>
    <w:rsid w:val="004F2C19"/>
    <w:rsid w:val="004F2C4A"/>
    <w:rsid w:val="004F2C54"/>
    <w:rsid w:val="004F2CC6"/>
    <w:rsid w:val="004F2EB0"/>
    <w:rsid w:val="004F2F3C"/>
    <w:rsid w:val="004F2F6B"/>
    <w:rsid w:val="004F3145"/>
    <w:rsid w:val="004F31E3"/>
    <w:rsid w:val="004F3212"/>
    <w:rsid w:val="004F3233"/>
    <w:rsid w:val="004F32B7"/>
    <w:rsid w:val="004F32DB"/>
    <w:rsid w:val="004F3351"/>
    <w:rsid w:val="004F33A2"/>
    <w:rsid w:val="004F33FC"/>
    <w:rsid w:val="004F3401"/>
    <w:rsid w:val="004F3407"/>
    <w:rsid w:val="004F3424"/>
    <w:rsid w:val="004F3453"/>
    <w:rsid w:val="004F34C3"/>
    <w:rsid w:val="004F35E4"/>
    <w:rsid w:val="004F3601"/>
    <w:rsid w:val="004F37ED"/>
    <w:rsid w:val="004F385F"/>
    <w:rsid w:val="004F3860"/>
    <w:rsid w:val="004F38B5"/>
    <w:rsid w:val="004F3990"/>
    <w:rsid w:val="004F399A"/>
    <w:rsid w:val="004F39D4"/>
    <w:rsid w:val="004F3A02"/>
    <w:rsid w:val="004F3A6F"/>
    <w:rsid w:val="004F3A8E"/>
    <w:rsid w:val="004F3ABB"/>
    <w:rsid w:val="004F3B3C"/>
    <w:rsid w:val="004F3BEC"/>
    <w:rsid w:val="004F3C16"/>
    <w:rsid w:val="004F3C55"/>
    <w:rsid w:val="004F3C5E"/>
    <w:rsid w:val="004F3C69"/>
    <w:rsid w:val="004F3C9E"/>
    <w:rsid w:val="004F3CBB"/>
    <w:rsid w:val="004F3CDD"/>
    <w:rsid w:val="004F3D62"/>
    <w:rsid w:val="004F3E7D"/>
    <w:rsid w:val="004F3ECF"/>
    <w:rsid w:val="004F3EFE"/>
    <w:rsid w:val="004F3F5F"/>
    <w:rsid w:val="004F3FE8"/>
    <w:rsid w:val="004F3FF5"/>
    <w:rsid w:val="004F3FFD"/>
    <w:rsid w:val="004F402A"/>
    <w:rsid w:val="004F40A2"/>
    <w:rsid w:val="004F4115"/>
    <w:rsid w:val="004F41E9"/>
    <w:rsid w:val="004F4216"/>
    <w:rsid w:val="004F4294"/>
    <w:rsid w:val="004F42AB"/>
    <w:rsid w:val="004F4319"/>
    <w:rsid w:val="004F4348"/>
    <w:rsid w:val="004F435B"/>
    <w:rsid w:val="004F437C"/>
    <w:rsid w:val="004F43C8"/>
    <w:rsid w:val="004F44D7"/>
    <w:rsid w:val="004F44F0"/>
    <w:rsid w:val="004F45CD"/>
    <w:rsid w:val="004F45F2"/>
    <w:rsid w:val="004F4612"/>
    <w:rsid w:val="004F46D2"/>
    <w:rsid w:val="004F46E0"/>
    <w:rsid w:val="004F46E6"/>
    <w:rsid w:val="004F46F5"/>
    <w:rsid w:val="004F4799"/>
    <w:rsid w:val="004F47DA"/>
    <w:rsid w:val="004F47FC"/>
    <w:rsid w:val="004F4813"/>
    <w:rsid w:val="004F4833"/>
    <w:rsid w:val="004F48DE"/>
    <w:rsid w:val="004F491F"/>
    <w:rsid w:val="004F4920"/>
    <w:rsid w:val="004F495C"/>
    <w:rsid w:val="004F4A79"/>
    <w:rsid w:val="004F4BB2"/>
    <w:rsid w:val="004F4C5B"/>
    <w:rsid w:val="004F4CC6"/>
    <w:rsid w:val="004F4CEB"/>
    <w:rsid w:val="004F4D05"/>
    <w:rsid w:val="004F4D0F"/>
    <w:rsid w:val="004F4D40"/>
    <w:rsid w:val="004F4DCA"/>
    <w:rsid w:val="004F4DF3"/>
    <w:rsid w:val="004F4E77"/>
    <w:rsid w:val="004F4EFE"/>
    <w:rsid w:val="004F4F66"/>
    <w:rsid w:val="004F4FD5"/>
    <w:rsid w:val="004F5107"/>
    <w:rsid w:val="004F5126"/>
    <w:rsid w:val="004F5134"/>
    <w:rsid w:val="004F5142"/>
    <w:rsid w:val="004F517A"/>
    <w:rsid w:val="004F52D3"/>
    <w:rsid w:val="004F532E"/>
    <w:rsid w:val="004F5376"/>
    <w:rsid w:val="004F542A"/>
    <w:rsid w:val="004F54AB"/>
    <w:rsid w:val="004F54BB"/>
    <w:rsid w:val="004F550C"/>
    <w:rsid w:val="004F5678"/>
    <w:rsid w:val="004F57F5"/>
    <w:rsid w:val="004F58D9"/>
    <w:rsid w:val="004F5931"/>
    <w:rsid w:val="004F5932"/>
    <w:rsid w:val="004F59CD"/>
    <w:rsid w:val="004F59E0"/>
    <w:rsid w:val="004F59F6"/>
    <w:rsid w:val="004F5A00"/>
    <w:rsid w:val="004F5A28"/>
    <w:rsid w:val="004F5A78"/>
    <w:rsid w:val="004F5BBF"/>
    <w:rsid w:val="004F5BF3"/>
    <w:rsid w:val="004F5CD9"/>
    <w:rsid w:val="004F5D12"/>
    <w:rsid w:val="004F5D82"/>
    <w:rsid w:val="004F5DA0"/>
    <w:rsid w:val="004F5E53"/>
    <w:rsid w:val="004F5E5B"/>
    <w:rsid w:val="004F5F67"/>
    <w:rsid w:val="004F6018"/>
    <w:rsid w:val="004F6039"/>
    <w:rsid w:val="004F6084"/>
    <w:rsid w:val="004F6117"/>
    <w:rsid w:val="004F6134"/>
    <w:rsid w:val="004F613B"/>
    <w:rsid w:val="004F61EA"/>
    <w:rsid w:val="004F62E6"/>
    <w:rsid w:val="004F634E"/>
    <w:rsid w:val="004F63D5"/>
    <w:rsid w:val="004F63E6"/>
    <w:rsid w:val="004F643B"/>
    <w:rsid w:val="004F6450"/>
    <w:rsid w:val="004F646F"/>
    <w:rsid w:val="004F64B1"/>
    <w:rsid w:val="004F64C6"/>
    <w:rsid w:val="004F6557"/>
    <w:rsid w:val="004F6617"/>
    <w:rsid w:val="004F663B"/>
    <w:rsid w:val="004F667E"/>
    <w:rsid w:val="004F66BE"/>
    <w:rsid w:val="004F66C9"/>
    <w:rsid w:val="004F6771"/>
    <w:rsid w:val="004F67DC"/>
    <w:rsid w:val="004F6874"/>
    <w:rsid w:val="004F688A"/>
    <w:rsid w:val="004F68C0"/>
    <w:rsid w:val="004F68D1"/>
    <w:rsid w:val="004F6919"/>
    <w:rsid w:val="004F69D4"/>
    <w:rsid w:val="004F6A24"/>
    <w:rsid w:val="004F6A2A"/>
    <w:rsid w:val="004F6A9E"/>
    <w:rsid w:val="004F6B5B"/>
    <w:rsid w:val="004F6B6C"/>
    <w:rsid w:val="004F6C0E"/>
    <w:rsid w:val="004F6C66"/>
    <w:rsid w:val="004F6CA4"/>
    <w:rsid w:val="004F6CDB"/>
    <w:rsid w:val="004F6D0B"/>
    <w:rsid w:val="004F6D3A"/>
    <w:rsid w:val="004F6E51"/>
    <w:rsid w:val="004F6E97"/>
    <w:rsid w:val="004F6EBA"/>
    <w:rsid w:val="004F7039"/>
    <w:rsid w:val="004F7093"/>
    <w:rsid w:val="004F709C"/>
    <w:rsid w:val="004F70C7"/>
    <w:rsid w:val="004F7127"/>
    <w:rsid w:val="004F71D8"/>
    <w:rsid w:val="004F738F"/>
    <w:rsid w:val="004F73C6"/>
    <w:rsid w:val="004F7448"/>
    <w:rsid w:val="004F7480"/>
    <w:rsid w:val="004F7488"/>
    <w:rsid w:val="004F74C4"/>
    <w:rsid w:val="004F74C7"/>
    <w:rsid w:val="004F75A1"/>
    <w:rsid w:val="004F7607"/>
    <w:rsid w:val="004F760F"/>
    <w:rsid w:val="004F7624"/>
    <w:rsid w:val="004F763B"/>
    <w:rsid w:val="004F7696"/>
    <w:rsid w:val="004F76EE"/>
    <w:rsid w:val="004F7755"/>
    <w:rsid w:val="004F783C"/>
    <w:rsid w:val="004F784B"/>
    <w:rsid w:val="004F7851"/>
    <w:rsid w:val="004F7865"/>
    <w:rsid w:val="004F794E"/>
    <w:rsid w:val="004F79B6"/>
    <w:rsid w:val="004F79C3"/>
    <w:rsid w:val="004F7A83"/>
    <w:rsid w:val="004F7A88"/>
    <w:rsid w:val="004F7AC8"/>
    <w:rsid w:val="004F7ACF"/>
    <w:rsid w:val="004F7B28"/>
    <w:rsid w:val="004F7C79"/>
    <w:rsid w:val="004F7C93"/>
    <w:rsid w:val="004F7CC2"/>
    <w:rsid w:val="004F7E86"/>
    <w:rsid w:val="004F7E96"/>
    <w:rsid w:val="004F7EBF"/>
    <w:rsid w:val="004F7FD0"/>
    <w:rsid w:val="004F7FD5"/>
    <w:rsid w:val="0050000B"/>
    <w:rsid w:val="00500029"/>
    <w:rsid w:val="00500085"/>
    <w:rsid w:val="00500133"/>
    <w:rsid w:val="0050014B"/>
    <w:rsid w:val="0050018E"/>
    <w:rsid w:val="005001CB"/>
    <w:rsid w:val="0050027D"/>
    <w:rsid w:val="0050034C"/>
    <w:rsid w:val="005003B5"/>
    <w:rsid w:val="005003E5"/>
    <w:rsid w:val="00500482"/>
    <w:rsid w:val="005004F8"/>
    <w:rsid w:val="00500547"/>
    <w:rsid w:val="00500636"/>
    <w:rsid w:val="00500671"/>
    <w:rsid w:val="00500675"/>
    <w:rsid w:val="005006C0"/>
    <w:rsid w:val="0050071B"/>
    <w:rsid w:val="0050077B"/>
    <w:rsid w:val="00500886"/>
    <w:rsid w:val="005008DE"/>
    <w:rsid w:val="00500921"/>
    <w:rsid w:val="005009B9"/>
    <w:rsid w:val="005009D4"/>
    <w:rsid w:val="00500A24"/>
    <w:rsid w:val="00500AD6"/>
    <w:rsid w:val="00500BCF"/>
    <w:rsid w:val="00500BF9"/>
    <w:rsid w:val="00500C02"/>
    <w:rsid w:val="00500C48"/>
    <w:rsid w:val="00500C72"/>
    <w:rsid w:val="00500C86"/>
    <w:rsid w:val="00500CB1"/>
    <w:rsid w:val="00500CD5"/>
    <w:rsid w:val="00500CF0"/>
    <w:rsid w:val="00500D82"/>
    <w:rsid w:val="00500DEB"/>
    <w:rsid w:val="00500E41"/>
    <w:rsid w:val="00500E43"/>
    <w:rsid w:val="00500E76"/>
    <w:rsid w:val="00500ED1"/>
    <w:rsid w:val="00500EE1"/>
    <w:rsid w:val="00500FC7"/>
    <w:rsid w:val="00500FE4"/>
    <w:rsid w:val="0050102E"/>
    <w:rsid w:val="005010CE"/>
    <w:rsid w:val="00501182"/>
    <w:rsid w:val="00501191"/>
    <w:rsid w:val="005011DA"/>
    <w:rsid w:val="00501216"/>
    <w:rsid w:val="00501265"/>
    <w:rsid w:val="0050128D"/>
    <w:rsid w:val="0050128E"/>
    <w:rsid w:val="005012B4"/>
    <w:rsid w:val="00501377"/>
    <w:rsid w:val="00501394"/>
    <w:rsid w:val="005014C4"/>
    <w:rsid w:val="005014F3"/>
    <w:rsid w:val="00501552"/>
    <w:rsid w:val="00501569"/>
    <w:rsid w:val="0050156D"/>
    <w:rsid w:val="005015E6"/>
    <w:rsid w:val="005016AF"/>
    <w:rsid w:val="0050172D"/>
    <w:rsid w:val="00501774"/>
    <w:rsid w:val="005017B4"/>
    <w:rsid w:val="005017DD"/>
    <w:rsid w:val="00501898"/>
    <w:rsid w:val="005018A6"/>
    <w:rsid w:val="00501920"/>
    <w:rsid w:val="005019AA"/>
    <w:rsid w:val="00501A6A"/>
    <w:rsid w:val="00501A8E"/>
    <w:rsid w:val="00501B61"/>
    <w:rsid w:val="00501C5B"/>
    <w:rsid w:val="00501C6A"/>
    <w:rsid w:val="00501C7D"/>
    <w:rsid w:val="00501C8E"/>
    <w:rsid w:val="00501CD6"/>
    <w:rsid w:val="00501CD7"/>
    <w:rsid w:val="00501D28"/>
    <w:rsid w:val="00501DC8"/>
    <w:rsid w:val="00501ECD"/>
    <w:rsid w:val="00501F6D"/>
    <w:rsid w:val="00501F9E"/>
    <w:rsid w:val="00502021"/>
    <w:rsid w:val="00502062"/>
    <w:rsid w:val="00502079"/>
    <w:rsid w:val="00502135"/>
    <w:rsid w:val="005022AF"/>
    <w:rsid w:val="005022D0"/>
    <w:rsid w:val="00502355"/>
    <w:rsid w:val="00502540"/>
    <w:rsid w:val="00502580"/>
    <w:rsid w:val="005025D2"/>
    <w:rsid w:val="00502662"/>
    <w:rsid w:val="00502693"/>
    <w:rsid w:val="00502706"/>
    <w:rsid w:val="0050273E"/>
    <w:rsid w:val="0050281E"/>
    <w:rsid w:val="00502857"/>
    <w:rsid w:val="0050288E"/>
    <w:rsid w:val="0050289E"/>
    <w:rsid w:val="005028C2"/>
    <w:rsid w:val="00502909"/>
    <w:rsid w:val="00502922"/>
    <w:rsid w:val="00502963"/>
    <w:rsid w:val="00502966"/>
    <w:rsid w:val="005029E4"/>
    <w:rsid w:val="00502A29"/>
    <w:rsid w:val="00502A4A"/>
    <w:rsid w:val="00502A51"/>
    <w:rsid w:val="00502ACB"/>
    <w:rsid w:val="00502AD2"/>
    <w:rsid w:val="00502B36"/>
    <w:rsid w:val="00502B85"/>
    <w:rsid w:val="00502BF2"/>
    <w:rsid w:val="00502CF3"/>
    <w:rsid w:val="00502ED8"/>
    <w:rsid w:val="00502F17"/>
    <w:rsid w:val="00502F45"/>
    <w:rsid w:val="0050300A"/>
    <w:rsid w:val="00503033"/>
    <w:rsid w:val="00503174"/>
    <w:rsid w:val="0050320F"/>
    <w:rsid w:val="0050324C"/>
    <w:rsid w:val="00503298"/>
    <w:rsid w:val="00503301"/>
    <w:rsid w:val="0050334C"/>
    <w:rsid w:val="00503385"/>
    <w:rsid w:val="005033D1"/>
    <w:rsid w:val="00503498"/>
    <w:rsid w:val="005034E5"/>
    <w:rsid w:val="0050368C"/>
    <w:rsid w:val="0050368D"/>
    <w:rsid w:val="00503742"/>
    <w:rsid w:val="0050375B"/>
    <w:rsid w:val="00503866"/>
    <w:rsid w:val="005038C0"/>
    <w:rsid w:val="005038CD"/>
    <w:rsid w:val="00503976"/>
    <w:rsid w:val="00503997"/>
    <w:rsid w:val="00503ABE"/>
    <w:rsid w:val="00503B4E"/>
    <w:rsid w:val="00503B79"/>
    <w:rsid w:val="00503B8F"/>
    <w:rsid w:val="00503B9F"/>
    <w:rsid w:val="00503C8E"/>
    <w:rsid w:val="00503CA3"/>
    <w:rsid w:val="00503D28"/>
    <w:rsid w:val="00503DCB"/>
    <w:rsid w:val="00503E8A"/>
    <w:rsid w:val="00503EF7"/>
    <w:rsid w:val="00503F0A"/>
    <w:rsid w:val="00503F50"/>
    <w:rsid w:val="00503FD9"/>
    <w:rsid w:val="0050400B"/>
    <w:rsid w:val="00504029"/>
    <w:rsid w:val="00504113"/>
    <w:rsid w:val="00504147"/>
    <w:rsid w:val="00504167"/>
    <w:rsid w:val="0050419F"/>
    <w:rsid w:val="005041C4"/>
    <w:rsid w:val="005041D3"/>
    <w:rsid w:val="00504260"/>
    <w:rsid w:val="00504271"/>
    <w:rsid w:val="00504274"/>
    <w:rsid w:val="00504275"/>
    <w:rsid w:val="0050428D"/>
    <w:rsid w:val="00504352"/>
    <w:rsid w:val="00504356"/>
    <w:rsid w:val="00504360"/>
    <w:rsid w:val="00504408"/>
    <w:rsid w:val="0050456A"/>
    <w:rsid w:val="00504576"/>
    <w:rsid w:val="005045C0"/>
    <w:rsid w:val="00504602"/>
    <w:rsid w:val="00504646"/>
    <w:rsid w:val="005046F2"/>
    <w:rsid w:val="005046FA"/>
    <w:rsid w:val="00504745"/>
    <w:rsid w:val="005047C0"/>
    <w:rsid w:val="005047DC"/>
    <w:rsid w:val="00504849"/>
    <w:rsid w:val="0050490A"/>
    <w:rsid w:val="00504A96"/>
    <w:rsid w:val="00504AB1"/>
    <w:rsid w:val="00504AE5"/>
    <w:rsid w:val="00504BE1"/>
    <w:rsid w:val="00504C1A"/>
    <w:rsid w:val="00504C24"/>
    <w:rsid w:val="00504CA3"/>
    <w:rsid w:val="00504CA7"/>
    <w:rsid w:val="00504CD1"/>
    <w:rsid w:val="00504D14"/>
    <w:rsid w:val="00504D5C"/>
    <w:rsid w:val="00504D88"/>
    <w:rsid w:val="00504DED"/>
    <w:rsid w:val="00504DFB"/>
    <w:rsid w:val="00504DFF"/>
    <w:rsid w:val="00504E12"/>
    <w:rsid w:val="00504EE9"/>
    <w:rsid w:val="00504F73"/>
    <w:rsid w:val="00504FFA"/>
    <w:rsid w:val="00505035"/>
    <w:rsid w:val="00505037"/>
    <w:rsid w:val="0050503C"/>
    <w:rsid w:val="00505182"/>
    <w:rsid w:val="005051C5"/>
    <w:rsid w:val="00505227"/>
    <w:rsid w:val="005052F8"/>
    <w:rsid w:val="0050530E"/>
    <w:rsid w:val="00505371"/>
    <w:rsid w:val="0050537D"/>
    <w:rsid w:val="0050546F"/>
    <w:rsid w:val="00505470"/>
    <w:rsid w:val="0050548F"/>
    <w:rsid w:val="005054E3"/>
    <w:rsid w:val="0050550C"/>
    <w:rsid w:val="00505541"/>
    <w:rsid w:val="0050554E"/>
    <w:rsid w:val="005055D2"/>
    <w:rsid w:val="00505660"/>
    <w:rsid w:val="005056DA"/>
    <w:rsid w:val="00505743"/>
    <w:rsid w:val="00505803"/>
    <w:rsid w:val="00505804"/>
    <w:rsid w:val="0050583C"/>
    <w:rsid w:val="0050588D"/>
    <w:rsid w:val="00505898"/>
    <w:rsid w:val="005058E9"/>
    <w:rsid w:val="00505938"/>
    <w:rsid w:val="00505AA6"/>
    <w:rsid w:val="00505B53"/>
    <w:rsid w:val="00505B69"/>
    <w:rsid w:val="00505BAA"/>
    <w:rsid w:val="00505C3B"/>
    <w:rsid w:val="00505C73"/>
    <w:rsid w:val="00505CD5"/>
    <w:rsid w:val="00505DE4"/>
    <w:rsid w:val="00505DF5"/>
    <w:rsid w:val="00505E27"/>
    <w:rsid w:val="00505E7D"/>
    <w:rsid w:val="00505EDA"/>
    <w:rsid w:val="00505EDF"/>
    <w:rsid w:val="00505F2D"/>
    <w:rsid w:val="00505F61"/>
    <w:rsid w:val="00506038"/>
    <w:rsid w:val="00506076"/>
    <w:rsid w:val="005060EF"/>
    <w:rsid w:val="00506130"/>
    <w:rsid w:val="00506140"/>
    <w:rsid w:val="00506223"/>
    <w:rsid w:val="00506243"/>
    <w:rsid w:val="005066FE"/>
    <w:rsid w:val="00506804"/>
    <w:rsid w:val="0050682C"/>
    <w:rsid w:val="005068F7"/>
    <w:rsid w:val="00506919"/>
    <w:rsid w:val="00506999"/>
    <w:rsid w:val="005069E1"/>
    <w:rsid w:val="00506AA4"/>
    <w:rsid w:val="00506AC8"/>
    <w:rsid w:val="00506ACF"/>
    <w:rsid w:val="00506ADD"/>
    <w:rsid w:val="00506B08"/>
    <w:rsid w:val="00506BBE"/>
    <w:rsid w:val="00506C42"/>
    <w:rsid w:val="00506C4D"/>
    <w:rsid w:val="00506CBC"/>
    <w:rsid w:val="00506CDD"/>
    <w:rsid w:val="00506D6F"/>
    <w:rsid w:val="00506D86"/>
    <w:rsid w:val="00506DEA"/>
    <w:rsid w:val="00506DF6"/>
    <w:rsid w:val="00506EB3"/>
    <w:rsid w:val="00506EB6"/>
    <w:rsid w:val="00506EB8"/>
    <w:rsid w:val="00506EC7"/>
    <w:rsid w:val="00506F29"/>
    <w:rsid w:val="00506FE0"/>
    <w:rsid w:val="00507146"/>
    <w:rsid w:val="00507155"/>
    <w:rsid w:val="00507283"/>
    <w:rsid w:val="005072AF"/>
    <w:rsid w:val="00507342"/>
    <w:rsid w:val="00507365"/>
    <w:rsid w:val="005073A9"/>
    <w:rsid w:val="00507408"/>
    <w:rsid w:val="0050748A"/>
    <w:rsid w:val="00507492"/>
    <w:rsid w:val="0050749C"/>
    <w:rsid w:val="005074A1"/>
    <w:rsid w:val="0050751C"/>
    <w:rsid w:val="0050752E"/>
    <w:rsid w:val="005075A5"/>
    <w:rsid w:val="005075DB"/>
    <w:rsid w:val="0050761F"/>
    <w:rsid w:val="00507747"/>
    <w:rsid w:val="005077C1"/>
    <w:rsid w:val="0050783B"/>
    <w:rsid w:val="005078FF"/>
    <w:rsid w:val="0050791C"/>
    <w:rsid w:val="0050793B"/>
    <w:rsid w:val="00507A32"/>
    <w:rsid w:val="00507A46"/>
    <w:rsid w:val="00507AE8"/>
    <w:rsid w:val="00507AF7"/>
    <w:rsid w:val="00507BC8"/>
    <w:rsid w:val="00507CD8"/>
    <w:rsid w:val="00507CE5"/>
    <w:rsid w:val="00507D39"/>
    <w:rsid w:val="00507D9A"/>
    <w:rsid w:val="00507DE6"/>
    <w:rsid w:val="00507E13"/>
    <w:rsid w:val="00507F03"/>
    <w:rsid w:val="00507F59"/>
    <w:rsid w:val="00507FAA"/>
    <w:rsid w:val="00510005"/>
    <w:rsid w:val="00510017"/>
    <w:rsid w:val="00510028"/>
    <w:rsid w:val="00510086"/>
    <w:rsid w:val="0051008E"/>
    <w:rsid w:val="00510092"/>
    <w:rsid w:val="0051009A"/>
    <w:rsid w:val="0051027D"/>
    <w:rsid w:val="005102D3"/>
    <w:rsid w:val="005102EF"/>
    <w:rsid w:val="00510314"/>
    <w:rsid w:val="00510371"/>
    <w:rsid w:val="005103E2"/>
    <w:rsid w:val="005104A5"/>
    <w:rsid w:val="005104CC"/>
    <w:rsid w:val="00510533"/>
    <w:rsid w:val="0051057E"/>
    <w:rsid w:val="005105B8"/>
    <w:rsid w:val="005105F4"/>
    <w:rsid w:val="005106C7"/>
    <w:rsid w:val="005106DE"/>
    <w:rsid w:val="005106EC"/>
    <w:rsid w:val="005107D9"/>
    <w:rsid w:val="005107F5"/>
    <w:rsid w:val="00510862"/>
    <w:rsid w:val="00510874"/>
    <w:rsid w:val="0051088C"/>
    <w:rsid w:val="00510919"/>
    <w:rsid w:val="00510970"/>
    <w:rsid w:val="005109CA"/>
    <w:rsid w:val="00510A2B"/>
    <w:rsid w:val="00510AC6"/>
    <w:rsid w:val="00510B72"/>
    <w:rsid w:val="00510B85"/>
    <w:rsid w:val="00510BE2"/>
    <w:rsid w:val="00510C8B"/>
    <w:rsid w:val="00510CAB"/>
    <w:rsid w:val="00510DA3"/>
    <w:rsid w:val="00510DBF"/>
    <w:rsid w:val="00510E08"/>
    <w:rsid w:val="00510E3A"/>
    <w:rsid w:val="00510E51"/>
    <w:rsid w:val="00510E6E"/>
    <w:rsid w:val="00510F9E"/>
    <w:rsid w:val="00511035"/>
    <w:rsid w:val="005110E4"/>
    <w:rsid w:val="005111F8"/>
    <w:rsid w:val="0051121E"/>
    <w:rsid w:val="00511274"/>
    <w:rsid w:val="005112A3"/>
    <w:rsid w:val="005112D5"/>
    <w:rsid w:val="005112FB"/>
    <w:rsid w:val="00511360"/>
    <w:rsid w:val="00511468"/>
    <w:rsid w:val="005114A3"/>
    <w:rsid w:val="005114F5"/>
    <w:rsid w:val="0051154D"/>
    <w:rsid w:val="00511576"/>
    <w:rsid w:val="0051158C"/>
    <w:rsid w:val="005115AA"/>
    <w:rsid w:val="005115DB"/>
    <w:rsid w:val="005115E1"/>
    <w:rsid w:val="00511706"/>
    <w:rsid w:val="00511796"/>
    <w:rsid w:val="0051180C"/>
    <w:rsid w:val="00511841"/>
    <w:rsid w:val="0051192E"/>
    <w:rsid w:val="0051197B"/>
    <w:rsid w:val="005119BA"/>
    <w:rsid w:val="00511A09"/>
    <w:rsid w:val="00511A47"/>
    <w:rsid w:val="00511AB5"/>
    <w:rsid w:val="00511AFA"/>
    <w:rsid w:val="00511B9F"/>
    <w:rsid w:val="00511C3A"/>
    <w:rsid w:val="00511C48"/>
    <w:rsid w:val="00511C5B"/>
    <w:rsid w:val="00511CA9"/>
    <w:rsid w:val="00511CBA"/>
    <w:rsid w:val="00511D0F"/>
    <w:rsid w:val="00511DA5"/>
    <w:rsid w:val="00511DDA"/>
    <w:rsid w:val="00511E09"/>
    <w:rsid w:val="00511EFF"/>
    <w:rsid w:val="00511F7E"/>
    <w:rsid w:val="00511FE0"/>
    <w:rsid w:val="0051209F"/>
    <w:rsid w:val="005123DD"/>
    <w:rsid w:val="005123F8"/>
    <w:rsid w:val="00512453"/>
    <w:rsid w:val="00512476"/>
    <w:rsid w:val="00512478"/>
    <w:rsid w:val="00512517"/>
    <w:rsid w:val="00512551"/>
    <w:rsid w:val="00512563"/>
    <w:rsid w:val="005125EA"/>
    <w:rsid w:val="005125FC"/>
    <w:rsid w:val="00512606"/>
    <w:rsid w:val="005126E9"/>
    <w:rsid w:val="00512705"/>
    <w:rsid w:val="00512769"/>
    <w:rsid w:val="005127D0"/>
    <w:rsid w:val="005127DE"/>
    <w:rsid w:val="005127EC"/>
    <w:rsid w:val="00512833"/>
    <w:rsid w:val="0051283A"/>
    <w:rsid w:val="00512852"/>
    <w:rsid w:val="00512863"/>
    <w:rsid w:val="0051289B"/>
    <w:rsid w:val="005128A6"/>
    <w:rsid w:val="005128AB"/>
    <w:rsid w:val="005128BD"/>
    <w:rsid w:val="005128FA"/>
    <w:rsid w:val="00512935"/>
    <w:rsid w:val="00512967"/>
    <w:rsid w:val="005129A5"/>
    <w:rsid w:val="00512A08"/>
    <w:rsid w:val="00512B65"/>
    <w:rsid w:val="00512C0A"/>
    <w:rsid w:val="00512C3B"/>
    <w:rsid w:val="00512DA3"/>
    <w:rsid w:val="00512E0F"/>
    <w:rsid w:val="00512F78"/>
    <w:rsid w:val="00512FA8"/>
    <w:rsid w:val="00513028"/>
    <w:rsid w:val="00513080"/>
    <w:rsid w:val="00513137"/>
    <w:rsid w:val="00513155"/>
    <w:rsid w:val="0051323F"/>
    <w:rsid w:val="00513328"/>
    <w:rsid w:val="005133A5"/>
    <w:rsid w:val="005133B2"/>
    <w:rsid w:val="005133D3"/>
    <w:rsid w:val="005133DA"/>
    <w:rsid w:val="005134BE"/>
    <w:rsid w:val="0051350A"/>
    <w:rsid w:val="00513660"/>
    <w:rsid w:val="0051369C"/>
    <w:rsid w:val="00513744"/>
    <w:rsid w:val="00513766"/>
    <w:rsid w:val="00513781"/>
    <w:rsid w:val="005137D9"/>
    <w:rsid w:val="005137E5"/>
    <w:rsid w:val="0051388B"/>
    <w:rsid w:val="00513A61"/>
    <w:rsid w:val="00513ADB"/>
    <w:rsid w:val="00513B6C"/>
    <w:rsid w:val="00513BD9"/>
    <w:rsid w:val="00513C56"/>
    <w:rsid w:val="00513D3B"/>
    <w:rsid w:val="00513D74"/>
    <w:rsid w:val="00513D85"/>
    <w:rsid w:val="00513DEE"/>
    <w:rsid w:val="00513E55"/>
    <w:rsid w:val="00513EA8"/>
    <w:rsid w:val="00514049"/>
    <w:rsid w:val="0051414D"/>
    <w:rsid w:val="0051425D"/>
    <w:rsid w:val="00514333"/>
    <w:rsid w:val="00514437"/>
    <w:rsid w:val="00514496"/>
    <w:rsid w:val="00514765"/>
    <w:rsid w:val="005147D7"/>
    <w:rsid w:val="005148B3"/>
    <w:rsid w:val="005149D4"/>
    <w:rsid w:val="005149DD"/>
    <w:rsid w:val="00514AB0"/>
    <w:rsid w:val="00514B10"/>
    <w:rsid w:val="00514B13"/>
    <w:rsid w:val="00514B1C"/>
    <w:rsid w:val="00514B7E"/>
    <w:rsid w:val="00514BCB"/>
    <w:rsid w:val="00514C03"/>
    <w:rsid w:val="00514C5F"/>
    <w:rsid w:val="00514CA7"/>
    <w:rsid w:val="00514CC0"/>
    <w:rsid w:val="00514D4F"/>
    <w:rsid w:val="00514D72"/>
    <w:rsid w:val="00514DED"/>
    <w:rsid w:val="00514E59"/>
    <w:rsid w:val="00514EAB"/>
    <w:rsid w:val="00514F68"/>
    <w:rsid w:val="00514FE0"/>
    <w:rsid w:val="00515001"/>
    <w:rsid w:val="00515024"/>
    <w:rsid w:val="0051510C"/>
    <w:rsid w:val="00515132"/>
    <w:rsid w:val="00515152"/>
    <w:rsid w:val="0051522A"/>
    <w:rsid w:val="005152C9"/>
    <w:rsid w:val="00515301"/>
    <w:rsid w:val="0051531F"/>
    <w:rsid w:val="00515379"/>
    <w:rsid w:val="005153A4"/>
    <w:rsid w:val="005153DD"/>
    <w:rsid w:val="00515502"/>
    <w:rsid w:val="005155A3"/>
    <w:rsid w:val="00515611"/>
    <w:rsid w:val="00515653"/>
    <w:rsid w:val="0051567A"/>
    <w:rsid w:val="0051571C"/>
    <w:rsid w:val="00515741"/>
    <w:rsid w:val="00515805"/>
    <w:rsid w:val="00515810"/>
    <w:rsid w:val="00515863"/>
    <w:rsid w:val="0051592A"/>
    <w:rsid w:val="00515A34"/>
    <w:rsid w:val="00515A7B"/>
    <w:rsid w:val="00515ABB"/>
    <w:rsid w:val="00515ADB"/>
    <w:rsid w:val="00515B35"/>
    <w:rsid w:val="00515C89"/>
    <w:rsid w:val="00515D03"/>
    <w:rsid w:val="00515DD8"/>
    <w:rsid w:val="00515E62"/>
    <w:rsid w:val="00515EA3"/>
    <w:rsid w:val="00515ECB"/>
    <w:rsid w:val="00515EF6"/>
    <w:rsid w:val="00515F41"/>
    <w:rsid w:val="00515F5A"/>
    <w:rsid w:val="00515F64"/>
    <w:rsid w:val="00515F79"/>
    <w:rsid w:val="00515F7D"/>
    <w:rsid w:val="00516023"/>
    <w:rsid w:val="00516036"/>
    <w:rsid w:val="0051608F"/>
    <w:rsid w:val="0051609B"/>
    <w:rsid w:val="00516222"/>
    <w:rsid w:val="00516227"/>
    <w:rsid w:val="00516258"/>
    <w:rsid w:val="005162B4"/>
    <w:rsid w:val="00516330"/>
    <w:rsid w:val="0051634C"/>
    <w:rsid w:val="005163A3"/>
    <w:rsid w:val="005163F0"/>
    <w:rsid w:val="0051644F"/>
    <w:rsid w:val="0051647D"/>
    <w:rsid w:val="0051649D"/>
    <w:rsid w:val="005164D2"/>
    <w:rsid w:val="005164F8"/>
    <w:rsid w:val="00516567"/>
    <w:rsid w:val="005165DD"/>
    <w:rsid w:val="0051661F"/>
    <w:rsid w:val="005167A2"/>
    <w:rsid w:val="005167AF"/>
    <w:rsid w:val="005167DA"/>
    <w:rsid w:val="005168D2"/>
    <w:rsid w:val="00516918"/>
    <w:rsid w:val="0051698B"/>
    <w:rsid w:val="005169AB"/>
    <w:rsid w:val="005169BF"/>
    <w:rsid w:val="00516A07"/>
    <w:rsid w:val="00516A6E"/>
    <w:rsid w:val="00516B21"/>
    <w:rsid w:val="00516B35"/>
    <w:rsid w:val="00516BE1"/>
    <w:rsid w:val="00516CC6"/>
    <w:rsid w:val="00516D21"/>
    <w:rsid w:val="00516D40"/>
    <w:rsid w:val="00516D44"/>
    <w:rsid w:val="00516D46"/>
    <w:rsid w:val="00516DDC"/>
    <w:rsid w:val="00516E5F"/>
    <w:rsid w:val="00516EBA"/>
    <w:rsid w:val="00516EEB"/>
    <w:rsid w:val="00516F2D"/>
    <w:rsid w:val="00516F5E"/>
    <w:rsid w:val="00516FAC"/>
    <w:rsid w:val="00517026"/>
    <w:rsid w:val="00517149"/>
    <w:rsid w:val="00517228"/>
    <w:rsid w:val="0051731B"/>
    <w:rsid w:val="00517378"/>
    <w:rsid w:val="00517396"/>
    <w:rsid w:val="00517436"/>
    <w:rsid w:val="00517455"/>
    <w:rsid w:val="0051745A"/>
    <w:rsid w:val="00517480"/>
    <w:rsid w:val="0051750B"/>
    <w:rsid w:val="00517637"/>
    <w:rsid w:val="005176BB"/>
    <w:rsid w:val="0051770E"/>
    <w:rsid w:val="00517865"/>
    <w:rsid w:val="005178C7"/>
    <w:rsid w:val="005178DE"/>
    <w:rsid w:val="00517920"/>
    <w:rsid w:val="00517932"/>
    <w:rsid w:val="00517B3F"/>
    <w:rsid w:val="00517BED"/>
    <w:rsid w:val="00517C1B"/>
    <w:rsid w:val="00517C8E"/>
    <w:rsid w:val="00517C9E"/>
    <w:rsid w:val="00517CD0"/>
    <w:rsid w:val="00517CFC"/>
    <w:rsid w:val="00517DAA"/>
    <w:rsid w:val="00517DDD"/>
    <w:rsid w:val="00517DEC"/>
    <w:rsid w:val="00517F02"/>
    <w:rsid w:val="00517F95"/>
    <w:rsid w:val="00517FA8"/>
    <w:rsid w:val="00517FAF"/>
    <w:rsid w:val="0052001A"/>
    <w:rsid w:val="0052002F"/>
    <w:rsid w:val="005200E1"/>
    <w:rsid w:val="005200E9"/>
    <w:rsid w:val="00520173"/>
    <w:rsid w:val="0052033B"/>
    <w:rsid w:val="005203F8"/>
    <w:rsid w:val="0052042E"/>
    <w:rsid w:val="00520484"/>
    <w:rsid w:val="00520493"/>
    <w:rsid w:val="00520576"/>
    <w:rsid w:val="005205E8"/>
    <w:rsid w:val="00520672"/>
    <w:rsid w:val="005206A0"/>
    <w:rsid w:val="005206B1"/>
    <w:rsid w:val="005206F6"/>
    <w:rsid w:val="00520753"/>
    <w:rsid w:val="00520759"/>
    <w:rsid w:val="005207A6"/>
    <w:rsid w:val="005208F3"/>
    <w:rsid w:val="00520958"/>
    <w:rsid w:val="005209B2"/>
    <w:rsid w:val="005209BE"/>
    <w:rsid w:val="00520A93"/>
    <w:rsid w:val="00520AF7"/>
    <w:rsid w:val="00520B7F"/>
    <w:rsid w:val="00520C96"/>
    <w:rsid w:val="00520CAB"/>
    <w:rsid w:val="00520CCB"/>
    <w:rsid w:val="00520CD6"/>
    <w:rsid w:val="00520CFD"/>
    <w:rsid w:val="00520E0E"/>
    <w:rsid w:val="00520E50"/>
    <w:rsid w:val="00520F8D"/>
    <w:rsid w:val="00520FB6"/>
    <w:rsid w:val="00520FF7"/>
    <w:rsid w:val="00521021"/>
    <w:rsid w:val="005210FF"/>
    <w:rsid w:val="005214EA"/>
    <w:rsid w:val="00521520"/>
    <w:rsid w:val="0052158F"/>
    <w:rsid w:val="005215C7"/>
    <w:rsid w:val="005215D1"/>
    <w:rsid w:val="0052169A"/>
    <w:rsid w:val="005216BC"/>
    <w:rsid w:val="00521756"/>
    <w:rsid w:val="005218F0"/>
    <w:rsid w:val="00521956"/>
    <w:rsid w:val="00521967"/>
    <w:rsid w:val="0052198F"/>
    <w:rsid w:val="00521991"/>
    <w:rsid w:val="005219A4"/>
    <w:rsid w:val="005219AC"/>
    <w:rsid w:val="005219C9"/>
    <w:rsid w:val="00521A7E"/>
    <w:rsid w:val="00521A81"/>
    <w:rsid w:val="00521B37"/>
    <w:rsid w:val="00521B5B"/>
    <w:rsid w:val="00521C01"/>
    <w:rsid w:val="00521CF5"/>
    <w:rsid w:val="00521DC4"/>
    <w:rsid w:val="00521E6D"/>
    <w:rsid w:val="00521E78"/>
    <w:rsid w:val="00521ED6"/>
    <w:rsid w:val="00521F07"/>
    <w:rsid w:val="00521F0E"/>
    <w:rsid w:val="00521F3E"/>
    <w:rsid w:val="00521F5B"/>
    <w:rsid w:val="00521F5D"/>
    <w:rsid w:val="00521FBC"/>
    <w:rsid w:val="00522007"/>
    <w:rsid w:val="0052202D"/>
    <w:rsid w:val="00522037"/>
    <w:rsid w:val="00522080"/>
    <w:rsid w:val="005220B0"/>
    <w:rsid w:val="00522170"/>
    <w:rsid w:val="005221D6"/>
    <w:rsid w:val="005221D8"/>
    <w:rsid w:val="005221F8"/>
    <w:rsid w:val="005221FB"/>
    <w:rsid w:val="0052223A"/>
    <w:rsid w:val="005222CB"/>
    <w:rsid w:val="005222F6"/>
    <w:rsid w:val="00522347"/>
    <w:rsid w:val="0052237C"/>
    <w:rsid w:val="0052238D"/>
    <w:rsid w:val="005223C7"/>
    <w:rsid w:val="005223D6"/>
    <w:rsid w:val="00522429"/>
    <w:rsid w:val="00522477"/>
    <w:rsid w:val="00522510"/>
    <w:rsid w:val="0052255C"/>
    <w:rsid w:val="005225E0"/>
    <w:rsid w:val="005225F9"/>
    <w:rsid w:val="0052269F"/>
    <w:rsid w:val="0052276C"/>
    <w:rsid w:val="0052278B"/>
    <w:rsid w:val="0052282F"/>
    <w:rsid w:val="00522947"/>
    <w:rsid w:val="005229B0"/>
    <w:rsid w:val="00522A39"/>
    <w:rsid w:val="00522B60"/>
    <w:rsid w:val="00522B71"/>
    <w:rsid w:val="00522BDC"/>
    <w:rsid w:val="00522C3A"/>
    <w:rsid w:val="00522CAF"/>
    <w:rsid w:val="00522CC3"/>
    <w:rsid w:val="00522DAA"/>
    <w:rsid w:val="00522E6B"/>
    <w:rsid w:val="00522EAE"/>
    <w:rsid w:val="00522EE6"/>
    <w:rsid w:val="00522F0E"/>
    <w:rsid w:val="00522F32"/>
    <w:rsid w:val="005230CB"/>
    <w:rsid w:val="00523152"/>
    <w:rsid w:val="0052327D"/>
    <w:rsid w:val="0052342C"/>
    <w:rsid w:val="00523471"/>
    <w:rsid w:val="005234DD"/>
    <w:rsid w:val="00523504"/>
    <w:rsid w:val="00523522"/>
    <w:rsid w:val="005235EA"/>
    <w:rsid w:val="005235EF"/>
    <w:rsid w:val="00523634"/>
    <w:rsid w:val="00523637"/>
    <w:rsid w:val="005236A6"/>
    <w:rsid w:val="0052370E"/>
    <w:rsid w:val="00523785"/>
    <w:rsid w:val="00523878"/>
    <w:rsid w:val="00523925"/>
    <w:rsid w:val="00523A8E"/>
    <w:rsid w:val="00523AD9"/>
    <w:rsid w:val="00523AF4"/>
    <w:rsid w:val="00523B31"/>
    <w:rsid w:val="00523B3D"/>
    <w:rsid w:val="00523BA7"/>
    <w:rsid w:val="00523C13"/>
    <w:rsid w:val="00523C23"/>
    <w:rsid w:val="00523C64"/>
    <w:rsid w:val="00523E9C"/>
    <w:rsid w:val="00523EAC"/>
    <w:rsid w:val="00523F30"/>
    <w:rsid w:val="00523F9D"/>
    <w:rsid w:val="00523FC6"/>
    <w:rsid w:val="00524011"/>
    <w:rsid w:val="00524084"/>
    <w:rsid w:val="0052412A"/>
    <w:rsid w:val="005241F0"/>
    <w:rsid w:val="0052427F"/>
    <w:rsid w:val="005242A0"/>
    <w:rsid w:val="005242F4"/>
    <w:rsid w:val="00524346"/>
    <w:rsid w:val="00524434"/>
    <w:rsid w:val="00524535"/>
    <w:rsid w:val="0052459E"/>
    <w:rsid w:val="005245A2"/>
    <w:rsid w:val="005245B0"/>
    <w:rsid w:val="005245CB"/>
    <w:rsid w:val="005245F4"/>
    <w:rsid w:val="00524675"/>
    <w:rsid w:val="005246DA"/>
    <w:rsid w:val="00524771"/>
    <w:rsid w:val="00524835"/>
    <w:rsid w:val="00524842"/>
    <w:rsid w:val="005248A5"/>
    <w:rsid w:val="005248C9"/>
    <w:rsid w:val="005249AB"/>
    <w:rsid w:val="005249AD"/>
    <w:rsid w:val="005249D4"/>
    <w:rsid w:val="00524A36"/>
    <w:rsid w:val="00524B89"/>
    <w:rsid w:val="00524BD2"/>
    <w:rsid w:val="00524C48"/>
    <w:rsid w:val="00524CA6"/>
    <w:rsid w:val="00524DAF"/>
    <w:rsid w:val="00524DC6"/>
    <w:rsid w:val="00524DFA"/>
    <w:rsid w:val="00524EA6"/>
    <w:rsid w:val="00524ED3"/>
    <w:rsid w:val="00524EF2"/>
    <w:rsid w:val="00524F57"/>
    <w:rsid w:val="00524F93"/>
    <w:rsid w:val="00524FA3"/>
    <w:rsid w:val="0052500A"/>
    <w:rsid w:val="00525035"/>
    <w:rsid w:val="00525063"/>
    <w:rsid w:val="0052508D"/>
    <w:rsid w:val="00525097"/>
    <w:rsid w:val="005250A6"/>
    <w:rsid w:val="005250CF"/>
    <w:rsid w:val="005250F6"/>
    <w:rsid w:val="0052510D"/>
    <w:rsid w:val="005251D9"/>
    <w:rsid w:val="005251F2"/>
    <w:rsid w:val="00525258"/>
    <w:rsid w:val="0052531C"/>
    <w:rsid w:val="00525352"/>
    <w:rsid w:val="00525363"/>
    <w:rsid w:val="005253A0"/>
    <w:rsid w:val="005253A6"/>
    <w:rsid w:val="0052540A"/>
    <w:rsid w:val="00525468"/>
    <w:rsid w:val="00525496"/>
    <w:rsid w:val="0052549A"/>
    <w:rsid w:val="005254B7"/>
    <w:rsid w:val="0052553C"/>
    <w:rsid w:val="00525548"/>
    <w:rsid w:val="0052556D"/>
    <w:rsid w:val="00525655"/>
    <w:rsid w:val="00525699"/>
    <w:rsid w:val="0052569A"/>
    <w:rsid w:val="00525723"/>
    <w:rsid w:val="00525763"/>
    <w:rsid w:val="005257B0"/>
    <w:rsid w:val="005257D7"/>
    <w:rsid w:val="005257E7"/>
    <w:rsid w:val="0052580D"/>
    <w:rsid w:val="00525857"/>
    <w:rsid w:val="0052587E"/>
    <w:rsid w:val="005258BB"/>
    <w:rsid w:val="0052595E"/>
    <w:rsid w:val="00525A38"/>
    <w:rsid w:val="00525A7F"/>
    <w:rsid w:val="00525AA6"/>
    <w:rsid w:val="00525AA9"/>
    <w:rsid w:val="00525ABD"/>
    <w:rsid w:val="00525B59"/>
    <w:rsid w:val="00525BA1"/>
    <w:rsid w:val="00525C0A"/>
    <w:rsid w:val="00525C45"/>
    <w:rsid w:val="00525CEC"/>
    <w:rsid w:val="00525D12"/>
    <w:rsid w:val="00525D2C"/>
    <w:rsid w:val="00525D40"/>
    <w:rsid w:val="00525D50"/>
    <w:rsid w:val="00525D63"/>
    <w:rsid w:val="00525D6C"/>
    <w:rsid w:val="00525EB7"/>
    <w:rsid w:val="00525F2B"/>
    <w:rsid w:val="00525F65"/>
    <w:rsid w:val="00525FAD"/>
    <w:rsid w:val="00526033"/>
    <w:rsid w:val="00526059"/>
    <w:rsid w:val="00526095"/>
    <w:rsid w:val="005260F5"/>
    <w:rsid w:val="00526144"/>
    <w:rsid w:val="005261E7"/>
    <w:rsid w:val="0052623D"/>
    <w:rsid w:val="005262B4"/>
    <w:rsid w:val="00526337"/>
    <w:rsid w:val="00526359"/>
    <w:rsid w:val="005263C0"/>
    <w:rsid w:val="005263C7"/>
    <w:rsid w:val="00526423"/>
    <w:rsid w:val="00526447"/>
    <w:rsid w:val="0052644C"/>
    <w:rsid w:val="00526463"/>
    <w:rsid w:val="005264BB"/>
    <w:rsid w:val="00526583"/>
    <w:rsid w:val="00526655"/>
    <w:rsid w:val="00526681"/>
    <w:rsid w:val="00526688"/>
    <w:rsid w:val="0052669B"/>
    <w:rsid w:val="005267D1"/>
    <w:rsid w:val="00526815"/>
    <w:rsid w:val="0052694C"/>
    <w:rsid w:val="005269C1"/>
    <w:rsid w:val="005269F4"/>
    <w:rsid w:val="00526A08"/>
    <w:rsid w:val="00526A42"/>
    <w:rsid w:val="00526AAF"/>
    <w:rsid w:val="00526B1C"/>
    <w:rsid w:val="00526B58"/>
    <w:rsid w:val="00526B85"/>
    <w:rsid w:val="00526BE7"/>
    <w:rsid w:val="00526C4D"/>
    <w:rsid w:val="00526D00"/>
    <w:rsid w:val="00526D43"/>
    <w:rsid w:val="00526D63"/>
    <w:rsid w:val="00526D8A"/>
    <w:rsid w:val="00526E37"/>
    <w:rsid w:val="00526F07"/>
    <w:rsid w:val="00526F42"/>
    <w:rsid w:val="00526F86"/>
    <w:rsid w:val="00526F8C"/>
    <w:rsid w:val="00526F9B"/>
    <w:rsid w:val="0052716F"/>
    <w:rsid w:val="0052719E"/>
    <w:rsid w:val="005271C7"/>
    <w:rsid w:val="005271F1"/>
    <w:rsid w:val="00527332"/>
    <w:rsid w:val="00527380"/>
    <w:rsid w:val="0052738D"/>
    <w:rsid w:val="005273BF"/>
    <w:rsid w:val="0052745C"/>
    <w:rsid w:val="00527485"/>
    <w:rsid w:val="005274AB"/>
    <w:rsid w:val="005274ED"/>
    <w:rsid w:val="00527535"/>
    <w:rsid w:val="005275DE"/>
    <w:rsid w:val="005276FB"/>
    <w:rsid w:val="005277CD"/>
    <w:rsid w:val="00527898"/>
    <w:rsid w:val="005278B3"/>
    <w:rsid w:val="00527920"/>
    <w:rsid w:val="00527961"/>
    <w:rsid w:val="00527A29"/>
    <w:rsid w:val="00527AB4"/>
    <w:rsid w:val="00527ADD"/>
    <w:rsid w:val="00527B0F"/>
    <w:rsid w:val="00527B47"/>
    <w:rsid w:val="00527B5B"/>
    <w:rsid w:val="00527BF4"/>
    <w:rsid w:val="00527BFD"/>
    <w:rsid w:val="00527C22"/>
    <w:rsid w:val="00527C70"/>
    <w:rsid w:val="00527C84"/>
    <w:rsid w:val="00527D53"/>
    <w:rsid w:val="00527DA7"/>
    <w:rsid w:val="00527DC3"/>
    <w:rsid w:val="00527E03"/>
    <w:rsid w:val="00527E99"/>
    <w:rsid w:val="00527EAE"/>
    <w:rsid w:val="005300A1"/>
    <w:rsid w:val="005300D0"/>
    <w:rsid w:val="005300D3"/>
    <w:rsid w:val="005300FC"/>
    <w:rsid w:val="0053010C"/>
    <w:rsid w:val="00530159"/>
    <w:rsid w:val="005301CB"/>
    <w:rsid w:val="005301DA"/>
    <w:rsid w:val="00530274"/>
    <w:rsid w:val="0053033C"/>
    <w:rsid w:val="0053036C"/>
    <w:rsid w:val="0053040D"/>
    <w:rsid w:val="00530439"/>
    <w:rsid w:val="0053043E"/>
    <w:rsid w:val="0053046C"/>
    <w:rsid w:val="005304DA"/>
    <w:rsid w:val="00530544"/>
    <w:rsid w:val="0053054C"/>
    <w:rsid w:val="00530594"/>
    <w:rsid w:val="005305AE"/>
    <w:rsid w:val="00530627"/>
    <w:rsid w:val="005306BA"/>
    <w:rsid w:val="005306E0"/>
    <w:rsid w:val="005306E6"/>
    <w:rsid w:val="0053072B"/>
    <w:rsid w:val="0053078C"/>
    <w:rsid w:val="00530880"/>
    <w:rsid w:val="0053089F"/>
    <w:rsid w:val="005308B7"/>
    <w:rsid w:val="00530925"/>
    <w:rsid w:val="00530995"/>
    <w:rsid w:val="0053099D"/>
    <w:rsid w:val="00530A79"/>
    <w:rsid w:val="00530A9D"/>
    <w:rsid w:val="00530AB5"/>
    <w:rsid w:val="00530C65"/>
    <w:rsid w:val="00530CF4"/>
    <w:rsid w:val="00530D33"/>
    <w:rsid w:val="00530D76"/>
    <w:rsid w:val="00530E12"/>
    <w:rsid w:val="00530E91"/>
    <w:rsid w:val="00530F04"/>
    <w:rsid w:val="00530F26"/>
    <w:rsid w:val="00530F98"/>
    <w:rsid w:val="00530FAF"/>
    <w:rsid w:val="00531166"/>
    <w:rsid w:val="005311D8"/>
    <w:rsid w:val="0053127E"/>
    <w:rsid w:val="005312C7"/>
    <w:rsid w:val="00531307"/>
    <w:rsid w:val="00531316"/>
    <w:rsid w:val="005313CD"/>
    <w:rsid w:val="00531445"/>
    <w:rsid w:val="005314F1"/>
    <w:rsid w:val="005314FD"/>
    <w:rsid w:val="0053152C"/>
    <w:rsid w:val="00531531"/>
    <w:rsid w:val="005315C2"/>
    <w:rsid w:val="005315CE"/>
    <w:rsid w:val="005315DA"/>
    <w:rsid w:val="00531721"/>
    <w:rsid w:val="0053174D"/>
    <w:rsid w:val="005317C4"/>
    <w:rsid w:val="005318ED"/>
    <w:rsid w:val="00531959"/>
    <w:rsid w:val="00531A0B"/>
    <w:rsid w:val="00531A0C"/>
    <w:rsid w:val="00531AE4"/>
    <w:rsid w:val="00531B07"/>
    <w:rsid w:val="00531B1E"/>
    <w:rsid w:val="00531BE8"/>
    <w:rsid w:val="00531C78"/>
    <w:rsid w:val="00531C8D"/>
    <w:rsid w:val="00531C96"/>
    <w:rsid w:val="00531CCC"/>
    <w:rsid w:val="00531CE7"/>
    <w:rsid w:val="00531D31"/>
    <w:rsid w:val="00531D9F"/>
    <w:rsid w:val="00531DF9"/>
    <w:rsid w:val="00531E15"/>
    <w:rsid w:val="00531E35"/>
    <w:rsid w:val="00531E52"/>
    <w:rsid w:val="00531EAF"/>
    <w:rsid w:val="00531FC5"/>
    <w:rsid w:val="00531FCE"/>
    <w:rsid w:val="00531FE3"/>
    <w:rsid w:val="0053201C"/>
    <w:rsid w:val="005320DC"/>
    <w:rsid w:val="0053215A"/>
    <w:rsid w:val="00532166"/>
    <w:rsid w:val="005321A1"/>
    <w:rsid w:val="005321A6"/>
    <w:rsid w:val="00532327"/>
    <w:rsid w:val="00532342"/>
    <w:rsid w:val="00532364"/>
    <w:rsid w:val="005323B2"/>
    <w:rsid w:val="005324B1"/>
    <w:rsid w:val="005324BE"/>
    <w:rsid w:val="005324D4"/>
    <w:rsid w:val="005324DB"/>
    <w:rsid w:val="005325F6"/>
    <w:rsid w:val="00532695"/>
    <w:rsid w:val="005326A8"/>
    <w:rsid w:val="005326BD"/>
    <w:rsid w:val="0053274E"/>
    <w:rsid w:val="005327AD"/>
    <w:rsid w:val="005327ED"/>
    <w:rsid w:val="00532817"/>
    <w:rsid w:val="0053281D"/>
    <w:rsid w:val="00532836"/>
    <w:rsid w:val="0053287D"/>
    <w:rsid w:val="00532974"/>
    <w:rsid w:val="00532997"/>
    <w:rsid w:val="005329A2"/>
    <w:rsid w:val="00532A78"/>
    <w:rsid w:val="00532A7C"/>
    <w:rsid w:val="00532A94"/>
    <w:rsid w:val="00532AE0"/>
    <w:rsid w:val="00532B00"/>
    <w:rsid w:val="00532B2F"/>
    <w:rsid w:val="00532C91"/>
    <w:rsid w:val="00532D21"/>
    <w:rsid w:val="00532D85"/>
    <w:rsid w:val="00532DD2"/>
    <w:rsid w:val="00532DF2"/>
    <w:rsid w:val="00532E1F"/>
    <w:rsid w:val="00532E35"/>
    <w:rsid w:val="00532E75"/>
    <w:rsid w:val="00532F48"/>
    <w:rsid w:val="00532F9D"/>
    <w:rsid w:val="005330CC"/>
    <w:rsid w:val="005331F7"/>
    <w:rsid w:val="0053320A"/>
    <w:rsid w:val="00533217"/>
    <w:rsid w:val="0053330A"/>
    <w:rsid w:val="00533324"/>
    <w:rsid w:val="00533388"/>
    <w:rsid w:val="00533391"/>
    <w:rsid w:val="005333A0"/>
    <w:rsid w:val="00533441"/>
    <w:rsid w:val="00533530"/>
    <w:rsid w:val="00533577"/>
    <w:rsid w:val="00533580"/>
    <w:rsid w:val="00533616"/>
    <w:rsid w:val="005336C7"/>
    <w:rsid w:val="00533772"/>
    <w:rsid w:val="005337F9"/>
    <w:rsid w:val="00533801"/>
    <w:rsid w:val="0053385E"/>
    <w:rsid w:val="0053386C"/>
    <w:rsid w:val="00533980"/>
    <w:rsid w:val="00533981"/>
    <w:rsid w:val="005339CB"/>
    <w:rsid w:val="005339CD"/>
    <w:rsid w:val="00533A11"/>
    <w:rsid w:val="00533A45"/>
    <w:rsid w:val="00533A75"/>
    <w:rsid w:val="00533AED"/>
    <w:rsid w:val="00533BB6"/>
    <w:rsid w:val="00533CA3"/>
    <w:rsid w:val="00533CB5"/>
    <w:rsid w:val="00533CEB"/>
    <w:rsid w:val="00533CF8"/>
    <w:rsid w:val="00533D18"/>
    <w:rsid w:val="00533D82"/>
    <w:rsid w:val="00533DF3"/>
    <w:rsid w:val="00533E2A"/>
    <w:rsid w:val="00533E89"/>
    <w:rsid w:val="00533F10"/>
    <w:rsid w:val="00533F3C"/>
    <w:rsid w:val="00533F93"/>
    <w:rsid w:val="00533FFE"/>
    <w:rsid w:val="0053400A"/>
    <w:rsid w:val="0053414D"/>
    <w:rsid w:val="00534192"/>
    <w:rsid w:val="00534268"/>
    <w:rsid w:val="005342CE"/>
    <w:rsid w:val="005342F9"/>
    <w:rsid w:val="0053431C"/>
    <w:rsid w:val="00534330"/>
    <w:rsid w:val="0053450A"/>
    <w:rsid w:val="00534536"/>
    <w:rsid w:val="0053456B"/>
    <w:rsid w:val="00534594"/>
    <w:rsid w:val="00534740"/>
    <w:rsid w:val="00534749"/>
    <w:rsid w:val="0053475D"/>
    <w:rsid w:val="00534799"/>
    <w:rsid w:val="00534800"/>
    <w:rsid w:val="005348A1"/>
    <w:rsid w:val="005348EE"/>
    <w:rsid w:val="005348FA"/>
    <w:rsid w:val="00534913"/>
    <w:rsid w:val="00534A88"/>
    <w:rsid w:val="00534AB9"/>
    <w:rsid w:val="00534AD3"/>
    <w:rsid w:val="00534B43"/>
    <w:rsid w:val="00534B72"/>
    <w:rsid w:val="00534B76"/>
    <w:rsid w:val="00534BC5"/>
    <w:rsid w:val="00534C18"/>
    <w:rsid w:val="00534C3E"/>
    <w:rsid w:val="00534F07"/>
    <w:rsid w:val="00534F5F"/>
    <w:rsid w:val="00534FDB"/>
    <w:rsid w:val="00535018"/>
    <w:rsid w:val="005350CD"/>
    <w:rsid w:val="005350DB"/>
    <w:rsid w:val="0053518A"/>
    <w:rsid w:val="00535258"/>
    <w:rsid w:val="00535269"/>
    <w:rsid w:val="005352A3"/>
    <w:rsid w:val="005352AC"/>
    <w:rsid w:val="005352E6"/>
    <w:rsid w:val="0053531B"/>
    <w:rsid w:val="00535327"/>
    <w:rsid w:val="00535343"/>
    <w:rsid w:val="00535406"/>
    <w:rsid w:val="00535657"/>
    <w:rsid w:val="005356B8"/>
    <w:rsid w:val="005356BB"/>
    <w:rsid w:val="005356DF"/>
    <w:rsid w:val="005356E1"/>
    <w:rsid w:val="005358D2"/>
    <w:rsid w:val="00535909"/>
    <w:rsid w:val="005359A0"/>
    <w:rsid w:val="005359C7"/>
    <w:rsid w:val="00535A3E"/>
    <w:rsid w:val="00535AAE"/>
    <w:rsid w:val="00535AB0"/>
    <w:rsid w:val="00535ADC"/>
    <w:rsid w:val="00535AED"/>
    <w:rsid w:val="00535AF1"/>
    <w:rsid w:val="00535B31"/>
    <w:rsid w:val="00535B3E"/>
    <w:rsid w:val="00535B43"/>
    <w:rsid w:val="00535B47"/>
    <w:rsid w:val="00535B5B"/>
    <w:rsid w:val="00535BF5"/>
    <w:rsid w:val="00535C08"/>
    <w:rsid w:val="00535CD2"/>
    <w:rsid w:val="00535CDB"/>
    <w:rsid w:val="00535CE0"/>
    <w:rsid w:val="00535CE5"/>
    <w:rsid w:val="00535D3E"/>
    <w:rsid w:val="00535E23"/>
    <w:rsid w:val="00535E33"/>
    <w:rsid w:val="00535E3C"/>
    <w:rsid w:val="00535F14"/>
    <w:rsid w:val="00535F3B"/>
    <w:rsid w:val="0053607C"/>
    <w:rsid w:val="0053609A"/>
    <w:rsid w:val="005360A6"/>
    <w:rsid w:val="005360B5"/>
    <w:rsid w:val="005360F0"/>
    <w:rsid w:val="0053617D"/>
    <w:rsid w:val="005361CC"/>
    <w:rsid w:val="00536210"/>
    <w:rsid w:val="00536218"/>
    <w:rsid w:val="0053628E"/>
    <w:rsid w:val="00536291"/>
    <w:rsid w:val="005362B0"/>
    <w:rsid w:val="00536301"/>
    <w:rsid w:val="00536378"/>
    <w:rsid w:val="005363F2"/>
    <w:rsid w:val="00536452"/>
    <w:rsid w:val="005364E3"/>
    <w:rsid w:val="00536519"/>
    <w:rsid w:val="0053662A"/>
    <w:rsid w:val="005366C3"/>
    <w:rsid w:val="00536762"/>
    <w:rsid w:val="0053679E"/>
    <w:rsid w:val="005367A6"/>
    <w:rsid w:val="005368ED"/>
    <w:rsid w:val="00536A4F"/>
    <w:rsid w:val="00536A90"/>
    <w:rsid w:val="00536B22"/>
    <w:rsid w:val="00536C23"/>
    <w:rsid w:val="00536C54"/>
    <w:rsid w:val="00536CF7"/>
    <w:rsid w:val="00536DD4"/>
    <w:rsid w:val="00536E47"/>
    <w:rsid w:val="00536E7C"/>
    <w:rsid w:val="00536EE1"/>
    <w:rsid w:val="00536F4E"/>
    <w:rsid w:val="0053701C"/>
    <w:rsid w:val="005370CB"/>
    <w:rsid w:val="00537212"/>
    <w:rsid w:val="0053721F"/>
    <w:rsid w:val="005372A6"/>
    <w:rsid w:val="005372BE"/>
    <w:rsid w:val="0053747D"/>
    <w:rsid w:val="005374CB"/>
    <w:rsid w:val="00537530"/>
    <w:rsid w:val="00537532"/>
    <w:rsid w:val="005376EE"/>
    <w:rsid w:val="0053773D"/>
    <w:rsid w:val="00537764"/>
    <w:rsid w:val="0053779A"/>
    <w:rsid w:val="005377B6"/>
    <w:rsid w:val="00537891"/>
    <w:rsid w:val="00537938"/>
    <w:rsid w:val="0053794F"/>
    <w:rsid w:val="00537981"/>
    <w:rsid w:val="005379C6"/>
    <w:rsid w:val="00537A19"/>
    <w:rsid w:val="00537A66"/>
    <w:rsid w:val="00537A7E"/>
    <w:rsid w:val="00537BED"/>
    <w:rsid w:val="00537CDD"/>
    <w:rsid w:val="00537D8D"/>
    <w:rsid w:val="00537D90"/>
    <w:rsid w:val="00537DB7"/>
    <w:rsid w:val="00537DB9"/>
    <w:rsid w:val="00537E06"/>
    <w:rsid w:val="00537E32"/>
    <w:rsid w:val="00537E4E"/>
    <w:rsid w:val="00537ECD"/>
    <w:rsid w:val="00537EDB"/>
    <w:rsid w:val="00537FC4"/>
    <w:rsid w:val="00540053"/>
    <w:rsid w:val="0054009B"/>
    <w:rsid w:val="00540116"/>
    <w:rsid w:val="005401D8"/>
    <w:rsid w:val="005401DD"/>
    <w:rsid w:val="00540361"/>
    <w:rsid w:val="00540385"/>
    <w:rsid w:val="00540437"/>
    <w:rsid w:val="0054058B"/>
    <w:rsid w:val="005405B5"/>
    <w:rsid w:val="005405D8"/>
    <w:rsid w:val="005405EA"/>
    <w:rsid w:val="0054061C"/>
    <w:rsid w:val="005406E6"/>
    <w:rsid w:val="00540764"/>
    <w:rsid w:val="0054077B"/>
    <w:rsid w:val="005407E4"/>
    <w:rsid w:val="005407EF"/>
    <w:rsid w:val="0054084E"/>
    <w:rsid w:val="00540850"/>
    <w:rsid w:val="005408C9"/>
    <w:rsid w:val="00540954"/>
    <w:rsid w:val="00540993"/>
    <w:rsid w:val="005409BA"/>
    <w:rsid w:val="005409FD"/>
    <w:rsid w:val="00540C30"/>
    <w:rsid w:val="00540C60"/>
    <w:rsid w:val="00540C78"/>
    <w:rsid w:val="00540C85"/>
    <w:rsid w:val="00540CBF"/>
    <w:rsid w:val="00540CCF"/>
    <w:rsid w:val="00540CE3"/>
    <w:rsid w:val="00540D5B"/>
    <w:rsid w:val="00540D88"/>
    <w:rsid w:val="00540D9A"/>
    <w:rsid w:val="00540DA1"/>
    <w:rsid w:val="00540EBD"/>
    <w:rsid w:val="00540EF6"/>
    <w:rsid w:val="00540F18"/>
    <w:rsid w:val="0054105F"/>
    <w:rsid w:val="005410D7"/>
    <w:rsid w:val="005411DC"/>
    <w:rsid w:val="00541205"/>
    <w:rsid w:val="00541235"/>
    <w:rsid w:val="00541263"/>
    <w:rsid w:val="005412FF"/>
    <w:rsid w:val="005413DC"/>
    <w:rsid w:val="005413F7"/>
    <w:rsid w:val="0054142B"/>
    <w:rsid w:val="00541442"/>
    <w:rsid w:val="0054145D"/>
    <w:rsid w:val="00541467"/>
    <w:rsid w:val="005414B2"/>
    <w:rsid w:val="00541500"/>
    <w:rsid w:val="00541586"/>
    <w:rsid w:val="00541587"/>
    <w:rsid w:val="005415DE"/>
    <w:rsid w:val="005415E9"/>
    <w:rsid w:val="00541671"/>
    <w:rsid w:val="00541686"/>
    <w:rsid w:val="00541699"/>
    <w:rsid w:val="005416EF"/>
    <w:rsid w:val="005416FC"/>
    <w:rsid w:val="00541772"/>
    <w:rsid w:val="0054178D"/>
    <w:rsid w:val="00541810"/>
    <w:rsid w:val="00541867"/>
    <w:rsid w:val="005418B8"/>
    <w:rsid w:val="005418D0"/>
    <w:rsid w:val="00541A08"/>
    <w:rsid w:val="00541A15"/>
    <w:rsid w:val="00541A1E"/>
    <w:rsid w:val="00541C04"/>
    <w:rsid w:val="00541C46"/>
    <w:rsid w:val="00541C9E"/>
    <w:rsid w:val="00541D48"/>
    <w:rsid w:val="00541DA7"/>
    <w:rsid w:val="00541DBB"/>
    <w:rsid w:val="00541E3B"/>
    <w:rsid w:val="00541EA1"/>
    <w:rsid w:val="00541FF0"/>
    <w:rsid w:val="00542071"/>
    <w:rsid w:val="005420E2"/>
    <w:rsid w:val="0054211A"/>
    <w:rsid w:val="00542177"/>
    <w:rsid w:val="00542185"/>
    <w:rsid w:val="00542195"/>
    <w:rsid w:val="005421F7"/>
    <w:rsid w:val="005422A0"/>
    <w:rsid w:val="005422BE"/>
    <w:rsid w:val="00542309"/>
    <w:rsid w:val="00542376"/>
    <w:rsid w:val="00542478"/>
    <w:rsid w:val="005424EB"/>
    <w:rsid w:val="005424F8"/>
    <w:rsid w:val="0054252F"/>
    <w:rsid w:val="005425C0"/>
    <w:rsid w:val="005425D8"/>
    <w:rsid w:val="00542614"/>
    <w:rsid w:val="00542615"/>
    <w:rsid w:val="00542633"/>
    <w:rsid w:val="0054265D"/>
    <w:rsid w:val="00542662"/>
    <w:rsid w:val="005426FC"/>
    <w:rsid w:val="00542713"/>
    <w:rsid w:val="00542725"/>
    <w:rsid w:val="0054272E"/>
    <w:rsid w:val="00542792"/>
    <w:rsid w:val="005428AD"/>
    <w:rsid w:val="005428CF"/>
    <w:rsid w:val="00542A14"/>
    <w:rsid w:val="00542A1E"/>
    <w:rsid w:val="00542AA5"/>
    <w:rsid w:val="00542AB5"/>
    <w:rsid w:val="00542BF9"/>
    <w:rsid w:val="00542CA8"/>
    <w:rsid w:val="00542CCC"/>
    <w:rsid w:val="00542CFC"/>
    <w:rsid w:val="00542D32"/>
    <w:rsid w:val="00542D76"/>
    <w:rsid w:val="00542D8F"/>
    <w:rsid w:val="00542DA2"/>
    <w:rsid w:val="00542EC0"/>
    <w:rsid w:val="00542F01"/>
    <w:rsid w:val="00542F2A"/>
    <w:rsid w:val="00542F83"/>
    <w:rsid w:val="00542F84"/>
    <w:rsid w:val="00542FC8"/>
    <w:rsid w:val="0054315E"/>
    <w:rsid w:val="00543236"/>
    <w:rsid w:val="00543259"/>
    <w:rsid w:val="00543288"/>
    <w:rsid w:val="005432D9"/>
    <w:rsid w:val="005432EC"/>
    <w:rsid w:val="00543357"/>
    <w:rsid w:val="0054335F"/>
    <w:rsid w:val="00543395"/>
    <w:rsid w:val="0054339B"/>
    <w:rsid w:val="005434A5"/>
    <w:rsid w:val="005434D1"/>
    <w:rsid w:val="00543606"/>
    <w:rsid w:val="00543623"/>
    <w:rsid w:val="005436BF"/>
    <w:rsid w:val="0054374C"/>
    <w:rsid w:val="005437FE"/>
    <w:rsid w:val="00543845"/>
    <w:rsid w:val="00543876"/>
    <w:rsid w:val="0054389A"/>
    <w:rsid w:val="005439F0"/>
    <w:rsid w:val="00543A6B"/>
    <w:rsid w:val="00543A6D"/>
    <w:rsid w:val="00543AA7"/>
    <w:rsid w:val="00543B42"/>
    <w:rsid w:val="00543B43"/>
    <w:rsid w:val="00543B5C"/>
    <w:rsid w:val="00543CD9"/>
    <w:rsid w:val="00543CE6"/>
    <w:rsid w:val="00543D45"/>
    <w:rsid w:val="00543D97"/>
    <w:rsid w:val="00543E3C"/>
    <w:rsid w:val="00543E58"/>
    <w:rsid w:val="00543E60"/>
    <w:rsid w:val="00543EA7"/>
    <w:rsid w:val="00543FA0"/>
    <w:rsid w:val="0054403F"/>
    <w:rsid w:val="005440A7"/>
    <w:rsid w:val="00544123"/>
    <w:rsid w:val="00544127"/>
    <w:rsid w:val="00544172"/>
    <w:rsid w:val="005441E0"/>
    <w:rsid w:val="00544201"/>
    <w:rsid w:val="00544248"/>
    <w:rsid w:val="00544310"/>
    <w:rsid w:val="00544380"/>
    <w:rsid w:val="005443BE"/>
    <w:rsid w:val="00544405"/>
    <w:rsid w:val="00544419"/>
    <w:rsid w:val="00544451"/>
    <w:rsid w:val="00544460"/>
    <w:rsid w:val="0054450E"/>
    <w:rsid w:val="00544556"/>
    <w:rsid w:val="0054459A"/>
    <w:rsid w:val="00544661"/>
    <w:rsid w:val="00544697"/>
    <w:rsid w:val="005447D0"/>
    <w:rsid w:val="00544897"/>
    <w:rsid w:val="0054489E"/>
    <w:rsid w:val="00544967"/>
    <w:rsid w:val="00544A0B"/>
    <w:rsid w:val="00544A0D"/>
    <w:rsid w:val="00544A11"/>
    <w:rsid w:val="00544A62"/>
    <w:rsid w:val="00544A6B"/>
    <w:rsid w:val="00544A99"/>
    <w:rsid w:val="00544AB7"/>
    <w:rsid w:val="00544BF2"/>
    <w:rsid w:val="00544BF7"/>
    <w:rsid w:val="00544C5D"/>
    <w:rsid w:val="00544C6E"/>
    <w:rsid w:val="00544CCC"/>
    <w:rsid w:val="00544CEF"/>
    <w:rsid w:val="00544D4A"/>
    <w:rsid w:val="00544D57"/>
    <w:rsid w:val="00544D89"/>
    <w:rsid w:val="00544DB4"/>
    <w:rsid w:val="00544DBF"/>
    <w:rsid w:val="00544DC6"/>
    <w:rsid w:val="00544DEF"/>
    <w:rsid w:val="00544E8A"/>
    <w:rsid w:val="00544E8D"/>
    <w:rsid w:val="00544EAE"/>
    <w:rsid w:val="00544F58"/>
    <w:rsid w:val="00544FD5"/>
    <w:rsid w:val="00545032"/>
    <w:rsid w:val="0054503A"/>
    <w:rsid w:val="0054507B"/>
    <w:rsid w:val="005450CB"/>
    <w:rsid w:val="0054513F"/>
    <w:rsid w:val="0054515E"/>
    <w:rsid w:val="005451F7"/>
    <w:rsid w:val="005452A9"/>
    <w:rsid w:val="005452C7"/>
    <w:rsid w:val="005452FC"/>
    <w:rsid w:val="0054538B"/>
    <w:rsid w:val="005453B0"/>
    <w:rsid w:val="0054543E"/>
    <w:rsid w:val="005454DB"/>
    <w:rsid w:val="00545598"/>
    <w:rsid w:val="005455FA"/>
    <w:rsid w:val="00545622"/>
    <w:rsid w:val="00545625"/>
    <w:rsid w:val="00545731"/>
    <w:rsid w:val="0054576C"/>
    <w:rsid w:val="0054580E"/>
    <w:rsid w:val="00545872"/>
    <w:rsid w:val="0054587B"/>
    <w:rsid w:val="00545A5A"/>
    <w:rsid w:val="00545A86"/>
    <w:rsid w:val="00545AB0"/>
    <w:rsid w:val="00545B17"/>
    <w:rsid w:val="00545B9D"/>
    <w:rsid w:val="00545C18"/>
    <w:rsid w:val="00545CB3"/>
    <w:rsid w:val="00545CCD"/>
    <w:rsid w:val="00545CDD"/>
    <w:rsid w:val="00545CE4"/>
    <w:rsid w:val="00545D08"/>
    <w:rsid w:val="00545D39"/>
    <w:rsid w:val="00545D87"/>
    <w:rsid w:val="00545EAE"/>
    <w:rsid w:val="00545EC2"/>
    <w:rsid w:val="00545F72"/>
    <w:rsid w:val="00546071"/>
    <w:rsid w:val="005460BD"/>
    <w:rsid w:val="005461A7"/>
    <w:rsid w:val="00546271"/>
    <w:rsid w:val="0054634E"/>
    <w:rsid w:val="00546371"/>
    <w:rsid w:val="00546447"/>
    <w:rsid w:val="00546455"/>
    <w:rsid w:val="00546490"/>
    <w:rsid w:val="00546493"/>
    <w:rsid w:val="005464B3"/>
    <w:rsid w:val="005464CC"/>
    <w:rsid w:val="005464D5"/>
    <w:rsid w:val="005464DE"/>
    <w:rsid w:val="00546556"/>
    <w:rsid w:val="005465A9"/>
    <w:rsid w:val="00546640"/>
    <w:rsid w:val="00546658"/>
    <w:rsid w:val="005466D9"/>
    <w:rsid w:val="005466E4"/>
    <w:rsid w:val="005466E7"/>
    <w:rsid w:val="0054677C"/>
    <w:rsid w:val="00546806"/>
    <w:rsid w:val="0054688C"/>
    <w:rsid w:val="005468DF"/>
    <w:rsid w:val="0054693D"/>
    <w:rsid w:val="0054694E"/>
    <w:rsid w:val="0054697B"/>
    <w:rsid w:val="00546A34"/>
    <w:rsid w:val="00546B66"/>
    <w:rsid w:val="00546BAB"/>
    <w:rsid w:val="00546BCF"/>
    <w:rsid w:val="00546C54"/>
    <w:rsid w:val="00546C58"/>
    <w:rsid w:val="00546CAB"/>
    <w:rsid w:val="00546CC8"/>
    <w:rsid w:val="00546DD2"/>
    <w:rsid w:val="00546DE3"/>
    <w:rsid w:val="00546E7C"/>
    <w:rsid w:val="00546F24"/>
    <w:rsid w:val="00546F82"/>
    <w:rsid w:val="00546FBC"/>
    <w:rsid w:val="005470A7"/>
    <w:rsid w:val="00547296"/>
    <w:rsid w:val="005472DA"/>
    <w:rsid w:val="005472F2"/>
    <w:rsid w:val="0054740E"/>
    <w:rsid w:val="00547461"/>
    <w:rsid w:val="00547489"/>
    <w:rsid w:val="00547495"/>
    <w:rsid w:val="0054749E"/>
    <w:rsid w:val="00547521"/>
    <w:rsid w:val="0054752B"/>
    <w:rsid w:val="0054760F"/>
    <w:rsid w:val="0054765F"/>
    <w:rsid w:val="0054766E"/>
    <w:rsid w:val="005476B9"/>
    <w:rsid w:val="00547701"/>
    <w:rsid w:val="0054774A"/>
    <w:rsid w:val="0054779C"/>
    <w:rsid w:val="005477A5"/>
    <w:rsid w:val="00547886"/>
    <w:rsid w:val="005478A7"/>
    <w:rsid w:val="005478B8"/>
    <w:rsid w:val="005478EE"/>
    <w:rsid w:val="00547A46"/>
    <w:rsid w:val="00547A58"/>
    <w:rsid w:val="00547AA0"/>
    <w:rsid w:val="00547B0E"/>
    <w:rsid w:val="00547D32"/>
    <w:rsid w:val="00547D48"/>
    <w:rsid w:val="00547D7C"/>
    <w:rsid w:val="00547D7E"/>
    <w:rsid w:val="00547D93"/>
    <w:rsid w:val="00547DAE"/>
    <w:rsid w:val="00547DEF"/>
    <w:rsid w:val="00547E2E"/>
    <w:rsid w:val="00547E37"/>
    <w:rsid w:val="00547F32"/>
    <w:rsid w:val="00547F48"/>
    <w:rsid w:val="00550002"/>
    <w:rsid w:val="005500B8"/>
    <w:rsid w:val="00550142"/>
    <w:rsid w:val="0055014E"/>
    <w:rsid w:val="0055018E"/>
    <w:rsid w:val="005501C1"/>
    <w:rsid w:val="005501CE"/>
    <w:rsid w:val="005501D9"/>
    <w:rsid w:val="005501F6"/>
    <w:rsid w:val="00550277"/>
    <w:rsid w:val="0055028E"/>
    <w:rsid w:val="005502AB"/>
    <w:rsid w:val="0055036D"/>
    <w:rsid w:val="00550390"/>
    <w:rsid w:val="00550398"/>
    <w:rsid w:val="005503F0"/>
    <w:rsid w:val="00550405"/>
    <w:rsid w:val="005504BD"/>
    <w:rsid w:val="005505AB"/>
    <w:rsid w:val="005505F0"/>
    <w:rsid w:val="00550626"/>
    <w:rsid w:val="005507D7"/>
    <w:rsid w:val="005507DC"/>
    <w:rsid w:val="00550806"/>
    <w:rsid w:val="00550813"/>
    <w:rsid w:val="00550849"/>
    <w:rsid w:val="00550876"/>
    <w:rsid w:val="00550899"/>
    <w:rsid w:val="005508A9"/>
    <w:rsid w:val="005508C6"/>
    <w:rsid w:val="00550939"/>
    <w:rsid w:val="0055096B"/>
    <w:rsid w:val="00550A07"/>
    <w:rsid w:val="00550A12"/>
    <w:rsid w:val="00550A70"/>
    <w:rsid w:val="00550B4B"/>
    <w:rsid w:val="00550B73"/>
    <w:rsid w:val="00550BB2"/>
    <w:rsid w:val="00550BE3"/>
    <w:rsid w:val="00550C7F"/>
    <w:rsid w:val="00550C82"/>
    <w:rsid w:val="00550CE1"/>
    <w:rsid w:val="00550D45"/>
    <w:rsid w:val="00550DD9"/>
    <w:rsid w:val="00550DEF"/>
    <w:rsid w:val="00550E79"/>
    <w:rsid w:val="00550E92"/>
    <w:rsid w:val="00550EA8"/>
    <w:rsid w:val="00550EB0"/>
    <w:rsid w:val="00550EBE"/>
    <w:rsid w:val="00550F1B"/>
    <w:rsid w:val="00551039"/>
    <w:rsid w:val="0055115F"/>
    <w:rsid w:val="00551174"/>
    <w:rsid w:val="005511D8"/>
    <w:rsid w:val="005511D9"/>
    <w:rsid w:val="005511FB"/>
    <w:rsid w:val="00551249"/>
    <w:rsid w:val="0055126B"/>
    <w:rsid w:val="005512B6"/>
    <w:rsid w:val="005512C5"/>
    <w:rsid w:val="005512F5"/>
    <w:rsid w:val="00551301"/>
    <w:rsid w:val="00551305"/>
    <w:rsid w:val="00551355"/>
    <w:rsid w:val="00551418"/>
    <w:rsid w:val="005514D3"/>
    <w:rsid w:val="00551536"/>
    <w:rsid w:val="00551540"/>
    <w:rsid w:val="0055155A"/>
    <w:rsid w:val="005515BD"/>
    <w:rsid w:val="00551633"/>
    <w:rsid w:val="00551760"/>
    <w:rsid w:val="005517F4"/>
    <w:rsid w:val="00551857"/>
    <w:rsid w:val="0055188F"/>
    <w:rsid w:val="005518C7"/>
    <w:rsid w:val="005519AC"/>
    <w:rsid w:val="005519C2"/>
    <w:rsid w:val="005519C6"/>
    <w:rsid w:val="00551A86"/>
    <w:rsid w:val="00551A95"/>
    <w:rsid w:val="00551AC0"/>
    <w:rsid w:val="00551AF8"/>
    <w:rsid w:val="00551B3E"/>
    <w:rsid w:val="00551B8B"/>
    <w:rsid w:val="00551BDB"/>
    <w:rsid w:val="00551C42"/>
    <w:rsid w:val="00551C6A"/>
    <w:rsid w:val="00551CAE"/>
    <w:rsid w:val="00551CDB"/>
    <w:rsid w:val="00551D30"/>
    <w:rsid w:val="00551DC5"/>
    <w:rsid w:val="00551E2D"/>
    <w:rsid w:val="00551F16"/>
    <w:rsid w:val="00551F5A"/>
    <w:rsid w:val="00551F5D"/>
    <w:rsid w:val="00551F77"/>
    <w:rsid w:val="00551FE4"/>
    <w:rsid w:val="00551FED"/>
    <w:rsid w:val="00552049"/>
    <w:rsid w:val="00552056"/>
    <w:rsid w:val="0055205D"/>
    <w:rsid w:val="00552085"/>
    <w:rsid w:val="0055209B"/>
    <w:rsid w:val="00552100"/>
    <w:rsid w:val="00552135"/>
    <w:rsid w:val="00552175"/>
    <w:rsid w:val="0055223D"/>
    <w:rsid w:val="00552296"/>
    <w:rsid w:val="005522C3"/>
    <w:rsid w:val="0055238C"/>
    <w:rsid w:val="005524C9"/>
    <w:rsid w:val="00552503"/>
    <w:rsid w:val="005525A2"/>
    <w:rsid w:val="00552607"/>
    <w:rsid w:val="0055261C"/>
    <w:rsid w:val="00552657"/>
    <w:rsid w:val="00552670"/>
    <w:rsid w:val="005526ED"/>
    <w:rsid w:val="00552766"/>
    <w:rsid w:val="005527FC"/>
    <w:rsid w:val="00552837"/>
    <w:rsid w:val="00552864"/>
    <w:rsid w:val="0055286C"/>
    <w:rsid w:val="005528A5"/>
    <w:rsid w:val="0055294C"/>
    <w:rsid w:val="00552964"/>
    <w:rsid w:val="00552A60"/>
    <w:rsid w:val="00552A63"/>
    <w:rsid w:val="00552A8C"/>
    <w:rsid w:val="00552B0A"/>
    <w:rsid w:val="00552B1F"/>
    <w:rsid w:val="00552B25"/>
    <w:rsid w:val="00552C2C"/>
    <w:rsid w:val="00552C4D"/>
    <w:rsid w:val="00552CA7"/>
    <w:rsid w:val="00552D66"/>
    <w:rsid w:val="00552D95"/>
    <w:rsid w:val="00552DC6"/>
    <w:rsid w:val="00552DED"/>
    <w:rsid w:val="00552EAB"/>
    <w:rsid w:val="00552ED0"/>
    <w:rsid w:val="00552FCE"/>
    <w:rsid w:val="00552FE7"/>
    <w:rsid w:val="005530AD"/>
    <w:rsid w:val="00553173"/>
    <w:rsid w:val="00553298"/>
    <w:rsid w:val="005533A2"/>
    <w:rsid w:val="005534B0"/>
    <w:rsid w:val="005534CC"/>
    <w:rsid w:val="005535A5"/>
    <w:rsid w:val="005535D9"/>
    <w:rsid w:val="00553641"/>
    <w:rsid w:val="00553685"/>
    <w:rsid w:val="005536CA"/>
    <w:rsid w:val="005536DB"/>
    <w:rsid w:val="0055375F"/>
    <w:rsid w:val="005537D5"/>
    <w:rsid w:val="00553938"/>
    <w:rsid w:val="00553960"/>
    <w:rsid w:val="005539EB"/>
    <w:rsid w:val="00553A28"/>
    <w:rsid w:val="00553A99"/>
    <w:rsid w:val="00553AFF"/>
    <w:rsid w:val="00553B6D"/>
    <w:rsid w:val="00553C55"/>
    <w:rsid w:val="00553D6B"/>
    <w:rsid w:val="00553DF7"/>
    <w:rsid w:val="00553E08"/>
    <w:rsid w:val="00553F58"/>
    <w:rsid w:val="00553F69"/>
    <w:rsid w:val="0055407A"/>
    <w:rsid w:val="005540A8"/>
    <w:rsid w:val="005540EB"/>
    <w:rsid w:val="005540F7"/>
    <w:rsid w:val="00554104"/>
    <w:rsid w:val="00554182"/>
    <w:rsid w:val="005541F7"/>
    <w:rsid w:val="005542C2"/>
    <w:rsid w:val="005542E4"/>
    <w:rsid w:val="005542FF"/>
    <w:rsid w:val="00554359"/>
    <w:rsid w:val="005543C8"/>
    <w:rsid w:val="00554552"/>
    <w:rsid w:val="0055455D"/>
    <w:rsid w:val="0055460D"/>
    <w:rsid w:val="00554650"/>
    <w:rsid w:val="005546A5"/>
    <w:rsid w:val="0055477A"/>
    <w:rsid w:val="005547B1"/>
    <w:rsid w:val="005548A0"/>
    <w:rsid w:val="005548FC"/>
    <w:rsid w:val="0055494D"/>
    <w:rsid w:val="00554971"/>
    <w:rsid w:val="0055497E"/>
    <w:rsid w:val="0055499A"/>
    <w:rsid w:val="005549DE"/>
    <w:rsid w:val="00554AC7"/>
    <w:rsid w:val="00554ADD"/>
    <w:rsid w:val="00554B2F"/>
    <w:rsid w:val="00554BD1"/>
    <w:rsid w:val="00554BDD"/>
    <w:rsid w:val="00554BE9"/>
    <w:rsid w:val="00554C2D"/>
    <w:rsid w:val="00554CDA"/>
    <w:rsid w:val="00554CE8"/>
    <w:rsid w:val="00554D3F"/>
    <w:rsid w:val="00554EAF"/>
    <w:rsid w:val="00554EBE"/>
    <w:rsid w:val="00554F3A"/>
    <w:rsid w:val="00554F60"/>
    <w:rsid w:val="00554F80"/>
    <w:rsid w:val="00554FCA"/>
    <w:rsid w:val="00554FE5"/>
    <w:rsid w:val="00554FE8"/>
    <w:rsid w:val="00555079"/>
    <w:rsid w:val="0055515C"/>
    <w:rsid w:val="00555177"/>
    <w:rsid w:val="005551DF"/>
    <w:rsid w:val="00555226"/>
    <w:rsid w:val="0055522D"/>
    <w:rsid w:val="00555241"/>
    <w:rsid w:val="005552B8"/>
    <w:rsid w:val="00555386"/>
    <w:rsid w:val="005555D8"/>
    <w:rsid w:val="0055563D"/>
    <w:rsid w:val="0055564B"/>
    <w:rsid w:val="00555653"/>
    <w:rsid w:val="0055565A"/>
    <w:rsid w:val="005556A0"/>
    <w:rsid w:val="00555712"/>
    <w:rsid w:val="00555766"/>
    <w:rsid w:val="005557A3"/>
    <w:rsid w:val="0055585F"/>
    <w:rsid w:val="0055586B"/>
    <w:rsid w:val="005558B6"/>
    <w:rsid w:val="005559E7"/>
    <w:rsid w:val="00555A2D"/>
    <w:rsid w:val="00555B73"/>
    <w:rsid w:val="00555CC6"/>
    <w:rsid w:val="00555CCE"/>
    <w:rsid w:val="00555CD7"/>
    <w:rsid w:val="00555CFB"/>
    <w:rsid w:val="00555D1B"/>
    <w:rsid w:val="00555DC8"/>
    <w:rsid w:val="00555DCA"/>
    <w:rsid w:val="00555DCB"/>
    <w:rsid w:val="00555EBD"/>
    <w:rsid w:val="00555ED1"/>
    <w:rsid w:val="00555EF2"/>
    <w:rsid w:val="00555F5A"/>
    <w:rsid w:val="00555FF3"/>
    <w:rsid w:val="0055618C"/>
    <w:rsid w:val="00556273"/>
    <w:rsid w:val="00556297"/>
    <w:rsid w:val="005563BA"/>
    <w:rsid w:val="005564A0"/>
    <w:rsid w:val="005565C6"/>
    <w:rsid w:val="00556707"/>
    <w:rsid w:val="0055671C"/>
    <w:rsid w:val="0055672B"/>
    <w:rsid w:val="00556804"/>
    <w:rsid w:val="0055683D"/>
    <w:rsid w:val="005568B2"/>
    <w:rsid w:val="00556902"/>
    <w:rsid w:val="0055694C"/>
    <w:rsid w:val="00556950"/>
    <w:rsid w:val="00556958"/>
    <w:rsid w:val="005569F6"/>
    <w:rsid w:val="00556A1D"/>
    <w:rsid w:val="00556AD3"/>
    <w:rsid w:val="00556AF2"/>
    <w:rsid w:val="00556B6F"/>
    <w:rsid w:val="00556C25"/>
    <w:rsid w:val="00556C48"/>
    <w:rsid w:val="00556C72"/>
    <w:rsid w:val="00556CC3"/>
    <w:rsid w:val="00556D77"/>
    <w:rsid w:val="00556DA9"/>
    <w:rsid w:val="00556DD5"/>
    <w:rsid w:val="00556EF8"/>
    <w:rsid w:val="00556F1A"/>
    <w:rsid w:val="00556F49"/>
    <w:rsid w:val="00556F58"/>
    <w:rsid w:val="00556F7C"/>
    <w:rsid w:val="0055700B"/>
    <w:rsid w:val="00557053"/>
    <w:rsid w:val="005571B1"/>
    <w:rsid w:val="005571F2"/>
    <w:rsid w:val="00557230"/>
    <w:rsid w:val="00557266"/>
    <w:rsid w:val="0055726F"/>
    <w:rsid w:val="00557366"/>
    <w:rsid w:val="005574EE"/>
    <w:rsid w:val="005575C5"/>
    <w:rsid w:val="00557656"/>
    <w:rsid w:val="0055768E"/>
    <w:rsid w:val="005576F4"/>
    <w:rsid w:val="0055775D"/>
    <w:rsid w:val="0055779E"/>
    <w:rsid w:val="00557819"/>
    <w:rsid w:val="00557840"/>
    <w:rsid w:val="0055791F"/>
    <w:rsid w:val="00557966"/>
    <w:rsid w:val="00557AEA"/>
    <w:rsid w:val="00557B13"/>
    <w:rsid w:val="00557B52"/>
    <w:rsid w:val="00557BE8"/>
    <w:rsid w:val="00557C38"/>
    <w:rsid w:val="00557D5A"/>
    <w:rsid w:val="00557D78"/>
    <w:rsid w:val="00557D83"/>
    <w:rsid w:val="00557DC6"/>
    <w:rsid w:val="00557E08"/>
    <w:rsid w:val="00557EC2"/>
    <w:rsid w:val="00557F2B"/>
    <w:rsid w:val="00557F81"/>
    <w:rsid w:val="00557FB5"/>
    <w:rsid w:val="00557FE8"/>
    <w:rsid w:val="00560048"/>
    <w:rsid w:val="00560084"/>
    <w:rsid w:val="00560151"/>
    <w:rsid w:val="00560160"/>
    <w:rsid w:val="0056021C"/>
    <w:rsid w:val="00560225"/>
    <w:rsid w:val="0056026D"/>
    <w:rsid w:val="0056033F"/>
    <w:rsid w:val="00560356"/>
    <w:rsid w:val="00560365"/>
    <w:rsid w:val="0056038F"/>
    <w:rsid w:val="00560410"/>
    <w:rsid w:val="00560461"/>
    <w:rsid w:val="005604C5"/>
    <w:rsid w:val="00560670"/>
    <w:rsid w:val="00560679"/>
    <w:rsid w:val="005606EC"/>
    <w:rsid w:val="0056074C"/>
    <w:rsid w:val="0056076E"/>
    <w:rsid w:val="0056077E"/>
    <w:rsid w:val="005607C5"/>
    <w:rsid w:val="00560832"/>
    <w:rsid w:val="005608A7"/>
    <w:rsid w:val="005608CA"/>
    <w:rsid w:val="00560A06"/>
    <w:rsid w:val="00560A3F"/>
    <w:rsid w:val="00560BFD"/>
    <w:rsid w:val="00560C32"/>
    <w:rsid w:val="00560CBB"/>
    <w:rsid w:val="00560CC6"/>
    <w:rsid w:val="00560DAD"/>
    <w:rsid w:val="00560DF4"/>
    <w:rsid w:val="00560EAC"/>
    <w:rsid w:val="00560EFA"/>
    <w:rsid w:val="00560F2D"/>
    <w:rsid w:val="00560F4C"/>
    <w:rsid w:val="00560FBC"/>
    <w:rsid w:val="00560FD9"/>
    <w:rsid w:val="005610B4"/>
    <w:rsid w:val="005610EB"/>
    <w:rsid w:val="0056112F"/>
    <w:rsid w:val="005611CA"/>
    <w:rsid w:val="00561296"/>
    <w:rsid w:val="00561337"/>
    <w:rsid w:val="005613FD"/>
    <w:rsid w:val="0056142D"/>
    <w:rsid w:val="0056151A"/>
    <w:rsid w:val="00561607"/>
    <w:rsid w:val="00561837"/>
    <w:rsid w:val="00561907"/>
    <w:rsid w:val="00561964"/>
    <w:rsid w:val="0056196E"/>
    <w:rsid w:val="00561980"/>
    <w:rsid w:val="00561A3A"/>
    <w:rsid w:val="00561A4F"/>
    <w:rsid w:val="00561A86"/>
    <w:rsid w:val="00561AD0"/>
    <w:rsid w:val="00561B1B"/>
    <w:rsid w:val="00561C23"/>
    <w:rsid w:val="00561DCA"/>
    <w:rsid w:val="00561DCC"/>
    <w:rsid w:val="00561E0E"/>
    <w:rsid w:val="00561E1E"/>
    <w:rsid w:val="00561E8E"/>
    <w:rsid w:val="00561EAE"/>
    <w:rsid w:val="00561EB3"/>
    <w:rsid w:val="00561EB6"/>
    <w:rsid w:val="00561EC1"/>
    <w:rsid w:val="00561F87"/>
    <w:rsid w:val="00561F93"/>
    <w:rsid w:val="00561FBF"/>
    <w:rsid w:val="00561FEA"/>
    <w:rsid w:val="00561FFC"/>
    <w:rsid w:val="0056213C"/>
    <w:rsid w:val="00562174"/>
    <w:rsid w:val="0056218C"/>
    <w:rsid w:val="005621DB"/>
    <w:rsid w:val="0056220A"/>
    <w:rsid w:val="0056224A"/>
    <w:rsid w:val="005622EC"/>
    <w:rsid w:val="00562350"/>
    <w:rsid w:val="0056235B"/>
    <w:rsid w:val="00562361"/>
    <w:rsid w:val="005623BE"/>
    <w:rsid w:val="005623FE"/>
    <w:rsid w:val="00562411"/>
    <w:rsid w:val="00562458"/>
    <w:rsid w:val="005624D6"/>
    <w:rsid w:val="005624F1"/>
    <w:rsid w:val="00562570"/>
    <w:rsid w:val="00562750"/>
    <w:rsid w:val="005627B2"/>
    <w:rsid w:val="005627C3"/>
    <w:rsid w:val="00562808"/>
    <w:rsid w:val="00562882"/>
    <w:rsid w:val="005628E7"/>
    <w:rsid w:val="00562970"/>
    <w:rsid w:val="005629EE"/>
    <w:rsid w:val="00562A60"/>
    <w:rsid w:val="00562C2B"/>
    <w:rsid w:val="00562C99"/>
    <w:rsid w:val="00562CB6"/>
    <w:rsid w:val="00562CF4"/>
    <w:rsid w:val="00562DAE"/>
    <w:rsid w:val="00562DC7"/>
    <w:rsid w:val="00562DDC"/>
    <w:rsid w:val="00562DED"/>
    <w:rsid w:val="00562F08"/>
    <w:rsid w:val="00562F39"/>
    <w:rsid w:val="00562F44"/>
    <w:rsid w:val="00562F47"/>
    <w:rsid w:val="005630A0"/>
    <w:rsid w:val="005630B6"/>
    <w:rsid w:val="005630BE"/>
    <w:rsid w:val="0056316D"/>
    <w:rsid w:val="00563183"/>
    <w:rsid w:val="005631B8"/>
    <w:rsid w:val="005631DD"/>
    <w:rsid w:val="00563213"/>
    <w:rsid w:val="0056345A"/>
    <w:rsid w:val="005634A7"/>
    <w:rsid w:val="005634D7"/>
    <w:rsid w:val="005636E1"/>
    <w:rsid w:val="00563777"/>
    <w:rsid w:val="005637BA"/>
    <w:rsid w:val="005638E6"/>
    <w:rsid w:val="00563938"/>
    <w:rsid w:val="00563948"/>
    <w:rsid w:val="00563980"/>
    <w:rsid w:val="00563A18"/>
    <w:rsid w:val="00563A62"/>
    <w:rsid w:val="00563A99"/>
    <w:rsid w:val="00563AC6"/>
    <w:rsid w:val="00563AFA"/>
    <w:rsid w:val="00563B09"/>
    <w:rsid w:val="00563B63"/>
    <w:rsid w:val="00563BAD"/>
    <w:rsid w:val="00563C69"/>
    <w:rsid w:val="00563CD5"/>
    <w:rsid w:val="00563CE1"/>
    <w:rsid w:val="00563CE2"/>
    <w:rsid w:val="00563D2B"/>
    <w:rsid w:val="00563DBB"/>
    <w:rsid w:val="00563EAE"/>
    <w:rsid w:val="00563EDF"/>
    <w:rsid w:val="00563EFA"/>
    <w:rsid w:val="00563F36"/>
    <w:rsid w:val="00564013"/>
    <w:rsid w:val="0056402E"/>
    <w:rsid w:val="00564042"/>
    <w:rsid w:val="0056405A"/>
    <w:rsid w:val="00564077"/>
    <w:rsid w:val="005640AD"/>
    <w:rsid w:val="005640C9"/>
    <w:rsid w:val="00564174"/>
    <w:rsid w:val="00564242"/>
    <w:rsid w:val="0056429B"/>
    <w:rsid w:val="005642E2"/>
    <w:rsid w:val="0056439C"/>
    <w:rsid w:val="005643B5"/>
    <w:rsid w:val="005643F8"/>
    <w:rsid w:val="0056452B"/>
    <w:rsid w:val="00564540"/>
    <w:rsid w:val="005645B0"/>
    <w:rsid w:val="0056461D"/>
    <w:rsid w:val="0056462D"/>
    <w:rsid w:val="00564639"/>
    <w:rsid w:val="00564640"/>
    <w:rsid w:val="005646B6"/>
    <w:rsid w:val="005646CD"/>
    <w:rsid w:val="005646FF"/>
    <w:rsid w:val="005647B4"/>
    <w:rsid w:val="00564871"/>
    <w:rsid w:val="00564874"/>
    <w:rsid w:val="00564893"/>
    <w:rsid w:val="00564896"/>
    <w:rsid w:val="0056491F"/>
    <w:rsid w:val="005649AF"/>
    <w:rsid w:val="005649FC"/>
    <w:rsid w:val="00564A2A"/>
    <w:rsid w:val="00564A66"/>
    <w:rsid w:val="00564BA8"/>
    <w:rsid w:val="00564BB8"/>
    <w:rsid w:val="00564BDA"/>
    <w:rsid w:val="00564C07"/>
    <w:rsid w:val="00564D64"/>
    <w:rsid w:val="00564E35"/>
    <w:rsid w:val="00564E87"/>
    <w:rsid w:val="00564E91"/>
    <w:rsid w:val="00564EF8"/>
    <w:rsid w:val="00564EFC"/>
    <w:rsid w:val="00564F01"/>
    <w:rsid w:val="00564F68"/>
    <w:rsid w:val="00564F90"/>
    <w:rsid w:val="00564FB5"/>
    <w:rsid w:val="00565061"/>
    <w:rsid w:val="005650AE"/>
    <w:rsid w:val="00565187"/>
    <w:rsid w:val="00565215"/>
    <w:rsid w:val="00565237"/>
    <w:rsid w:val="0056526F"/>
    <w:rsid w:val="005652F3"/>
    <w:rsid w:val="005653B1"/>
    <w:rsid w:val="005653B7"/>
    <w:rsid w:val="00565424"/>
    <w:rsid w:val="00565445"/>
    <w:rsid w:val="005654C3"/>
    <w:rsid w:val="00565535"/>
    <w:rsid w:val="00565587"/>
    <w:rsid w:val="0056559B"/>
    <w:rsid w:val="005656EC"/>
    <w:rsid w:val="00565715"/>
    <w:rsid w:val="0056572F"/>
    <w:rsid w:val="0056580D"/>
    <w:rsid w:val="00565818"/>
    <w:rsid w:val="0056596C"/>
    <w:rsid w:val="00565996"/>
    <w:rsid w:val="00565A2C"/>
    <w:rsid w:val="00565AA8"/>
    <w:rsid w:val="00565AC3"/>
    <w:rsid w:val="00565ADB"/>
    <w:rsid w:val="00565B3D"/>
    <w:rsid w:val="00565B4B"/>
    <w:rsid w:val="00565B88"/>
    <w:rsid w:val="00565BDE"/>
    <w:rsid w:val="00565BF8"/>
    <w:rsid w:val="00565BFD"/>
    <w:rsid w:val="00565C48"/>
    <w:rsid w:val="00565C54"/>
    <w:rsid w:val="00565CA2"/>
    <w:rsid w:val="00565CCE"/>
    <w:rsid w:val="00565D8C"/>
    <w:rsid w:val="00565DB7"/>
    <w:rsid w:val="00565DEC"/>
    <w:rsid w:val="00565E0B"/>
    <w:rsid w:val="00565E1F"/>
    <w:rsid w:val="00565E9C"/>
    <w:rsid w:val="00565EFA"/>
    <w:rsid w:val="00566051"/>
    <w:rsid w:val="00566062"/>
    <w:rsid w:val="005660B5"/>
    <w:rsid w:val="00566100"/>
    <w:rsid w:val="0056612D"/>
    <w:rsid w:val="00566192"/>
    <w:rsid w:val="005661DA"/>
    <w:rsid w:val="00566214"/>
    <w:rsid w:val="00566261"/>
    <w:rsid w:val="0056631D"/>
    <w:rsid w:val="005664C7"/>
    <w:rsid w:val="00566614"/>
    <w:rsid w:val="00566640"/>
    <w:rsid w:val="00566667"/>
    <w:rsid w:val="005666AD"/>
    <w:rsid w:val="005666C2"/>
    <w:rsid w:val="005667A5"/>
    <w:rsid w:val="005667E0"/>
    <w:rsid w:val="005668EF"/>
    <w:rsid w:val="0056692A"/>
    <w:rsid w:val="00566933"/>
    <w:rsid w:val="00566A07"/>
    <w:rsid w:val="00566A3B"/>
    <w:rsid w:val="00566A59"/>
    <w:rsid w:val="00566A6B"/>
    <w:rsid w:val="00566B2E"/>
    <w:rsid w:val="00566B4D"/>
    <w:rsid w:val="00566C50"/>
    <w:rsid w:val="00566D41"/>
    <w:rsid w:val="00566E1F"/>
    <w:rsid w:val="00566EFA"/>
    <w:rsid w:val="00566F01"/>
    <w:rsid w:val="00566F2C"/>
    <w:rsid w:val="00566F35"/>
    <w:rsid w:val="00566F46"/>
    <w:rsid w:val="00566FC8"/>
    <w:rsid w:val="00566FE9"/>
    <w:rsid w:val="00567086"/>
    <w:rsid w:val="005670A9"/>
    <w:rsid w:val="00567160"/>
    <w:rsid w:val="005671A9"/>
    <w:rsid w:val="005671E1"/>
    <w:rsid w:val="005671FF"/>
    <w:rsid w:val="005672D1"/>
    <w:rsid w:val="00567313"/>
    <w:rsid w:val="00567476"/>
    <w:rsid w:val="0056759C"/>
    <w:rsid w:val="005675EE"/>
    <w:rsid w:val="0056762B"/>
    <w:rsid w:val="0056763F"/>
    <w:rsid w:val="00567717"/>
    <w:rsid w:val="00567719"/>
    <w:rsid w:val="00567722"/>
    <w:rsid w:val="00567797"/>
    <w:rsid w:val="00567812"/>
    <w:rsid w:val="0056781E"/>
    <w:rsid w:val="00567826"/>
    <w:rsid w:val="00567837"/>
    <w:rsid w:val="00567845"/>
    <w:rsid w:val="0056789B"/>
    <w:rsid w:val="005678F2"/>
    <w:rsid w:val="0056790F"/>
    <w:rsid w:val="0056791B"/>
    <w:rsid w:val="00567A1E"/>
    <w:rsid w:val="00567A5B"/>
    <w:rsid w:val="00567AB5"/>
    <w:rsid w:val="00567AEE"/>
    <w:rsid w:val="00567B26"/>
    <w:rsid w:val="00567B27"/>
    <w:rsid w:val="00567B63"/>
    <w:rsid w:val="00567B87"/>
    <w:rsid w:val="00567C6D"/>
    <w:rsid w:val="00567C8E"/>
    <w:rsid w:val="00567CB9"/>
    <w:rsid w:val="00567E53"/>
    <w:rsid w:val="00567F69"/>
    <w:rsid w:val="00567FC7"/>
    <w:rsid w:val="00567FD6"/>
    <w:rsid w:val="0057008D"/>
    <w:rsid w:val="005700F5"/>
    <w:rsid w:val="00570136"/>
    <w:rsid w:val="00570233"/>
    <w:rsid w:val="0057023A"/>
    <w:rsid w:val="0057033B"/>
    <w:rsid w:val="0057036E"/>
    <w:rsid w:val="00570487"/>
    <w:rsid w:val="005704A3"/>
    <w:rsid w:val="00570567"/>
    <w:rsid w:val="00570575"/>
    <w:rsid w:val="005705A4"/>
    <w:rsid w:val="00570619"/>
    <w:rsid w:val="0057061D"/>
    <w:rsid w:val="00570632"/>
    <w:rsid w:val="00570692"/>
    <w:rsid w:val="0057071D"/>
    <w:rsid w:val="00570780"/>
    <w:rsid w:val="005707C7"/>
    <w:rsid w:val="0057084F"/>
    <w:rsid w:val="0057087E"/>
    <w:rsid w:val="005708C9"/>
    <w:rsid w:val="00570909"/>
    <w:rsid w:val="00570927"/>
    <w:rsid w:val="0057095C"/>
    <w:rsid w:val="005709FF"/>
    <w:rsid w:val="00570A16"/>
    <w:rsid w:val="00570AD1"/>
    <w:rsid w:val="00570AFF"/>
    <w:rsid w:val="00570B73"/>
    <w:rsid w:val="00570BA2"/>
    <w:rsid w:val="00570C2F"/>
    <w:rsid w:val="00570C3B"/>
    <w:rsid w:val="00570C60"/>
    <w:rsid w:val="00570CF0"/>
    <w:rsid w:val="00570D28"/>
    <w:rsid w:val="00570DDB"/>
    <w:rsid w:val="00570E25"/>
    <w:rsid w:val="00570E56"/>
    <w:rsid w:val="00570E99"/>
    <w:rsid w:val="00570F23"/>
    <w:rsid w:val="00570F74"/>
    <w:rsid w:val="00570F97"/>
    <w:rsid w:val="00570FAB"/>
    <w:rsid w:val="00571000"/>
    <w:rsid w:val="00571027"/>
    <w:rsid w:val="00571047"/>
    <w:rsid w:val="005710C2"/>
    <w:rsid w:val="005710F5"/>
    <w:rsid w:val="005711A7"/>
    <w:rsid w:val="00571266"/>
    <w:rsid w:val="005712F1"/>
    <w:rsid w:val="005713C9"/>
    <w:rsid w:val="005713D1"/>
    <w:rsid w:val="0057140A"/>
    <w:rsid w:val="00571459"/>
    <w:rsid w:val="005714A4"/>
    <w:rsid w:val="005714B5"/>
    <w:rsid w:val="0057151C"/>
    <w:rsid w:val="00571520"/>
    <w:rsid w:val="00571649"/>
    <w:rsid w:val="0057168A"/>
    <w:rsid w:val="005716B1"/>
    <w:rsid w:val="00571789"/>
    <w:rsid w:val="005717A4"/>
    <w:rsid w:val="0057181E"/>
    <w:rsid w:val="005718D6"/>
    <w:rsid w:val="00571916"/>
    <w:rsid w:val="00571A21"/>
    <w:rsid w:val="00571A36"/>
    <w:rsid w:val="00571A73"/>
    <w:rsid w:val="00571B93"/>
    <w:rsid w:val="00571C08"/>
    <w:rsid w:val="00571DE9"/>
    <w:rsid w:val="00571E10"/>
    <w:rsid w:val="00571E86"/>
    <w:rsid w:val="00571EB4"/>
    <w:rsid w:val="00571EFC"/>
    <w:rsid w:val="00571FE2"/>
    <w:rsid w:val="0057202A"/>
    <w:rsid w:val="00572034"/>
    <w:rsid w:val="0057203C"/>
    <w:rsid w:val="00572064"/>
    <w:rsid w:val="0057208A"/>
    <w:rsid w:val="005720C8"/>
    <w:rsid w:val="005720EB"/>
    <w:rsid w:val="0057217B"/>
    <w:rsid w:val="005721BD"/>
    <w:rsid w:val="00572229"/>
    <w:rsid w:val="00572243"/>
    <w:rsid w:val="005722B8"/>
    <w:rsid w:val="00572304"/>
    <w:rsid w:val="005723D1"/>
    <w:rsid w:val="005723D5"/>
    <w:rsid w:val="00572486"/>
    <w:rsid w:val="005724D8"/>
    <w:rsid w:val="005724E5"/>
    <w:rsid w:val="00572608"/>
    <w:rsid w:val="0057263A"/>
    <w:rsid w:val="00572676"/>
    <w:rsid w:val="00572683"/>
    <w:rsid w:val="0057279C"/>
    <w:rsid w:val="005727C7"/>
    <w:rsid w:val="0057280D"/>
    <w:rsid w:val="00572880"/>
    <w:rsid w:val="005728A5"/>
    <w:rsid w:val="005729AF"/>
    <w:rsid w:val="00572B41"/>
    <w:rsid w:val="00572D1A"/>
    <w:rsid w:val="00572D7A"/>
    <w:rsid w:val="00572D89"/>
    <w:rsid w:val="00572D94"/>
    <w:rsid w:val="00572DCF"/>
    <w:rsid w:val="00572E39"/>
    <w:rsid w:val="00572F31"/>
    <w:rsid w:val="00572F4B"/>
    <w:rsid w:val="00572F4E"/>
    <w:rsid w:val="00573053"/>
    <w:rsid w:val="00573060"/>
    <w:rsid w:val="005730EC"/>
    <w:rsid w:val="00573118"/>
    <w:rsid w:val="005731E2"/>
    <w:rsid w:val="00573232"/>
    <w:rsid w:val="005732F2"/>
    <w:rsid w:val="00573314"/>
    <w:rsid w:val="0057358A"/>
    <w:rsid w:val="00573592"/>
    <w:rsid w:val="005735AB"/>
    <w:rsid w:val="005735BD"/>
    <w:rsid w:val="005737A8"/>
    <w:rsid w:val="005737E5"/>
    <w:rsid w:val="00573994"/>
    <w:rsid w:val="005739BC"/>
    <w:rsid w:val="00573A48"/>
    <w:rsid w:val="00573A93"/>
    <w:rsid w:val="00573AB2"/>
    <w:rsid w:val="00573B07"/>
    <w:rsid w:val="00573B76"/>
    <w:rsid w:val="00573B86"/>
    <w:rsid w:val="00573B9C"/>
    <w:rsid w:val="00573BD8"/>
    <w:rsid w:val="00573C32"/>
    <w:rsid w:val="00573CF6"/>
    <w:rsid w:val="00573D7A"/>
    <w:rsid w:val="00573E43"/>
    <w:rsid w:val="00573EDA"/>
    <w:rsid w:val="00573FBD"/>
    <w:rsid w:val="00573FF7"/>
    <w:rsid w:val="005740E1"/>
    <w:rsid w:val="00574103"/>
    <w:rsid w:val="00574128"/>
    <w:rsid w:val="00574202"/>
    <w:rsid w:val="00574220"/>
    <w:rsid w:val="00574232"/>
    <w:rsid w:val="005742D1"/>
    <w:rsid w:val="00574343"/>
    <w:rsid w:val="00574374"/>
    <w:rsid w:val="0057438E"/>
    <w:rsid w:val="005743E4"/>
    <w:rsid w:val="005744BB"/>
    <w:rsid w:val="00574506"/>
    <w:rsid w:val="00574529"/>
    <w:rsid w:val="0057455A"/>
    <w:rsid w:val="005745F4"/>
    <w:rsid w:val="0057466C"/>
    <w:rsid w:val="005746F8"/>
    <w:rsid w:val="00574770"/>
    <w:rsid w:val="0057478A"/>
    <w:rsid w:val="00574811"/>
    <w:rsid w:val="005748B4"/>
    <w:rsid w:val="005748C7"/>
    <w:rsid w:val="00574953"/>
    <w:rsid w:val="00574A0F"/>
    <w:rsid w:val="00574ADF"/>
    <w:rsid w:val="00574B0A"/>
    <w:rsid w:val="00574BEF"/>
    <w:rsid w:val="00574C47"/>
    <w:rsid w:val="00574C67"/>
    <w:rsid w:val="00574CDF"/>
    <w:rsid w:val="00574D4A"/>
    <w:rsid w:val="00574D71"/>
    <w:rsid w:val="00574DD6"/>
    <w:rsid w:val="00574E99"/>
    <w:rsid w:val="00574EC7"/>
    <w:rsid w:val="00575075"/>
    <w:rsid w:val="005751D1"/>
    <w:rsid w:val="005751D9"/>
    <w:rsid w:val="005751E2"/>
    <w:rsid w:val="0057521A"/>
    <w:rsid w:val="005753DB"/>
    <w:rsid w:val="005753DF"/>
    <w:rsid w:val="005753F8"/>
    <w:rsid w:val="005754A0"/>
    <w:rsid w:val="00575555"/>
    <w:rsid w:val="00575566"/>
    <w:rsid w:val="005755B9"/>
    <w:rsid w:val="0057571F"/>
    <w:rsid w:val="00575740"/>
    <w:rsid w:val="0057578E"/>
    <w:rsid w:val="005757A1"/>
    <w:rsid w:val="005757B9"/>
    <w:rsid w:val="005757C5"/>
    <w:rsid w:val="00575801"/>
    <w:rsid w:val="005759AD"/>
    <w:rsid w:val="005759D2"/>
    <w:rsid w:val="005759D4"/>
    <w:rsid w:val="00575AB8"/>
    <w:rsid w:val="00575B91"/>
    <w:rsid w:val="00575BE0"/>
    <w:rsid w:val="00575C84"/>
    <w:rsid w:val="00575C94"/>
    <w:rsid w:val="00575CCF"/>
    <w:rsid w:val="00575E46"/>
    <w:rsid w:val="00575FB0"/>
    <w:rsid w:val="0057605A"/>
    <w:rsid w:val="005760BB"/>
    <w:rsid w:val="005760D3"/>
    <w:rsid w:val="005760D9"/>
    <w:rsid w:val="00576128"/>
    <w:rsid w:val="0057614D"/>
    <w:rsid w:val="00576188"/>
    <w:rsid w:val="005761A2"/>
    <w:rsid w:val="005761BB"/>
    <w:rsid w:val="005761BD"/>
    <w:rsid w:val="005761DD"/>
    <w:rsid w:val="00576206"/>
    <w:rsid w:val="0057622E"/>
    <w:rsid w:val="005762FE"/>
    <w:rsid w:val="00576324"/>
    <w:rsid w:val="00576335"/>
    <w:rsid w:val="005763D0"/>
    <w:rsid w:val="005763EF"/>
    <w:rsid w:val="005764BB"/>
    <w:rsid w:val="0057659B"/>
    <w:rsid w:val="0057665C"/>
    <w:rsid w:val="005766AD"/>
    <w:rsid w:val="0057675E"/>
    <w:rsid w:val="00576772"/>
    <w:rsid w:val="005767F3"/>
    <w:rsid w:val="00576858"/>
    <w:rsid w:val="00576947"/>
    <w:rsid w:val="0057694A"/>
    <w:rsid w:val="0057694B"/>
    <w:rsid w:val="005769D5"/>
    <w:rsid w:val="005769D7"/>
    <w:rsid w:val="005769F2"/>
    <w:rsid w:val="00576AA1"/>
    <w:rsid w:val="00576AC9"/>
    <w:rsid w:val="00576B1C"/>
    <w:rsid w:val="00576BB2"/>
    <w:rsid w:val="00576BCB"/>
    <w:rsid w:val="00576BDE"/>
    <w:rsid w:val="00576BE6"/>
    <w:rsid w:val="00576C03"/>
    <w:rsid w:val="00576D38"/>
    <w:rsid w:val="00576D55"/>
    <w:rsid w:val="00576E5D"/>
    <w:rsid w:val="00576E91"/>
    <w:rsid w:val="00576EB5"/>
    <w:rsid w:val="00576EE0"/>
    <w:rsid w:val="00576EE4"/>
    <w:rsid w:val="00577097"/>
    <w:rsid w:val="005770AD"/>
    <w:rsid w:val="005770B3"/>
    <w:rsid w:val="005770F4"/>
    <w:rsid w:val="00577102"/>
    <w:rsid w:val="00577119"/>
    <w:rsid w:val="00577140"/>
    <w:rsid w:val="0057718E"/>
    <w:rsid w:val="005771DE"/>
    <w:rsid w:val="005771E1"/>
    <w:rsid w:val="0057731E"/>
    <w:rsid w:val="0057732A"/>
    <w:rsid w:val="00577341"/>
    <w:rsid w:val="0057734E"/>
    <w:rsid w:val="00577606"/>
    <w:rsid w:val="0057786D"/>
    <w:rsid w:val="005778B3"/>
    <w:rsid w:val="005778E6"/>
    <w:rsid w:val="00577958"/>
    <w:rsid w:val="00577A27"/>
    <w:rsid w:val="00577A48"/>
    <w:rsid w:val="00577A63"/>
    <w:rsid w:val="00577B4C"/>
    <w:rsid w:val="00577C76"/>
    <w:rsid w:val="00577CF5"/>
    <w:rsid w:val="00577D0C"/>
    <w:rsid w:val="00577D22"/>
    <w:rsid w:val="00577DD4"/>
    <w:rsid w:val="00577EC1"/>
    <w:rsid w:val="0058002F"/>
    <w:rsid w:val="005800D0"/>
    <w:rsid w:val="00580143"/>
    <w:rsid w:val="005801AB"/>
    <w:rsid w:val="005801E1"/>
    <w:rsid w:val="00580231"/>
    <w:rsid w:val="00580234"/>
    <w:rsid w:val="005802EA"/>
    <w:rsid w:val="00580371"/>
    <w:rsid w:val="0058037C"/>
    <w:rsid w:val="0058050F"/>
    <w:rsid w:val="0058057D"/>
    <w:rsid w:val="0058067F"/>
    <w:rsid w:val="005806C0"/>
    <w:rsid w:val="00580711"/>
    <w:rsid w:val="00580721"/>
    <w:rsid w:val="0058073D"/>
    <w:rsid w:val="00580769"/>
    <w:rsid w:val="0058077C"/>
    <w:rsid w:val="00580841"/>
    <w:rsid w:val="00580852"/>
    <w:rsid w:val="00580A0A"/>
    <w:rsid w:val="00580ACE"/>
    <w:rsid w:val="00580C00"/>
    <w:rsid w:val="00580D3E"/>
    <w:rsid w:val="00580E1C"/>
    <w:rsid w:val="00580EFD"/>
    <w:rsid w:val="00580F5D"/>
    <w:rsid w:val="00580F64"/>
    <w:rsid w:val="00580F94"/>
    <w:rsid w:val="00580FEA"/>
    <w:rsid w:val="00580FF3"/>
    <w:rsid w:val="005810B5"/>
    <w:rsid w:val="005810CD"/>
    <w:rsid w:val="00581116"/>
    <w:rsid w:val="0058111F"/>
    <w:rsid w:val="0058113A"/>
    <w:rsid w:val="0058127E"/>
    <w:rsid w:val="00581364"/>
    <w:rsid w:val="0058139C"/>
    <w:rsid w:val="005813B0"/>
    <w:rsid w:val="0058145F"/>
    <w:rsid w:val="00581468"/>
    <w:rsid w:val="00581473"/>
    <w:rsid w:val="005814A3"/>
    <w:rsid w:val="00581667"/>
    <w:rsid w:val="005816CC"/>
    <w:rsid w:val="00581875"/>
    <w:rsid w:val="005818C8"/>
    <w:rsid w:val="00581922"/>
    <w:rsid w:val="00581988"/>
    <w:rsid w:val="00581999"/>
    <w:rsid w:val="00581AE2"/>
    <w:rsid w:val="00581BDE"/>
    <w:rsid w:val="00581CF0"/>
    <w:rsid w:val="00581D2C"/>
    <w:rsid w:val="00581D64"/>
    <w:rsid w:val="00581E37"/>
    <w:rsid w:val="00581F98"/>
    <w:rsid w:val="00581FCC"/>
    <w:rsid w:val="00581FD9"/>
    <w:rsid w:val="00581FF7"/>
    <w:rsid w:val="0058205B"/>
    <w:rsid w:val="0058214D"/>
    <w:rsid w:val="005821C1"/>
    <w:rsid w:val="00582272"/>
    <w:rsid w:val="0058232F"/>
    <w:rsid w:val="00582393"/>
    <w:rsid w:val="005823C9"/>
    <w:rsid w:val="00582468"/>
    <w:rsid w:val="005826A7"/>
    <w:rsid w:val="005826F6"/>
    <w:rsid w:val="00582776"/>
    <w:rsid w:val="00582871"/>
    <w:rsid w:val="005828A4"/>
    <w:rsid w:val="005828E0"/>
    <w:rsid w:val="00582939"/>
    <w:rsid w:val="00582955"/>
    <w:rsid w:val="005829B6"/>
    <w:rsid w:val="005829E8"/>
    <w:rsid w:val="00582A3A"/>
    <w:rsid w:val="00582A99"/>
    <w:rsid w:val="00582B01"/>
    <w:rsid w:val="00582B15"/>
    <w:rsid w:val="00582CC9"/>
    <w:rsid w:val="00582D05"/>
    <w:rsid w:val="00582D30"/>
    <w:rsid w:val="00582D69"/>
    <w:rsid w:val="00582DB8"/>
    <w:rsid w:val="00582DCB"/>
    <w:rsid w:val="00582E0B"/>
    <w:rsid w:val="00582E1D"/>
    <w:rsid w:val="00582E6A"/>
    <w:rsid w:val="00582E95"/>
    <w:rsid w:val="00582F46"/>
    <w:rsid w:val="00582F51"/>
    <w:rsid w:val="00582F7B"/>
    <w:rsid w:val="00582FC5"/>
    <w:rsid w:val="00583021"/>
    <w:rsid w:val="00583046"/>
    <w:rsid w:val="0058306F"/>
    <w:rsid w:val="005830E5"/>
    <w:rsid w:val="00583157"/>
    <w:rsid w:val="0058319C"/>
    <w:rsid w:val="00583234"/>
    <w:rsid w:val="0058328E"/>
    <w:rsid w:val="005832EA"/>
    <w:rsid w:val="0058332A"/>
    <w:rsid w:val="005833B8"/>
    <w:rsid w:val="005833EE"/>
    <w:rsid w:val="0058341B"/>
    <w:rsid w:val="00583470"/>
    <w:rsid w:val="0058349C"/>
    <w:rsid w:val="005834DD"/>
    <w:rsid w:val="0058353E"/>
    <w:rsid w:val="00583551"/>
    <w:rsid w:val="005835F8"/>
    <w:rsid w:val="0058361B"/>
    <w:rsid w:val="0058364C"/>
    <w:rsid w:val="0058368B"/>
    <w:rsid w:val="005836F8"/>
    <w:rsid w:val="00583710"/>
    <w:rsid w:val="0058378C"/>
    <w:rsid w:val="0058379D"/>
    <w:rsid w:val="005837B7"/>
    <w:rsid w:val="00583815"/>
    <w:rsid w:val="00583899"/>
    <w:rsid w:val="0058389E"/>
    <w:rsid w:val="005838A6"/>
    <w:rsid w:val="005838C7"/>
    <w:rsid w:val="00583938"/>
    <w:rsid w:val="00583A4F"/>
    <w:rsid w:val="00583ACF"/>
    <w:rsid w:val="00583B42"/>
    <w:rsid w:val="00583BBC"/>
    <w:rsid w:val="00583C07"/>
    <w:rsid w:val="00583C21"/>
    <w:rsid w:val="00583CA9"/>
    <w:rsid w:val="00583D5E"/>
    <w:rsid w:val="00583D76"/>
    <w:rsid w:val="00583DD4"/>
    <w:rsid w:val="00583EC6"/>
    <w:rsid w:val="00583EF9"/>
    <w:rsid w:val="00583F48"/>
    <w:rsid w:val="00584063"/>
    <w:rsid w:val="00584067"/>
    <w:rsid w:val="00584093"/>
    <w:rsid w:val="00584096"/>
    <w:rsid w:val="005840A6"/>
    <w:rsid w:val="005840F7"/>
    <w:rsid w:val="00584104"/>
    <w:rsid w:val="005841E3"/>
    <w:rsid w:val="0058421C"/>
    <w:rsid w:val="00584264"/>
    <w:rsid w:val="0058427C"/>
    <w:rsid w:val="005842C4"/>
    <w:rsid w:val="005842CE"/>
    <w:rsid w:val="0058431E"/>
    <w:rsid w:val="00584334"/>
    <w:rsid w:val="005844EF"/>
    <w:rsid w:val="005844FF"/>
    <w:rsid w:val="00584500"/>
    <w:rsid w:val="005845B5"/>
    <w:rsid w:val="00584698"/>
    <w:rsid w:val="005846B7"/>
    <w:rsid w:val="005846EB"/>
    <w:rsid w:val="00584788"/>
    <w:rsid w:val="005847CA"/>
    <w:rsid w:val="005847EA"/>
    <w:rsid w:val="0058483D"/>
    <w:rsid w:val="005848D2"/>
    <w:rsid w:val="0058490B"/>
    <w:rsid w:val="00584995"/>
    <w:rsid w:val="005849BD"/>
    <w:rsid w:val="005849C9"/>
    <w:rsid w:val="005849FA"/>
    <w:rsid w:val="00584A04"/>
    <w:rsid w:val="00584A81"/>
    <w:rsid w:val="00584AA7"/>
    <w:rsid w:val="00584B85"/>
    <w:rsid w:val="00584C87"/>
    <w:rsid w:val="00584C94"/>
    <w:rsid w:val="00584CA2"/>
    <w:rsid w:val="00584CB2"/>
    <w:rsid w:val="00584CF8"/>
    <w:rsid w:val="00584D24"/>
    <w:rsid w:val="00584DBB"/>
    <w:rsid w:val="00584E97"/>
    <w:rsid w:val="0058507F"/>
    <w:rsid w:val="00585120"/>
    <w:rsid w:val="00585136"/>
    <w:rsid w:val="00585151"/>
    <w:rsid w:val="00585181"/>
    <w:rsid w:val="005851A8"/>
    <w:rsid w:val="00585223"/>
    <w:rsid w:val="0058533A"/>
    <w:rsid w:val="0058535F"/>
    <w:rsid w:val="005854BE"/>
    <w:rsid w:val="005854D9"/>
    <w:rsid w:val="00585533"/>
    <w:rsid w:val="0058563B"/>
    <w:rsid w:val="00585695"/>
    <w:rsid w:val="0058576C"/>
    <w:rsid w:val="005857B1"/>
    <w:rsid w:val="00585912"/>
    <w:rsid w:val="005859F6"/>
    <w:rsid w:val="00585A01"/>
    <w:rsid w:val="00585A11"/>
    <w:rsid w:val="00585A21"/>
    <w:rsid w:val="00585AD5"/>
    <w:rsid w:val="00585B8E"/>
    <w:rsid w:val="00585BAB"/>
    <w:rsid w:val="00585C0F"/>
    <w:rsid w:val="00585C39"/>
    <w:rsid w:val="00585CF7"/>
    <w:rsid w:val="00585D49"/>
    <w:rsid w:val="00585EA1"/>
    <w:rsid w:val="00585EAC"/>
    <w:rsid w:val="00585F69"/>
    <w:rsid w:val="00586051"/>
    <w:rsid w:val="005860AC"/>
    <w:rsid w:val="005861A8"/>
    <w:rsid w:val="005862EB"/>
    <w:rsid w:val="005863CD"/>
    <w:rsid w:val="005863F1"/>
    <w:rsid w:val="00586403"/>
    <w:rsid w:val="00586409"/>
    <w:rsid w:val="005864A2"/>
    <w:rsid w:val="005864C9"/>
    <w:rsid w:val="00586540"/>
    <w:rsid w:val="0058658D"/>
    <w:rsid w:val="00586748"/>
    <w:rsid w:val="0058678D"/>
    <w:rsid w:val="0058684C"/>
    <w:rsid w:val="00586891"/>
    <w:rsid w:val="005868AF"/>
    <w:rsid w:val="005868C6"/>
    <w:rsid w:val="00586935"/>
    <w:rsid w:val="005869D3"/>
    <w:rsid w:val="00586A40"/>
    <w:rsid w:val="00586A6E"/>
    <w:rsid w:val="00586A8F"/>
    <w:rsid w:val="00586AB3"/>
    <w:rsid w:val="00586B25"/>
    <w:rsid w:val="00586B5B"/>
    <w:rsid w:val="00586B64"/>
    <w:rsid w:val="00586B9A"/>
    <w:rsid w:val="00586BF4"/>
    <w:rsid w:val="00586C41"/>
    <w:rsid w:val="00586C90"/>
    <w:rsid w:val="00586CC0"/>
    <w:rsid w:val="00586CE5"/>
    <w:rsid w:val="00586D86"/>
    <w:rsid w:val="00586DA5"/>
    <w:rsid w:val="00586DC7"/>
    <w:rsid w:val="00586DED"/>
    <w:rsid w:val="00586DF7"/>
    <w:rsid w:val="00586E8E"/>
    <w:rsid w:val="00586F01"/>
    <w:rsid w:val="00586F2E"/>
    <w:rsid w:val="00586F9C"/>
    <w:rsid w:val="00586FAA"/>
    <w:rsid w:val="00586FB7"/>
    <w:rsid w:val="005870B3"/>
    <w:rsid w:val="00587118"/>
    <w:rsid w:val="005871FC"/>
    <w:rsid w:val="00587213"/>
    <w:rsid w:val="0058723A"/>
    <w:rsid w:val="005872AA"/>
    <w:rsid w:val="0058731E"/>
    <w:rsid w:val="00587340"/>
    <w:rsid w:val="005873DE"/>
    <w:rsid w:val="00587432"/>
    <w:rsid w:val="0058766B"/>
    <w:rsid w:val="00587688"/>
    <w:rsid w:val="00587725"/>
    <w:rsid w:val="0058776C"/>
    <w:rsid w:val="00587776"/>
    <w:rsid w:val="00587817"/>
    <w:rsid w:val="00587859"/>
    <w:rsid w:val="005878C9"/>
    <w:rsid w:val="0058798F"/>
    <w:rsid w:val="005879FC"/>
    <w:rsid w:val="00587A69"/>
    <w:rsid w:val="00587A84"/>
    <w:rsid w:val="00587BB1"/>
    <w:rsid w:val="00587C42"/>
    <w:rsid w:val="00587C7E"/>
    <w:rsid w:val="00587D32"/>
    <w:rsid w:val="00587D7C"/>
    <w:rsid w:val="00587D7D"/>
    <w:rsid w:val="00587DCE"/>
    <w:rsid w:val="00587E52"/>
    <w:rsid w:val="00587E8C"/>
    <w:rsid w:val="00587E99"/>
    <w:rsid w:val="00587EBB"/>
    <w:rsid w:val="00587F19"/>
    <w:rsid w:val="00587F82"/>
    <w:rsid w:val="00587F97"/>
    <w:rsid w:val="00587FDB"/>
    <w:rsid w:val="0059000A"/>
    <w:rsid w:val="00590050"/>
    <w:rsid w:val="00590067"/>
    <w:rsid w:val="0059007A"/>
    <w:rsid w:val="00590172"/>
    <w:rsid w:val="005901CA"/>
    <w:rsid w:val="005901CD"/>
    <w:rsid w:val="005901DA"/>
    <w:rsid w:val="005901E7"/>
    <w:rsid w:val="005904C8"/>
    <w:rsid w:val="005905E7"/>
    <w:rsid w:val="005906B9"/>
    <w:rsid w:val="00590740"/>
    <w:rsid w:val="005907A9"/>
    <w:rsid w:val="005907D4"/>
    <w:rsid w:val="005908AA"/>
    <w:rsid w:val="005908BC"/>
    <w:rsid w:val="005909B9"/>
    <w:rsid w:val="00590A2C"/>
    <w:rsid w:val="00590A3D"/>
    <w:rsid w:val="00590A8C"/>
    <w:rsid w:val="00590AF5"/>
    <w:rsid w:val="00590B4C"/>
    <w:rsid w:val="00590C34"/>
    <w:rsid w:val="00590C5B"/>
    <w:rsid w:val="00590CD6"/>
    <w:rsid w:val="00590E51"/>
    <w:rsid w:val="00590E53"/>
    <w:rsid w:val="00590E95"/>
    <w:rsid w:val="00590F3B"/>
    <w:rsid w:val="00590FB0"/>
    <w:rsid w:val="00590FD1"/>
    <w:rsid w:val="0059108F"/>
    <w:rsid w:val="005910FC"/>
    <w:rsid w:val="0059118B"/>
    <w:rsid w:val="005911D3"/>
    <w:rsid w:val="0059123F"/>
    <w:rsid w:val="00591283"/>
    <w:rsid w:val="005912A2"/>
    <w:rsid w:val="0059137B"/>
    <w:rsid w:val="00591395"/>
    <w:rsid w:val="005913D8"/>
    <w:rsid w:val="005913DC"/>
    <w:rsid w:val="0059145E"/>
    <w:rsid w:val="005914AA"/>
    <w:rsid w:val="005914BB"/>
    <w:rsid w:val="005914C1"/>
    <w:rsid w:val="0059152B"/>
    <w:rsid w:val="00591562"/>
    <w:rsid w:val="005915C0"/>
    <w:rsid w:val="005915E5"/>
    <w:rsid w:val="005917C1"/>
    <w:rsid w:val="00591861"/>
    <w:rsid w:val="005918A4"/>
    <w:rsid w:val="005918D1"/>
    <w:rsid w:val="005919EF"/>
    <w:rsid w:val="00591A57"/>
    <w:rsid w:val="00591A77"/>
    <w:rsid w:val="00591A82"/>
    <w:rsid w:val="00591A9B"/>
    <w:rsid w:val="00591AC9"/>
    <w:rsid w:val="00591AE4"/>
    <w:rsid w:val="00591C0D"/>
    <w:rsid w:val="00591CD7"/>
    <w:rsid w:val="00591DE5"/>
    <w:rsid w:val="00591E0E"/>
    <w:rsid w:val="00591E15"/>
    <w:rsid w:val="00591E5A"/>
    <w:rsid w:val="00591F0D"/>
    <w:rsid w:val="00592040"/>
    <w:rsid w:val="0059204D"/>
    <w:rsid w:val="005920F6"/>
    <w:rsid w:val="00592257"/>
    <w:rsid w:val="00592271"/>
    <w:rsid w:val="005922F1"/>
    <w:rsid w:val="0059231B"/>
    <w:rsid w:val="00592347"/>
    <w:rsid w:val="005924EB"/>
    <w:rsid w:val="005925FE"/>
    <w:rsid w:val="005927CC"/>
    <w:rsid w:val="005927F1"/>
    <w:rsid w:val="00592803"/>
    <w:rsid w:val="00592845"/>
    <w:rsid w:val="00592863"/>
    <w:rsid w:val="00592878"/>
    <w:rsid w:val="00592885"/>
    <w:rsid w:val="00592915"/>
    <w:rsid w:val="005929D0"/>
    <w:rsid w:val="00592A6E"/>
    <w:rsid w:val="00592ABE"/>
    <w:rsid w:val="00592B66"/>
    <w:rsid w:val="00592BEC"/>
    <w:rsid w:val="00592C4D"/>
    <w:rsid w:val="00592D62"/>
    <w:rsid w:val="00592D9A"/>
    <w:rsid w:val="00592DC4"/>
    <w:rsid w:val="00592E90"/>
    <w:rsid w:val="00592EFF"/>
    <w:rsid w:val="00592F4C"/>
    <w:rsid w:val="00592F6D"/>
    <w:rsid w:val="00592F7B"/>
    <w:rsid w:val="00592FD9"/>
    <w:rsid w:val="005930E5"/>
    <w:rsid w:val="00593129"/>
    <w:rsid w:val="00593173"/>
    <w:rsid w:val="005931D5"/>
    <w:rsid w:val="0059337A"/>
    <w:rsid w:val="00593515"/>
    <w:rsid w:val="0059354D"/>
    <w:rsid w:val="005936F4"/>
    <w:rsid w:val="00593711"/>
    <w:rsid w:val="00593734"/>
    <w:rsid w:val="00593749"/>
    <w:rsid w:val="0059379E"/>
    <w:rsid w:val="005937AD"/>
    <w:rsid w:val="005937BD"/>
    <w:rsid w:val="00593921"/>
    <w:rsid w:val="005939A8"/>
    <w:rsid w:val="00593AAF"/>
    <w:rsid w:val="00593ACB"/>
    <w:rsid w:val="00593AD7"/>
    <w:rsid w:val="00593AE6"/>
    <w:rsid w:val="00593B0C"/>
    <w:rsid w:val="00593BE3"/>
    <w:rsid w:val="00593C86"/>
    <w:rsid w:val="00593D1E"/>
    <w:rsid w:val="00593D52"/>
    <w:rsid w:val="00593DA4"/>
    <w:rsid w:val="00593E64"/>
    <w:rsid w:val="00593E9B"/>
    <w:rsid w:val="00593F75"/>
    <w:rsid w:val="00593FA0"/>
    <w:rsid w:val="00593FA4"/>
    <w:rsid w:val="00594218"/>
    <w:rsid w:val="0059422A"/>
    <w:rsid w:val="00594230"/>
    <w:rsid w:val="00594255"/>
    <w:rsid w:val="0059438A"/>
    <w:rsid w:val="0059438C"/>
    <w:rsid w:val="005943BD"/>
    <w:rsid w:val="005943E8"/>
    <w:rsid w:val="00594455"/>
    <w:rsid w:val="005944F7"/>
    <w:rsid w:val="005945A5"/>
    <w:rsid w:val="005945F4"/>
    <w:rsid w:val="005945F8"/>
    <w:rsid w:val="0059460C"/>
    <w:rsid w:val="005946CA"/>
    <w:rsid w:val="00594746"/>
    <w:rsid w:val="0059474F"/>
    <w:rsid w:val="0059476B"/>
    <w:rsid w:val="0059480E"/>
    <w:rsid w:val="005948BF"/>
    <w:rsid w:val="00594A58"/>
    <w:rsid w:val="00594B57"/>
    <w:rsid w:val="00594C3F"/>
    <w:rsid w:val="00594C81"/>
    <w:rsid w:val="00594CF8"/>
    <w:rsid w:val="00594E65"/>
    <w:rsid w:val="00594F26"/>
    <w:rsid w:val="00594F96"/>
    <w:rsid w:val="00594FEA"/>
    <w:rsid w:val="00595048"/>
    <w:rsid w:val="005950D8"/>
    <w:rsid w:val="005951B4"/>
    <w:rsid w:val="0059522F"/>
    <w:rsid w:val="00595232"/>
    <w:rsid w:val="00595238"/>
    <w:rsid w:val="0059523C"/>
    <w:rsid w:val="00595251"/>
    <w:rsid w:val="00595280"/>
    <w:rsid w:val="005952A4"/>
    <w:rsid w:val="005952B6"/>
    <w:rsid w:val="0059531E"/>
    <w:rsid w:val="00595424"/>
    <w:rsid w:val="00595460"/>
    <w:rsid w:val="00595493"/>
    <w:rsid w:val="005954E9"/>
    <w:rsid w:val="00595520"/>
    <w:rsid w:val="00595531"/>
    <w:rsid w:val="00595538"/>
    <w:rsid w:val="00595560"/>
    <w:rsid w:val="00595619"/>
    <w:rsid w:val="005956DB"/>
    <w:rsid w:val="0059578C"/>
    <w:rsid w:val="005957C8"/>
    <w:rsid w:val="005957E9"/>
    <w:rsid w:val="0059593B"/>
    <w:rsid w:val="00595998"/>
    <w:rsid w:val="005959AB"/>
    <w:rsid w:val="005959E0"/>
    <w:rsid w:val="005959E7"/>
    <w:rsid w:val="005959EA"/>
    <w:rsid w:val="00595A8B"/>
    <w:rsid w:val="00595AED"/>
    <w:rsid w:val="00595B50"/>
    <w:rsid w:val="00595BB9"/>
    <w:rsid w:val="00595C34"/>
    <w:rsid w:val="00595C4A"/>
    <w:rsid w:val="00595CEF"/>
    <w:rsid w:val="00595DA7"/>
    <w:rsid w:val="00595EAC"/>
    <w:rsid w:val="00595EC0"/>
    <w:rsid w:val="00595EDB"/>
    <w:rsid w:val="00595F2A"/>
    <w:rsid w:val="00595FEC"/>
    <w:rsid w:val="00595FFB"/>
    <w:rsid w:val="00596034"/>
    <w:rsid w:val="00596055"/>
    <w:rsid w:val="005960AF"/>
    <w:rsid w:val="0059616B"/>
    <w:rsid w:val="005961D1"/>
    <w:rsid w:val="00596228"/>
    <w:rsid w:val="00596251"/>
    <w:rsid w:val="00596255"/>
    <w:rsid w:val="00596287"/>
    <w:rsid w:val="005962A5"/>
    <w:rsid w:val="005962B9"/>
    <w:rsid w:val="0059636B"/>
    <w:rsid w:val="0059636E"/>
    <w:rsid w:val="00596392"/>
    <w:rsid w:val="00596393"/>
    <w:rsid w:val="00596494"/>
    <w:rsid w:val="005964F5"/>
    <w:rsid w:val="0059664D"/>
    <w:rsid w:val="00596694"/>
    <w:rsid w:val="005966C0"/>
    <w:rsid w:val="005966D1"/>
    <w:rsid w:val="0059677F"/>
    <w:rsid w:val="00596795"/>
    <w:rsid w:val="005967E9"/>
    <w:rsid w:val="005968C1"/>
    <w:rsid w:val="005968C8"/>
    <w:rsid w:val="00596946"/>
    <w:rsid w:val="0059699B"/>
    <w:rsid w:val="00596A15"/>
    <w:rsid w:val="00596A85"/>
    <w:rsid w:val="00596B8B"/>
    <w:rsid w:val="00596BF3"/>
    <w:rsid w:val="00596C9A"/>
    <w:rsid w:val="00596CA8"/>
    <w:rsid w:val="00596CB2"/>
    <w:rsid w:val="00596D1A"/>
    <w:rsid w:val="00596D41"/>
    <w:rsid w:val="00596D82"/>
    <w:rsid w:val="00596DD3"/>
    <w:rsid w:val="00596DEB"/>
    <w:rsid w:val="00596E7A"/>
    <w:rsid w:val="00596EBF"/>
    <w:rsid w:val="00596EC6"/>
    <w:rsid w:val="00596EE6"/>
    <w:rsid w:val="00596F4F"/>
    <w:rsid w:val="0059709A"/>
    <w:rsid w:val="00597169"/>
    <w:rsid w:val="0059717A"/>
    <w:rsid w:val="005971CE"/>
    <w:rsid w:val="005971E0"/>
    <w:rsid w:val="00597262"/>
    <w:rsid w:val="00597270"/>
    <w:rsid w:val="0059727C"/>
    <w:rsid w:val="005972C3"/>
    <w:rsid w:val="005972DD"/>
    <w:rsid w:val="00597386"/>
    <w:rsid w:val="00597397"/>
    <w:rsid w:val="005973C3"/>
    <w:rsid w:val="005973CE"/>
    <w:rsid w:val="005973E0"/>
    <w:rsid w:val="00597411"/>
    <w:rsid w:val="005974D7"/>
    <w:rsid w:val="0059755D"/>
    <w:rsid w:val="005975C6"/>
    <w:rsid w:val="005975F7"/>
    <w:rsid w:val="0059761B"/>
    <w:rsid w:val="00597669"/>
    <w:rsid w:val="0059768D"/>
    <w:rsid w:val="00597752"/>
    <w:rsid w:val="00597791"/>
    <w:rsid w:val="005977E3"/>
    <w:rsid w:val="005977FF"/>
    <w:rsid w:val="00597879"/>
    <w:rsid w:val="0059788F"/>
    <w:rsid w:val="005978D1"/>
    <w:rsid w:val="00597954"/>
    <w:rsid w:val="0059795E"/>
    <w:rsid w:val="005979B9"/>
    <w:rsid w:val="00597A8D"/>
    <w:rsid w:val="00597AA2"/>
    <w:rsid w:val="00597C3F"/>
    <w:rsid w:val="00597CDF"/>
    <w:rsid w:val="00597DA5"/>
    <w:rsid w:val="00597E18"/>
    <w:rsid w:val="00597EBE"/>
    <w:rsid w:val="00597EC0"/>
    <w:rsid w:val="00597F5F"/>
    <w:rsid w:val="00597FBA"/>
    <w:rsid w:val="005A000F"/>
    <w:rsid w:val="005A0032"/>
    <w:rsid w:val="005A0034"/>
    <w:rsid w:val="005A00FB"/>
    <w:rsid w:val="005A01B9"/>
    <w:rsid w:val="005A034F"/>
    <w:rsid w:val="005A038B"/>
    <w:rsid w:val="005A0399"/>
    <w:rsid w:val="005A03D0"/>
    <w:rsid w:val="005A0408"/>
    <w:rsid w:val="005A044D"/>
    <w:rsid w:val="005A05E8"/>
    <w:rsid w:val="005A062F"/>
    <w:rsid w:val="005A066E"/>
    <w:rsid w:val="005A06B2"/>
    <w:rsid w:val="005A06CD"/>
    <w:rsid w:val="005A0706"/>
    <w:rsid w:val="005A076D"/>
    <w:rsid w:val="005A091D"/>
    <w:rsid w:val="005A0943"/>
    <w:rsid w:val="005A0955"/>
    <w:rsid w:val="005A0970"/>
    <w:rsid w:val="005A0A08"/>
    <w:rsid w:val="005A0A66"/>
    <w:rsid w:val="005A0A81"/>
    <w:rsid w:val="005A0AB4"/>
    <w:rsid w:val="005A0BA2"/>
    <w:rsid w:val="005A0BB2"/>
    <w:rsid w:val="005A0C29"/>
    <w:rsid w:val="005A0C83"/>
    <w:rsid w:val="005A0C93"/>
    <w:rsid w:val="005A0D07"/>
    <w:rsid w:val="005A0D15"/>
    <w:rsid w:val="005A0E09"/>
    <w:rsid w:val="005A0E34"/>
    <w:rsid w:val="005A0F33"/>
    <w:rsid w:val="005A100D"/>
    <w:rsid w:val="005A1066"/>
    <w:rsid w:val="005A10BE"/>
    <w:rsid w:val="005A11F9"/>
    <w:rsid w:val="005A1213"/>
    <w:rsid w:val="005A121E"/>
    <w:rsid w:val="005A124D"/>
    <w:rsid w:val="005A1260"/>
    <w:rsid w:val="005A129B"/>
    <w:rsid w:val="005A13FB"/>
    <w:rsid w:val="005A149B"/>
    <w:rsid w:val="005A14C8"/>
    <w:rsid w:val="005A14F8"/>
    <w:rsid w:val="005A150E"/>
    <w:rsid w:val="005A1544"/>
    <w:rsid w:val="005A154E"/>
    <w:rsid w:val="005A163D"/>
    <w:rsid w:val="005A1730"/>
    <w:rsid w:val="005A174A"/>
    <w:rsid w:val="005A1771"/>
    <w:rsid w:val="005A178F"/>
    <w:rsid w:val="005A17AF"/>
    <w:rsid w:val="005A17F9"/>
    <w:rsid w:val="005A1833"/>
    <w:rsid w:val="005A18D1"/>
    <w:rsid w:val="005A197E"/>
    <w:rsid w:val="005A199D"/>
    <w:rsid w:val="005A1B26"/>
    <w:rsid w:val="005A1C2F"/>
    <w:rsid w:val="005A1C3C"/>
    <w:rsid w:val="005A1D2B"/>
    <w:rsid w:val="005A1D56"/>
    <w:rsid w:val="005A1DBE"/>
    <w:rsid w:val="005A1DFB"/>
    <w:rsid w:val="005A1F07"/>
    <w:rsid w:val="005A1F0E"/>
    <w:rsid w:val="005A1F36"/>
    <w:rsid w:val="005A1F40"/>
    <w:rsid w:val="005A200D"/>
    <w:rsid w:val="005A2034"/>
    <w:rsid w:val="005A2059"/>
    <w:rsid w:val="005A20E0"/>
    <w:rsid w:val="005A20E9"/>
    <w:rsid w:val="005A21DF"/>
    <w:rsid w:val="005A22E6"/>
    <w:rsid w:val="005A236B"/>
    <w:rsid w:val="005A240D"/>
    <w:rsid w:val="005A246E"/>
    <w:rsid w:val="005A2515"/>
    <w:rsid w:val="005A251D"/>
    <w:rsid w:val="005A2579"/>
    <w:rsid w:val="005A2587"/>
    <w:rsid w:val="005A25A8"/>
    <w:rsid w:val="005A25E2"/>
    <w:rsid w:val="005A2627"/>
    <w:rsid w:val="005A273C"/>
    <w:rsid w:val="005A2746"/>
    <w:rsid w:val="005A2782"/>
    <w:rsid w:val="005A2792"/>
    <w:rsid w:val="005A280D"/>
    <w:rsid w:val="005A28B8"/>
    <w:rsid w:val="005A293B"/>
    <w:rsid w:val="005A2941"/>
    <w:rsid w:val="005A2964"/>
    <w:rsid w:val="005A2973"/>
    <w:rsid w:val="005A29A8"/>
    <w:rsid w:val="005A29F4"/>
    <w:rsid w:val="005A2A46"/>
    <w:rsid w:val="005A2A6C"/>
    <w:rsid w:val="005A2AB4"/>
    <w:rsid w:val="005A2AC4"/>
    <w:rsid w:val="005A2B4E"/>
    <w:rsid w:val="005A2B65"/>
    <w:rsid w:val="005A2B9C"/>
    <w:rsid w:val="005A2BD4"/>
    <w:rsid w:val="005A2BF5"/>
    <w:rsid w:val="005A2BFC"/>
    <w:rsid w:val="005A2C2F"/>
    <w:rsid w:val="005A2C41"/>
    <w:rsid w:val="005A2CC5"/>
    <w:rsid w:val="005A2CE3"/>
    <w:rsid w:val="005A2CFC"/>
    <w:rsid w:val="005A2D67"/>
    <w:rsid w:val="005A2D6E"/>
    <w:rsid w:val="005A2DDB"/>
    <w:rsid w:val="005A2E98"/>
    <w:rsid w:val="005A2F11"/>
    <w:rsid w:val="005A2F66"/>
    <w:rsid w:val="005A2F77"/>
    <w:rsid w:val="005A3038"/>
    <w:rsid w:val="005A304E"/>
    <w:rsid w:val="005A3066"/>
    <w:rsid w:val="005A31A9"/>
    <w:rsid w:val="005A31C1"/>
    <w:rsid w:val="005A31D7"/>
    <w:rsid w:val="005A31EB"/>
    <w:rsid w:val="005A3272"/>
    <w:rsid w:val="005A3289"/>
    <w:rsid w:val="005A3297"/>
    <w:rsid w:val="005A3363"/>
    <w:rsid w:val="005A337C"/>
    <w:rsid w:val="005A3394"/>
    <w:rsid w:val="005A33C5"/>
    <w:rsid w:val="005A343F"/>
    <w:rsid w:val="005A34A9"/>
    <w:rsid w:val="005A3504"/>
    <w:rsid w:val="005A35E1"/>
    <w:rsid w:val="005A3646"/>
    <w:rsid w:val="005A3654"/>
    <w:rsid w:val="005A369B"/>
    <w:rsid w:val="005A36B3"/>
    <w:rsid w:val="005A36EA"/>
    <w:rsid w:val="005A375F"/>
    <w:rsid w:val="005A37B4"/>
    <w:rsid w:val="005A38CF"/>
    <w:rsid w:val="005A38DC"/>
    <w:rsid w:val="005A38F5"/>
    <w:rsid w:val="005A38F6"/>
    <w:rsid w:val="005A38FA"/>
    <w:rsid w:val="005A3959"/>
    <w:rsid w:val="005A3A12"/>
    <w:rsid w:val="005A3A1A"/>
    <w:rsid w:val="005A3A37"/>
    <w:rsid w:val="005A3A51"/>
    <w:rsid w:val="005A3AAD"/>
    <w:rsid w:val="005A3AF3"/>
    <w:rsid w:val="005A3AFD"/>
    <w:rsid w:val="005A3BDC"/>
    <w:rsid w:val="005A3C5F"/>
    <w:rsid w:val="005A3C86"/>
    <w:rsid w:val="005A3C8A"/>
    <w:rsid w:val="005A3C9F"/>
    <w:rsid w:val="005A3CBA"/>
    <w:rsid w:val="005A3CCE"/>
    <w:rsid w:val="005A3CE9"/>
    <w:rsid w:val="005A3DAB"/>
    <w:rsid w:val="005A3DC7"/>
    <w:rsid w:val="005A3DC9"/>
    <w:rsid w:val="005A3DE2"/>
    <w:rsid w:val="005A3E0D"/>
    <w:rsid w:val="005A3F55"/>
    <w:rsid w:val="005A3F70"/>
    <w:rsid w:val="005A4086"/>
    <w:rsid w:val="005A40A9"/>
    <w:rsid w:val="005A40D2"/>
    <w:rsid w:val="005A41C8"/>
    <w:rsid w:val="005A41FB"/>
    <w:rsid w:val="005A42FA"/>
    <w:rsid w:val="005A4306"/>
    <w:rsid w:val="005A4331"/>
    <w:rsid w:val="005A43E2"/>
    <w:rsid w:val="005A43FB"/>
    <w:rsid w:val="005A4496"/>
    <w:rsid w:val="005A44A2"/>
    <w:rsid w:val="005A44C4"/>
    <w:rsid w:val="005A44E1"/>
    <w:rsid w:val="005A451C"/>
    <w:rsid w:val="005A4584"/>
    <w:rsid w:val="005A4627"/>
    <w:rsid w:val="005A46A8"/>
    <w:rsid w:val="005A46BD"/>
    <w:rsid w:val="005A4740"/>
    <w:rsid w:val="005A4773"/>
    <w:rsid w:val="005A47AE"/>
    <w:rsid w:val="005A47B2"/>
    <w:rsid w:val="005A4814"/>
    <w:rsid w:val="005A485C"/>
    <w:rsid w:val="005A4936"/>
    <w:rsid w:val="005A49FF"/>
    <w:rsid w:val="005A4A31"/>
    <w:rsid w:val="005A4AD1"/>
    <w:rsid w:val="005A4B50"/>
    <w:rsid w:val="005A4DF3"/>
    <w:rsid w:val="005A4EC4"/>
    <w:rsid w:val="005A4F56"/>
    <w:rsid w:val="005A5096"/>
    <w:rsid w:val="005A511E"/>
    <w:rsid w:val="005A5190"/>
    <w:rsid w:val="005A51C7"/>
    <w:rsid w:val="005A521C"/>
    <w:rsid w:val="005A5298"/>
    <w:rsid w:val="005A52B7"/>
    <w:rsid w:val="005A52C8"/>
    <w:rsid w:val="005A5356"/>
    <w:rsid w:val="005A539D"/>
    <w:rsid w:val="005A53B3"/>
    <w:rsid w:val="005A53FA"/>
    <w:rsid w:val="005A555C"/>
    <w:rsid w:val="005A556E"/>
    <w:rsid w:val="005A5597"/>
    <w:rsid w:val="005A55AF"/>
    <w:rsid w:val="005A570B"/>
    <w:rsid w:val="005A57AF"/>
    <w:rsid w:val="005A57F0"/>
    <w:rsid w:val="005A586F"/>
    <w:rsid w:val="005A58CB"/>
    <w:rsid w:val="005A594A"/>
    <w:rsid w:val="005A5A27"/>
    <w:rsid w:val="005A5A9F"/>
    <w:rsid w:val="005A5AC3"/>
    <w:rsid w:val="005A5B8A"/>
    <w:rsid w:val="005A5C7A"/>
    <w:rsid w:val="005A5D93"/>
    <w:rsid w:val="005A5E27"/>
    <w:rsid w:val="005A5E80"/>
    <w:rsid w:val="005A5EE4"/>
    <w:rsid w:val="005A5F05"/>
    <w:rsid w:val="005A5F27"/>
    <w:rsid w:val="005A5F4C"/>
    <w:rsid w:val="005A614F"/>
    <w:rsid w:val="005A6182"/>
    <w:rsid w:val="005A61F6"/>
    <w:rsid w:val="005A6300"/>
    <w:rsid w:val="005A6321"/>
    <w:rsid w:val="005A6380"/>
    <w:rsid w:val="005A6402"/>
    <w:rsid w:val="005A640B"/>
    <w:rsid w:val="005A6421"/>
    <w:rsid w:val="005A6544"/>
    <w:rsid w:val="005A65F2"/>
    <w:rsid w:val="005A6684"/>
    <w:rsid w:val="005A66CE"/>
    <w:rsid w:val="005A67F1"/>
    <w:rsid w:val="005A685D"/>
    <w:rsid w:val="005A6918"/>
    <w:rsid w:val="005A69E9"/>
    <w:rsid w:val="005A6A14"/>
    <w:rsid w:val="005A6A6A"/>
    <w:rsid w:val="005A6A9D"/>
    <w:rsid w:val="005A6B57"/>
    <w:rsid w:val="005A6B82"/>
    <w:rsid w:val="005A6BC5"/>
    <w:rsid w:val="005A6BEB"/>
    <w:rsid w:val="005A6C5D"/>
    <w:rsid w:val="005A6C9D"/>
    <w:rsid w:val="005A6CC7"/>
    <w:rsid w:val="005A6D48"/>
    <w:rsid w:val="005A6D72"/>
    <w:rsid w:val="005A6DA1"/>
    <w:rsid w:val="005A6DDC"/>
    <w:rsid w:val="005A6E87"/>
    <w:rsid w:val="005A6EC1"/>
    <w:rsid w:val="005A6EDA"/>
    <w:rsid w:val="005A6FA6"/>
    <w:rsid w:val="005A703E"/>
    <w:rsid w:val="005A70C0"/>
    <w:rsid w:val="005A7110"/>
    <w:rsid w:val="005A71EB"/>
    <w:rsid w:val="005A7234"/>
    <w:rsid w:val="005A724A"/>
    <w:rsid w:val="005A7288"/>
    <w:rsid w:val="005A729E"/>
    <w:rsid w:val="005A737F"/>
    <w:rsid w:val="005A747D"/>
    <w:rsid w:val="005A74F6"/>
    <w:rsid w:val="005A751A"/>
    <w:rsid w:val="005A752E"/>
    <w:rsid w:val="005A75B3"/>
    <w:rsid w:val="005A7604"/>
    <w:rsid w:val="005A763C"/>
    <w:rsid w:val="005A7651"/>
    <w:rsid w:val="005A76F0"/>
    <w:rsid w:val="005A773E"/>
    <w:rsid w:val="005A788E"/>
    <w:rsid w:val="005A78F8"/>
    <w:rsid w:val="005A7AC3"/>
    <w:rsid w:val="005A7BF8"/>
    <w:rsid w:val="005A7BFC"/>
    <w:rsid w:val="005A7CAD"/>
    <w:rsid w:val="005A7DA7"/>
    <w:rsid w:val="005A7DC7"/>
    <w:rsid w:val="005A7DE8"/>
    <w:rsid w:val="005A7EC3"/>
    <w:rsid w:val="005A7F48"/>
    <w:rsid w:val="005A7F4B"/>
    <w:rsid w:val="005A7F5A"/>
    <w:rsid w:val="005A7FCF"/>
    <w:rsid w:val="005A975D"/>
    <w:rsid w:val="005B003A"/>
    <w:rsid w:val="005B006C"/>
    <w:rsid w:val="005B00D2"/>
    <w:rsid w:val="005B0148"/>
    <w:rsid w:val="005B019A"/>
    <w:rsid w:val="005B01FA"/>
    <w:rsid w:val="005B0315"/>
    <w:rsid w:val="005B0321"/>
    <w:rsid w:val="005B032A"/>
    <w:rsid w:val="005B032F"/>
    <w:rsid w:val="005B03A2"/>
    <w:rsid w:val="005B040D"/>
    <w:rsid w:val="005B044C"/>
    <w:rsid w:val="005B05B0"/>
    <w:rsid w:val="005B0624"/>
    <w:rsid w:val="005B067A"/>
    <w:rsid w:val="005B06C7"/>
    <w:rsid w:val="005B0886"/>
    <w:rsid w:val="005B089E"/>
    <w:rsid w:val="005B0930"/>
    <w:rsid w:val="005B093D"/>
    <w:rsid w:val="005B0988"/>
    <w:rsid w:val="005B09BD"/>
    <w:rsid w:val="005B0AB6"/>
    <w:rsid w:val="005B0AC6"/>
    <w:rsid w:val="005B0AD6"/>
    <w:rsid w:val="005B0B50"/>
    <w:rsid w:val="005B0B61"/>
    <w:rsid w:val="005B0B81"/>
    <w:rsid w:val="005B0C09"/>
    <w:rsid w:val="005B0C4D"/>
    <w:rsid w:val="005B0C6D"/>
    <w:rsid w:val="005B0D07"/>
    <w:rsid w:val="005B0D80"/>
    <w:rsid w:val="005B0D82"/>
    <w:rsid w:val="005B0F40"/>
    <w:rsid w:val="005B0F8E"/>
    <w:rsid w:val="005B1038"/>
    <w:rsid w:val="005B106B"/>
    <w:rsid w:val="005B106E"/>
    <w:rsid w:val="005B10A7"/>
    <w:rsid w:val="005B10BF"/>
    <w:rsid w:val="005B11C0"/>
    <w:rsid w:val="005B1272"/>
    <w:rsid w:val="005B12BA"/>
    <w:rsid w:val="005B12C6"/>
    <w:rsid w:val="005B12ED"/>
    <w:rsid w:val="005B1408"/>
    <w:rsid w:val="005B1428"/>
    <w:rsid w:val="005B14A6"/>
    <w:rsid w:val="005B15D8"/>
    <w:rsid w:val="005B15FF"/>
    <w:rsid w:val="005B1622"/>
    <w:rsid w:val="005B16E4"/>
    <w:rsid w:val="005B17B8"/>
    <w:rsid w:val="005B1820"/>
    <w:rsid w:val="005B18A1"/>
    <w:rsid w:val="005B18A8"/>
    <w:rsid w:val="005B18D2"/>
    <w:rsid w:val="005B196C"/>
    <w:rsid w:val="005B19DE"/>
    <w:rsid w:val="005B19EF"/>
    <w:rsid w:val="005B1A6B"/>
    <w:rsid w:val="005B1A92"/>
    <w:rsid w:val="005B1AB1"/>
    <w:rsid w:val="005B1B65"/>
    <w:rsid w:val="005B1B6A"/>
    <w:rsid w:val="005B1B81"/>
    <w:rsid w:val="005B1BD9"/>
    <w:rsid w:val="005B1BFA"/>
    <w:rsid w:val="005B1C3C"/>
    <w:rsid w:val="005B1C99"/>
    <w:rsid w:val="005B1CDB"/>
    <w:rsid w:val="005B1D2F"/>
    <w:rsid w:val="005B1D39"/>
    <w:rsid w:val="005B1D3D"/>
    <w:rsid w:val="005B1DEF"/>
    <w:rsid w:val="005B1E04"/>
    <w:rsid w:val="005B1E17"/>
    <w:rsid w:val="005B1E9E"/>
    <w:rsid w:val="005B1F6B"/>
    <w:rsid w:val="005B2020"/>
    <w:rsid w:val="005B20CE"/>
    <w:rsid w:val="005B21BC"/>
    <w:rsid w:val="005B21E0"/>
    <w:rsid w:val="005B2214"/>
    <w:rsid w:val="005B2247"/>
    <w:rsid w:val="005B22BA"/>
    <w:rsid w:val="005B22D2"/>
    <w:rsid w:val="005B2345"/>
    <w:rsid w:val="005B238D"/>
    <w:rsid w:val="005B23E1"/>
    <w:rsid w:val="005B244F"/>
    <w:rsid w:val="005B255B"/>
    <w:rsid w:val="005B26BF"/>
    <w:rsid w:val="005B2700"/>
    <w:rsid w:val="005B2703"/>
    <w:rsid w:val="005B2732"/>
    <w:rsid w:val="005B2741"/>
    <w:rsid w:val="005B277A"/>
    <w:rsid w:val="005B2780"/>
    <w:rsid w:val="005B2806"/>
    <w:rsid w:val="005B289B"/>
    <w:rsid w:val="005B2914"/>
    <w:rsid w:val="005B2928"/>
    <w:rsid w:val="005B293D"/>
    <w:rsid w:val="005B2979"/>
    <w:rsid w:val="005B29F8"/>
    <w:rsid w:val="005B2A03"/>
    <w:rsid w:val="005B2A31"/>
    <w:rsid w:val="005B2A33"/>
    <w:rsid w:val="005B2A72"/>
    <w:rsid w:val="005B2A89"/>
    <w:rsid w:val="005B2A95"/>
    <w:rsid w:val="005B2B69"/>
    <w:rsid w:val="005B2B90"/>
    <w:rsid w:val="005B2B9F"/>
    <w:rsid w:val="005B2C26"/>
    <w:rsid w:val="005B2C4F"/>
    <w:rsid w:val="005B2C75"/>
    <w:rsid w:val="005B2D81"/>
    <w:rsid w:val="005B2E16"/>
    <w:rsid w:val="005B2E28"/>
    <w:rsid w:val="005B2F30"/>
    <w:rsid w:val="005B304B"/>
    <w:rsid w:val="005B30F3"/>
    <w:rsid w:val="005B3102"/>
    <w:rsid w:val="005B3104"/>
    <w:rsid w:val="005B31D0"/>
    <w:rsid w:val="005B322D"/>
    <w:rsid w:val="005B32A1"/>
    <w:rsid w:val="005B32C0"/>
    <w:rsid w:val="005B32DE"/>
    <w:rsid w:val="005B32F1"/>
    <w:rsid w:val="005B330E"/>
    <w:rsid w:val="005B3356"/>
    <w:rsid w:val="005B3378"/>
    <w:rsid w:val="005B338B"/>
    <w:rsid w:val="005B33C6"/>
    <w:rsid w:val="005B3452"/>
    <w:rsid w:val="005B3467"/>
    <w:rsid w:val="005B3489"/>
    <w:rsid w:val="005B34AC"/>
    <w:rsid w:val="005B351D"/>
    <w:rsid w:val="005B35B8"/>
    <w:rsid w:val="005B35C5"/>
    <w:rsid w:val="005B364A"/>
    <w:rsid w:val="005B3691"/>
    <w:rsid w:val="005B36AE"/>
    <w:rsid w:val="005B36B8"/>
    <w:rsid w:val="005B36EB"/>
    <w:rsid w:val="005B371C"/>
    <w:rsid w:val="005B37AB"/>
    <w:rsid w:val="005B37AF"/>
    <w:rsid w:val="005B37D2"/>
    <w:rsid w:val="005B387B"/>
    <w:rsid w:val="005B39F1"/>
    <w:rsid w:val="005B3A56"/>
    <w:rsid w:val="005B3A84"/>
    <w:rsid w:val="005B3AD5"/>
    <w:rsid w:val="005B3ADC"/>
    <w:rsid w:val="005B3AEB"/>
    <w:rsid w:val="005B3B52"/>
    <w:rsid w:val="005B3BA1"/>
    <w:rsid w:val="005B3BF6"/>
    <w:rsid w:val="005B3C16"/>
    <w:rsid w:val="005B3D60"/>
    <w:rsid w:val="005B3D84"/>
    <w:rsid w:val="005B3DCD"/>
    <w:rsid w:val="005B3DF6"/>
    <w:rsid w:val="005B3E41"/>
    <w:rsid w:val="005B3E4A"/>
    <w:rsid w:val="005B3E6B"/>
    <w:rsid w:val="005B3F12"/>
    <w:rsid w:val="005B3F21"/>
    <w:rsid w:val="005B3FAC"/>
    <w:rsid w:val="005B4053"/>
    <w:rsid w:val="005B41B2"/>
    <w:rsid w:val="005B41B8"/>
    <w:rsid w:val="005B41DE"/>
    <w:rsid w:val="005B420C"/>
    <w:rsid w:val="005B421B"/>
    <w:rsid w:val="005B4289"/>
    <w:rsid w:val="005B4397"/>
    <w:rsid w:val="005B43D1"/>
    <w:rsid w:val="005B4409"/>
    <w:rsid w:val="005B445F"/>
    <w:rsid w:val="005B44F5"/>
    <w:rsid w:val="005B45AB"/>
    <w:rsid w:val="005B45D5"/>
    <w:rsid w:val="005B45D8"/>
    <w:rsid w:val="005B45E5"/>
    <w:rsid w:val="005B4638"/>
    <w:rsid w:val="005B4675"/>
    <w:rsid w:val="005B4693"/>
    <w:rsid w:val="005B46BC"/>
    <w:rsid w:val="005B46D5"/>
    <w:rsid w:val="005B46FE"/>
    <w:rsid w:val="005B471F"/>
    <w:rsid w:val="005B47CB"/>
    <w:rsid w:val="005B4803"/>
    <w:rsid w:val="005B486E"/>
    <w:rsid w:val="005B48A2"/>
    <w:rsid w:val="005B48BA"/>
    <w:rsid w:val="005B49B3"/>
    <w:rsid w:val="005B4A4B"/>
    <w:rsid w:val="005B4AB0"/>
    <w:rsid w:val="005B4ACA"/>
    <w:rsid w:val="005B4AF3"/>
    <w:rsid w:val="005B4B06"/>
    <w:rsid w:val="005B4BBF"/>
    <w:rsid w:val="005B4BC8"/>
    <w:rsid w:val="005B4C26"/>
    <w:rsid w:val="005B4CF1"/>
    <w:rsid w:val="005B4DF1"/>
    <w:rsid w:val="005B4EF1"/>
    <w:rsid w:val="005B4F23"/>
    <w:rsid w:val="005B4F55"/>
    <w:rsid w:val="005B4F75"/>
    <w:rsid w:val="005B50D8"/>
    <w:rsid w:val="005B52C3"/>
    <w:rsid w:val="005B5413"/>
    <w:rsid w:val="005B5437"/>
    <w:rsid w:val="005B5454"/>
    <w:rsid w:val="005B553C"/>
    <w:rsid w:val="005B5592"/>
    <w:rsid w:val="005B56E5"/>
    <w:rsid w:val="005B5792"/>
    <w:rsid w:val="005B57CE"/>
    <w:rsid w:val="005B5837"/>
    <w:rsid w:val="005B589E"/>
    <w:rsid w:val="005B5943"/>
    <w:rsid w:val="005B59C2"/>
    <w:rsid w:val="005B5A3D"/>
    <w:rsid w:val="005B5A6C"/>
    <w:rsid w:val="005B5A73"/>
    <w:rsid w:val="005B5C4B"/>
    <w:rsid w:val="005B5C78"/>
    <w:rsid w:val="005B5C7F"/>
    <w:rsid w:val="005B5CEC"/>
    <w:rsid w:val="005B5D6C"/>
    <w:rsid w:val="005B5DDD"/>
    <w:rsid w:val="005B5DEC"/>
    <w:rsid w:val="005B5EF4"/>
    <w:rsid w:val="005B5F2D"/>
    <w:rsid w:val="005B5FBA"/>
    <w:rsid w:val="005B5FD3"/>
    <w:rsid w:val="005B5FF2"/>
    <w:rsid w:val="005B5FF5"/>
    <w:rsid w:val="005B6047"/>
    <w:rsid w:val="005B609B"/>
    <w:rsid w:val="005B60B1"/>
    <w:rsid w:val="005B61A9"/>
    <w:rsid w:val="005B6323"/>
    <w:rsid w:val="005B63FF"/>
    <w:rsid w:val="005B651D"/>
    <w:rsid w:val="005B65B6"/>
    <w:rsid w:val="005B65E3"/>
    <w:rsid w:val="005B66CB"/>
    <w:rsid w:val="005B66D7"/>
    <w:rsid w:val="005B66DF"/>
    <w:rsid w:val="005B6868"/>
    <w:rsid w:val="005B68E0"/>
    <w:rsid w:val="005B6933"/>
    <w:rsid w:val="005B6960"/>
    <w:rsid w:val="005B6976"/>
    <w:rsid w:val="005B69EA"/>
    <w:rsid w:val="005B6A4A"/>
    <w:rsid w:val="005B6AAA"/>
    <w:rsid w:val="005B6AAC"/>
    <w:rsid w:val="005B6BCB"/>
    <w:rsid w:val="005B6BFF"/>
    <w:rsid w:val="005B6C20"/>
    <w:rsid w:val="005B6D96"/>
    <w:rsid w:val="005B6DFD"/>
    <w:rsid w:val="005B6E45"/>
    <w:rsid w:val="005B6E83"/>
    <w:rsid w:val="005B6EDD"/>
    <w:rsid w:val="005B6EE9"/>
    <w:rsid w:val="005B6F13"/>
    <w:rsid w:val="005B7024"/>
    <w:rsid w:val="005B7072"/>
    <w:rsid w:val="005B70F1"/>
    <w:rsid w:val="005B713F"/>
    <w:rsid w:val="005B7242"/>
    <w:rsid w:val="005B7273"/>
    <w:rsid w:val="005B7327"/>
    <w:rsid w:val="005B732E"/>
    <w:rsid w:val="005B735B"/>
    <w:rsid w:val="005B737A"/>
    <w:rsid w:val="005B73B6"/>
    <w:rsid w:val="005B73F4"/>
    <w:rsid w:val="005B745F"/>
    <w:rsid w:val="005B752E"/>
    <w:rsid w:val="005B75F0"/>
    <w:rsid w:val="005B7686"/>
    <w:rsid w:val="005B76D9"/>
    <w:rsid w:val="005B779C"/>
    <w:rsid w:val="005B781C"/>
    <w:rsid w:val="005B7827"/>
    <w:rsid w:val="005B78C2"/>
    <w:rsid w:val="005B78F8"/>
    <w:rsid w:val="005B794A"/>
    <w:rsid w:val="005B7955"/>
    <w:rsid w:val="005B796F"/>
    <w:rsid w:val="005B7A0A"/>
    <w:rsid w:val="005B7A54"/>
    <w:rsid w:val="005B7A75"/>
    <w:rsid w:val="005B7BD3"/>
    <w:rsid w:val="005B7C38"/>
    <w:rsid w:val="005B7CB2"/>
    <w:rsid w:val="005B7D6C"/>
    <w:rsid w:val="005B7D70"/>
    <w:rsid w:val="005B7E60"/>
    <w:rsid w:val="005C000B"/>
    <w:rsid w:val="005C00CF"/>
    <w:rsid w:val="005C0121"/>
    <w:rsid w:val="005C0196"/>
    <w:rsid w:val="005C01BA"/>
    <w:rsid w:val="005C0203"/>
    <w:rsid w:val="005C0223"/>
    <w:rsid w:val="005C0378"/>
    <w:rsid w:val="005C037B"/>
    <w:rsid w:val="005C03E9"/>
    <w:rsid w:val="005C0434"/>
    <w:rsid w:val="005C04A2"/>
    <w:rsid w:val="005C04EE"/>
    <w:rsid w:val="005C059F"/>
    <w:rsid w:val="005C05B5"/>
    <w:rsid w:val="005C05E4"/>
    <w:rsid w:val="005C060D"/>
    <w:rsid w:val="005C0678"/>
    <w:rsid w:val="005C06D3"/>
    <w:rsid w:val="005C06FB"/>
    <w:rsid w:val="005C073B"/>
    <w:rsid w:val="005C079F"/>
    <w:rsid w:val="005C07AA"/>
    <w:rsid w:val="005C07EB"/>
    <w:rsid w:val="005C0840"/>
    <w:rsid w:val="005C08D3"/>
    <w:rsid w:val="005C08EC"/>
    <w:rsid w:val="005C0923"/>
    <w:rsid w:val="005C094F"/>
    <w:rsid w:val="005C0977"/>
    <w:rsid w:val="005C09CC"/>
    <w:rsid w:val="005C0AF8"/>
    <w:rsid w:val="005C0B1A"/>
    <w:rsid w:val="005C0B1B"/>
    <w:rsid w:val="005C0C23"/>
    <w:rsid w:val="005C0C63"/>
    <w:rsid w:val="005C0EC0"/>
    <w:rsid w:val="005C0F08"/>
    <w:rsid w:val="005C0F2B"/>
    <w:rsid w:val="005C1031"/>
    <w:rsid w:val="005C1100"/>
    <w:rsid w:val="005C11B0"/>
    <w:rsid w:val="005C11BA"/>
    <w:rsid w:val="005C1234"/>
    <w:rsid w:val="005C1259"/>
    <w:rsid w:val="005C1288"/>
    <w:rsid w:val="005C12DA"/>
    <w:rsid w:val="005C1303"/>
    <w:rsid w:val="005C1365"/>
    <w:rsid w:val="005C138D"/>
    <w:rsid w:val="005C1472"/>
    <w:rsid w:val="005C1493"/>
    <w:rsid w:val="005C1512"/>
    <w:rsid w:val="005C15C8"/>
    <w:rsid w:val="005C169F"/>
    <w:rsid w:val="005C16B5"/>
    <w:rsid w:val="005C16C8"/>
    <w:rsid w:val="005C1790"/>
    <w:rsid w:val="005C17E8"/>
    <w:rsid w:val="005C1810"/>
    <w:rsid w:val="005C1882"/>
    <w:rsid w:val="005C18AF"/>
    <w:rsid w:val="005C18B2"/>
    <w:rsid w:val="005C18F6"/>
    <w:rsid w:val="005C18F8"/>
    <w:rsid w:val="005C1936"/>
    <w:rsid w:val="005C1956"/>
    <w:rsid w:val="005C19B6"/>
    <w:rsid w:val="005C19ED"/>
    <w:rsid w:val="005C19F4"/>
    <w:rsid w:val="005C1A13"/>
    <w:rsid w:val="005C1A18"/>
    <w:rsid w:val="005C1A38"/>
    <w:rsid w:val="005C1B37"/>
    <w:rsid w:val="005C1B4B"/>
    <w:rsid w:val="005C1B5D"/>
    <w:rsid w:val="005C1B95"/>
    <w:rsid w:val="005C1B9F"/>
    <w:rsid w:val="005C1BE5"/>
    <w:rsid w:val="005C1BEC"/>
    <w:rsid w:val="005C1C51"/>
    <w:rsid w:val="005C1CA1"/>
    <w:rsid w:val="005C1CBA"/>
    <w:rsid w:val="005C1D9B"/>
    <w:rsid w:val="005C1E74"/>
    <w:rsid w:val="005C1E85"/>
    <w:rsid w:val="005C1F8C"/>
    <w:rsid w:val="005C209B"/>
    <w:rsid w:val="005C20AC"/>
    <w:rsid w:val="005C20B2"/>
    <w:rsid w:val="005C20F3"/>
    <w:rsid w:val="005C212F"/>
    <w:rsid w:val="005C21B3"/>
    <w:rsid w:val="005C21E0"/>
    <w:rsid w:val="005C224E"/>
    <w:rsid w:val="005C22D2"/>
    <w:rsid w:val="005C22ED"/>
    <w:rsid w:val="005C2304"/>
    <w:rsid w:val="005C2313"/>
    <w:rsid w:val="005C233A"/>
    <w:rsid w:val="005C2342"/>
    <w:rsid w:val="005C23C2"/>
    <w:rsid w:val="005C2411"/>
    <w:rsid w:val="005C2469"/>
    <w:rsid w:val="005C246E"/>
    <w:rsid w:val="005C24B9"/>
    <w:rsid w:val="005C2534"/>
    <w:rsid w:val="005C254C"/>
    <w:rsid w:val="005C2574"/>
    <w:rsid w:val="005C25B0"/>
    <w:rsid w:val="005C2649"/>
    <w:rsid w:val="005C26DB"/>
    <w:rsid w:val="005C26FF"/>
    <w:rsid w:val="005C2704"/>
    <w:rsid w:val="005C2746"/>
    <w:rsid w:val="005C2768"/>
    <w:rsid w:val="005C27FF"/>
    <w:rsid w:val="005C282D"/>
    <w:rsid w:val="005C28DB"/>
    <w:rsid w:val="005C28DF"/>
    <w:rsid w:val="005C2B15"/>
    <w:rsid w:val="005C2B1D"/>
    <w:rsid w:val="005C2BAC"/>
    <w:rsid w:val="005C2C0F"/>
    <w:rsid w:val="005C2C51"/>
    <w:rsid w:val="005C2D96"/>
    <w:rsid w:val="005C2DE0"/>
    <w:rsid w:val="005C2EDD"/>
    <w:rsid w:val="005C2F15"/>
    <w:rsid w:val="005C2F3C"/>
    <w:rsid w:val="005C2F7F"/>
    <w:rsid w:val="005C2F81"/>
    <w:rsid w:val="005C3000"/>
    <w:rsid w:val="005C30D1"/>
    <w:rsid w:val="005C30E4"/>
    <w:rsid w:val="005C3139"/>
    <w:rsid w:val="005C3149"/>
    <w:rsid w:val="005C31BC"/>
    <w:rsid w:val="005C31C5"/>
    <w:rsid w:val="005C3239"/>
    <w:rsid w:val="005C32AD"/>
    <w:rsid w:val="005C32B5"/>
    <w:rsid w:val="005C32C5"/>
    <w:rsid w:val="005C32F5"/>
    <w:rsid w:val="005C32F6"/>
    <w:rsid w:val="005C3324"/>
    <w:rsid w:val="005C337B"/>
    <w:rsid w:val="005C342B"/>
    <w:rsid w:val="005C350D"/>
    <w:rsid w:val="005C3536"/>
    <w:rsid w:val="005C35A3"/>
    <w:rsid w:val="005C35CD"/>
    <w:rsid w:val="005C35FA"/>
    <w:rsid w:val="005C3628"/>
    <w:rsid w:val="005C362D"/>
    <w:rsid w:val="005C3630"/>
    <w:rsid w:val="005C3652"/>
    <w:rsid w:val="005C368A"/>
    <w:rsid w:val="005C36EB"/>
    <w:rsid w:val="005C3706"/>
    <w:rsid w:val="005C3812"/>
    <w:rsid w:val="005C3878"/>
    <w:rsid w:val="005C38B5"/>
    <w:rsid w:val="005C3943"/>
    <w:rsid w:val="005C3A18"/>
    <w:rsid w:val="005C3B1D"/>
    <w:rsid w:val="005C3B32"/>
    <w:rsid w:val="005C3B96"/>
    <w:rsid w:val="005C3BB1"/>
    <w:rsid w:val="005C3BC2"/>
    <w:rsid w:val="005C3BEF"/>
    <w:rsid w:val="005C3C37"/>
    <w:rsid w:val="005C3C74"/>
    <w:rsid w:val="005C3D15"/>
    <w:rsid w:val="005C3D64"/>
    <w:rsid w:val="005C3D90"/>
    <w:rsid w:val="005C3D9A"/>
    <w:rsid w:val="005C3DA7"/>
    <w:rsid w:val="005C3DCC"/>
    <w:rsid w:val="005C3E43"/>
    <w:rsid w:val="005C4054"/>
    <w:rsid w:val="005C43B0"/>
    <w:rsid w:val="005C44CF"/>
    <w:rsid w:val="005C4505"/>
    <w:rsid w:val="005C45AB"/>
    <w:rsid w:val="005C4647"/>
    <w:rsid w:val="005C4672"/>
    <w:rsid w:val="005C46C2"/>
    <w:rsid w:val="005C46E8"/>
    <w:rsid w:val="005C4743"/>
    <w:rsid w:val="005C4778"/>
    <w:rsid w:val="005C4797"/>
    <w:rsid w:val="005C47DF"/>
    <w:rsid w:val="005C4819"/>
    <w:rsid w:val="005C487F"/>
    <w:rsid w:val="005C4897"/>
    <w:rsid w:val="005C48FC"/>
    <w:rsid w:val="005C492E"/>
    <w:rsid w:val="005C4A81"/>
    <w:rsid w:val="005C4B13"/>
    <w:rsid w:val="005C4BCC"/>
    <w:rsid w:val="005C4CB9"/>
    <w:rsid w:val="005C4D72"/>
    <w:rsid w:val="005C4D74"/>
    <w:rsid w:val="005C4DD0"/>
    <w:rsid w:val="005C4DDC"/>
    <w:rsid w:val="005C4E0D"/>
    <w:rsid w:val="005C4E15"/>
    <w:rsid w:val="005C4E54"/>
    <w:rsid w:val="005C4E9F"/>
    <w:rsid w:val="005C4EDD"/>
    <w:rsid w:val="005C4EF6"/>
    <w:rsid w:val="005C4FAE"/>
    <w:rsid w:val="005C4FED"/>
    <w:rsid w:val="005C5019"/>
    <w:rsid w:val="005C5039"/>
    <w:rsid w:val="005C5060"/>
    <w:rsid w:val="005C5081"/>
    <w:rsid w:val="005C5113"/>
    <w:rsid w:val="005C512B"/>
    <w:rsid w:val="005C5201"/>
    <w:rsid w:val="005C5244"/>
    <w:rsid w:val="005C527B"/>
    <w:rsid w:val="005C53A2"/>
    <w:rsid w:val="005C53F6"/>
    <w:rsid w:val="005C5408"/>
    <w:rsid w:val="005C54B4"/>
    <w:rsid w:val="005C54D3"/>
    <w:rsid w:val="005C55C3"/>
    <w:rsid w:val="005C5652"/>
    <w:rsid w:val="005C565C"/>
    <w:rsid w:val="005C5726"/>
    <w:rsid w:val="005C57C1"/>
    <w:rsid w:val="005C57F1"/>
    <w:rsid w:val="005C5819"/>
    <w:rsid w:val="005C592A"/>
    <w:rsid w:val="005C5983"/>
    <w:rsid w:val="005C59DC"/>
    <w:rsid w:val="005C59E2"/>
    <w:rsid w:val="005C5A13"/>
    <w:rsid w:val="005C5A8F"/>
    <w:rsid w:val="005C5A9B"/>
    <w:rsid w:val="005C5AF3"/>
    <w:rsid w:val="005C5C7C"/>
    <w:rsid w:val="005C5CB2"/>
    <w:rsid w:val="005C5CE6"/>
    <w:rsid w:val="005C5D01"/>
    <w:rsid w:val="005C5D48"/>
    <w:rsid w:val="005C5D79"/>
    <w:rsid w:val="005C5DB3"/>
    <w:rsid w:val="005C5E0A"/>
    <w:rsid w:val="005C5E68"/>
    <w:rsid w:val="005C5EB6"/>
    <w:rsid w:val="005C5EC0"/>
    <w:rsid w:val="005C5F55"/>
    <w:rsid w:val="005C5F72"/>
    <w:rsid w:val="005C5F7C"/>
    <w:rsid w:val="005C60CE"/>
    <w:rsid w:val="005C60E2"/>
    <w:rsid w:val="005C60F4"/>
    <w:rsid w:val="005C610B"/>
    <w:rsid w:val="005C62AB"/>
    <w:rsid w:val="005C6319"/>
    <w:rsid w:val="005C63B7"/>
    <w:rsid w:val="005C63D7"/>
    <w:rsid w:val="005C641E"/>
    <w:rsid w:val="005C64C7"/>
    <w:rsid w:val="005C64F4"/>
    <w:rsid w:val="005C6537"/>
    <w:rsid w:val="005C65B2"/>
    <w:rsid w:val="005C65DB"/>
    <w:rsid w:val="005C6611"/>
    <w:rsid w:val="005C665F"/>
    <w:rsid w:val="005C66A6"/>
    <w:rsid w:val="005C672B"/>
    <w:rsid w:val="005C672F"/>
    <w:rsid w:val="005C6809"/>
    <w:rsid w:val="005C6819"/>
    <w:rsid w:val="005C68D3"/>
    <w:rsid w:val="005C6904"/>
    <w:rsid w:val="005C6935"/>
    <w:rsid w:val="005C69C7"/>
    <w:rsid w:val="005C69E2"/>
    <w:rsid w:val="005C6A9C"/>
    <w:rsid w:val="005C6AC3"/>
    <w:rsid w:val="005C6B3E"/>
    <w:rsid w:val="005C6B58"/>
    <w:rsid w:val="005C6BAD"/>
    <w:rsid w:val="005C6D9A"/>
    <w:rsid w:val="005C6E83"/>
    <w:rsid w:val="005C6F69"/>
    <w:rsid w:val="005C6F9C"/>
    <w:rsid w:val="005C6FEC"/>
    <w:rsid w:val="005C7038"/>
    <w:rsid w:val="005C70B2"/>
    <w:rsid w:val="005C70F8"/>
    <w:rsid w:val="005C715F"/>
    <w:rsid w:val="005C71EA"/>
    <w:rsid w:val="005C72BD"/>
    <w:rsid w:val="005C72E0"/>
    <w:rsid w:val="005C7312"/>
    <w:rsid w:val="005C732C"/>
    <w:rsid w:val="005C739A"/>
    <w:rsid w:val="005C73E8"/>
    <w:rsid w:val="005C74DF"/>
    <w:rsid w:val="005C74FB"/>
    <w:rsid w:val="005C7538"/>
    <w:rsid w:val="005C756A"/>
    <w:rsid w:val="005C759B"/>
    <w:rsid w:val="005C764A"/>
    <w:rsid w:val="005C776A"/>
    <w:rsid w:val="005C7770"/>
    <w:rsid w:val="005C77F9"/>
    <w:rsid w:val="005C7819"/>
    <w:rsid w:val="005C786E"/>
    <w:rsid w:val="005C78C5"/>
    <w:rsid w:val="005C7944"/>
    <w:rsid w:val="005C7A8E"/>
    <w:rsid w:val="005C7B42"/>
    <w:rsid w:val="005C7BFC"/>
    <w:rsid w:val="005C7C38"/>
    <w:rsid w:val="005C7C9A"/>
    <w:rsid w:val="005C7D66"/>
    <w:rsid w:val="005C7D8D"/>
    <w:rsid w:val="005C7DAE"/>
    <w:rsid w:val="005C7DC6"/>
    <w:rsid w:val="005C7DE7"/>
    <w:rsid w:val="005C7E1C"/>
    <w:rsid w:val="005C7F2D"/>
    <w:rsid w:val="005C7F40"/>
    <w:rsid w:val="005C7F71"/>
    <w:rsid w:val="005D002D"/>
    <w:rsid w:val="005D00A4"/>
    <w:rsid w:val="005D014D"/>
    <w:rsid w:val="005D0186"/>
    <w:rsid w:val="005D01CD"/>
    <w:rsid w:val="005D022F"/>
    <w:rsid w:val="005D0242"/>
    <w:rsid w:val="005D0296"/>
    <w:rsid w:val="005D02B7"/>
    <w:rsid w:val="005D02F0"/>
    <w:rsid w:val="005D0378"/>
    <w:rsid w:val="005D0385"/>
    <w:rsid w:val="005D03CA"/>
    <w:rsid w:val="005D03FD"/>
    <w:rsid w:val="005D03FF"/>
    <w:rsid w:val="005D0415"/>
    <w:rsid w:val="005D04DE"/>
    <w:rsid w:val="005D04F5"/>
    <w:rsid w:val="005D0522"/>
    <w:rsid w:val="005D0538"/>
    <w:rsid w:val="005D0541"/>
    <w:rsid w:val="005D0552"/>
    <w:rsid w:val="005D0588"/>
    <w:rsid w:val="005D05CB"/>
    <w:rsid w:val="005D05D7"/>
    <w:rsid w:val="005D084B"/>
    <w:rsid w:val="005D099A"/>
    <w:rsid w:val="005D099B"/>
    <w:rsid w:val="005D09A1"/>
    <w:rsid w:val="005D0A2F"/>
    <w:rsid w:val="005D0CB3"/>
    <w:rsid w:val="005D0CF3"/>
    <w:rsid w:val="005D0D19"/>
    <w:rsid w:val="005D0D27"/>
    <w:rsid w:val="005D0D34"/>
    <w:rsid w:val="005D0D67"/>
    <w:rsid w:val="005D0DAD"/>
    <w:rsid w:val="005D0DB4"/>
    <w:rsid w:val="005D0DD9"/>
    <w:rsid w:val="005D0DDF"/>
    <w:rsid w:val="005D0E05"/>
    <w:rsid w:val="005D0E91"/>
    <w:rsid w:val="005D0EBD"/>
    <w:rsid w:val="005D0EC7"/>
    <w:rsid w:val="005D0F5F"/>
    <w:rsid w:val="005D0F91"/>
    <w:rsid w:val="005D0F94"/>
    <w:rsid w:val="005D0FCC"/>
    <w:rsid w:val="005D1055"/>
    <w:rsid w:val="005D105D"/>
    <w:rsid w:val="005D10C5"/>
    <w:rsid w:val="005D11C8"/>
    <w:rsid w:val="005D11E5"/>
    <w:rsid w:val="005D11F8"/>
    <w:rsid w:val="005D132D"/>
    <w:rsid w:val="005D13D3"/>
    <w:rsid w:val="005D13FC"/>
    <w:rsid w:val="005D1427"/>
    <w:rsid w:val="005D1431"/>
    <w:rsid w:val="005D148B"/>
    <w:rsid w:val="005D14F5"/>
    <w:rsid w:val="005D1500"/>
    <w:rsid w:val="005D150C"/>
    <w:rsid w:val="005D154D"/>
    <w:rsid w:val="005D1582"/>
    <w:rsid w:val="005D1637"/>
    <w:rsid w:val="005D16AA"/>
    <w:rsid w:val="005D1783"/>
    <w:rsid w:val="005D17DE"/>
    <w:rsid w:val="005D1807"/>
    <w:rsid w:val="005D1898"/>
    <w:rsid w:val="005D1977"/>
    <w:rsid w:val="005D197A"/>
    <w:rsid w:val="005D19A1"/>
    <w:rsid w:val="005D19F0"/>
    <w:rsid w:val="005D1A6A"/>
    <w:rsid w:val="005D1A8E"/>
    <w:rsid w:val="005D1AB5"/>
    <w:rsid w:val="005D1B06"/>
    <w:rsid w:val="005D1B07"/>
    <w:rsid w:val="005D1D18"/>
    <w:rsid w:val="005D1D28"/>
    <w:rsid w:val="005D1E19"/>
    <w:rsid w:val="005D1E4D"/>
    <w:rsid w:val="005D1EA7"/>
    <w:rsid w:val="005D1ECF"/>
    <w:rsid w:val="005D1EDD"/>
    <w:rsid w:val="005D1EE8"/>
    <w:rsid w:val="005D1EF8"/>
    <w:rsid w:val="005D1F90"/>
    <w:rsid w:val="005D1FF6"/>
    <w:rsid w:val="005D2064"/>
    <w:rsid w:val="005D2085"/>
    <w:rsid w:val="005D2122"/>
    <w:rsid w:val="005D2124"/>
    <w:rsid w:val="005D2141"/>
    <w:rsid w:val="005D2195"/>
    <w:rsid w:val="005D2228"/>
    <w:rsid w:val="005D2238"/>
    <w:rsid w:val="005D22AC"/>
    <w:rsid w:val="005D2301"/>
    <w:rsid w:val="005D2371"/>
    <w:rsid w:val="005D2388"/>
    <w:rsid w:val="005D23D9"/>
    <w:rsid w:val="005D243E"/>
    <w:rsid w:val="005D2471"/>
    <w:rsid w:val="005D24BB"/>
    <w:rsid w:val="005D24E2"/>
    <w:rsid w:val="005D2578"/>
    <w:rsid w:val="005D25FA"/>
    <w:rsid w:val="005D262F"/>
    <w:rsid w:val="005D2681"/>
    <w:rsid w:val="005D26C2"/>
    <w:rsid w:val="005D2709"/>
    <w:rsid w:val="005D2732"/>
    <w:rsid w:val="005D27E4"/>
    <w:rsid w:val="005D2853"/>
    <w:rsid w:val="005D2883"/>
    <w:rsid w:val="005D28E7"/>
    <w:rsid w:val="005D29AF"/>
    <w:rsid w:val="005D29D2"/>
    <w:rsid w:val="005D2BAD"/>
    <w:rsid w:val="005D2BCB"/>
    <w:rsid w:val="005D2CA7"/>
    <w:rsid w:val="005D2CF3"/>
    <w:rsid w:val="005D2D83"/>
    <w:rsid w:val="005D2DB9"/>
    <w:rsid w:val="005D2E6C"/>
    <w:rsid w:val="005D2F0A"/>
    <w:rsid w:val="005D2F71"/>
    <w:rsid w:val="005D2FF7"/>
    <w:rsid w:val="005D3003"/>
    <w:rsid w:val="005D300A"/>
    <w:rsid w:val="005D3079"/>
    <w:rsid w:val="005D3087"/>
    <w:rsid w:val="005D30F1"/>
    <w:rsid w:val="005D3164"/>
    <w:rsid w:val="005D31B3"/>
    <w:rsid w:val="005D31C6"/>
    <w:rsid w:val="005D31FA"/>
    <w:rsid w:val="005D3207"/>
    <w:rsid w:val="005D323A"/>
    <w:rsid w:val="005D3298"/>
    <w:rsid w:val="005D32D0"/>
    <w:rsid w:val="005D32F6"/>
    <w:rsid w:val="005D3319"/>
    <w:rsid w:val="005D331D"/>
    <w:rsid w:val="005D3370"/>
    <w:rsid w:val="005D33AF"/>
    <w:rsid w:val="005D33FC"/>
    <w:rsid w:val="005D3554"/>
    <w:rsid w:val="005D3580"/>
    <w:rsid w:val="005D35D2"/>
    <w:rsid w:val="005D369B"/>
    <w:rsid w:val="005D3707"/>
    <w:rsid w:val="005D386F"/>
    <w:rsid w:val="005D39A7"/>
    <w:rsid w:val="005D3A00"/>
    <w:rsid w:val="005D3A94"/>
    <w:rsid w:val="005D3B1F"/>
    <w:rsid w:val="005D3B52"/>
    <w:rsid w:val="005D3B85"/>
    <w:rsid w:val="005D3BA8"/>
    <w:rsid w:val="005D3BE1"/>
    <w:rsid w:val="005D3C3A"/>
    <w:rsid w:val="005D3C9B"/>
    <w:rsid w:val="005D3CA4"/>
    <w:rsid w:val="005D3E6C"/>
    <w:rsid w:val="005D3F2C"/>
    <w:rsid w:val="005D3F64"/>
    <w:rsid w:val="005D3F85"/>
    <w:rsid w:val="005D3FBE"/>
    <w:rsid w:val="005D3FF7"/>
    <w:rsid w:val="005D40A2"/>
    <w:rsid w:val="005D4124"/>
    <w:rsid w:val="005D4172"/>
    <w:rsid w:val="005D418F"/>
    <w:rsid w:val="005D4221"/>
    <w:rsid w:val="005D4331"/>
    <w:rsid w:val="005D4447"/>
    <w:rsid w:val="005D4474"/>
    <w:rsid w:val="005D44F5"/>
    <w:rsid w:val="005D456B"/>
    <w:rsid w:val="005D45B4"/>
    <w:rsid w:val="005D45B5"/>
    <w:rsid w:val="005D461D"/>
    <w:rsid w:val="005D4622"/>
    <w:rsid w:val="005D4669"/>
    <w:rsid w:val="005D46FF"/>
    <w:rsid w:val="005D4790"/>
    <w:rsid w:val="005D47F2"/>
    <w:rsid w:val="005D483D"/>
    <w:rsid w:val="005D485C"/>
    <w:rsid w:val="005D4950"/>
    <w:rsid w:val="005D495A"/>
    <w:rsid w:val="005D4AAC"/>
    <w:rsid w:val="005D4AB1"/>
    <w:rsid w:val="005D4B6B"/>
    <w:rsid w:val="005D4C50"/>
    <w:rsid w:val="005D4CAA"/>
    <w:rsid w:val="005D4CDE"/>
    <w:rsid w:val="005D4D05"/>
    <w:rsid w:val="005D4D17"/>
    <w:rsid w:val="005D4D6D"/>
    <w:rsid w:val="005D4E59"/>
    <w:rsid w:val="005D4E96"/>
    <w:rsid w:val="005D4EC7"/>
    <w:rsid w:val="005D4EDD"/>
    <w:rsid w:val="005D4F00"/>
    <w:rsid w:val="005D4F12"/>
    <w:rsid w:val="005D4F61"/>
    <w:rsid w:val="005D4FD4"/>
    <w:rsid w:val="005D4FE4"/>
    <w:rsid w:val="005D50D3"/>
    <w:rsid w:val="005D5143"/>
    <w:rsid w:val="005D51D5"/>
    <w:rsid w:val="005D5288"/>
    <w:rsid w:val="005D533F"/>
    <w:rsid w:val="005D536D"/>
    <w:rsid w:val="005D53D3"/>
    <w:rsid w:val="005D5503"/>
    <w:rsid w:val="005D5546"/>
    <w:rsid w:val="005D5850"/>
    <w:rsid w:val="005D585C"/>
    <w:rsid w:val="005D58A8"/>
    <w:rsid w:val="005D5900"/>
    <w:rsid w:val="005D59B1"/>
    <w:rsid w:val="005D5A77"/>
    <w:rsid w:val="005D5AC3"/>
    <w:rsid w:val="005D5AEB"/>
    <w:rsid w:val="005D5AF9"/>
    <w:rsid w:val="005D5B0A"/>
    <w:rsid w:val="005D5BDB"/>
    <w:rsid w:val="005D5C1C"/>
    <w:rsid w:val="005D5C56"/>
    <w:rsid w:val="005D5CCE"/>
    <w:rsid w:val="005D5D77"/>
    <w:rsid w:val="005D5DEA"/>
    <w:rsid w:val="005D5E21"/>
    <w:rsid w:val="005D5E59"/>
    <w:rsid w:val="005D5E8D"/>
    <w:rsid w:val="005D5F00"/>
    <w:rsid w:val="005D5F8D"/>
    <w:rsid w:val="005D5FB0"/>
    <w:rsid w:val="005D5FD6"/>
    <w:rsid w:val="005D6072"/>
    <w:rsid w:val="005D60A0"/>
    <w:rsid w:val="005D60BA"/>
    <w:rsid w:val="005D61AD"/>
    <w:rsid w:val="005D6234"/>
    <w:rsid w:val="005D6283"/>
    <w:rsid w:val="005D6287"/>
    <w:rsid w:val="005D637E"/>
    <w:rsid w:val="005D63BD"/>
    <w:rsid w:val="005D643A"/>
    <w:rsid w:val="005D65E4"/>
    <w:rsid w:val="005D6635"/>
    <w:rsid w:val="005D66DC"/>
    <w:rsid w:val="005D66E1"/>
    <w:rsid w:val="005D6702"/>
    <w:rsid w:val="005D670D"/>
    <w:rsid w:val="005D6732"/>
    <w:rsid w:val="005D67CD"/>
    <w:rsid w:val="005D67E2"/>
    <w:rsid w:val="005D6804"/>
    <w:rsid w:val="005D6834"/>
    <w:rsid w:val="005D6870"/>
    <w:rsid w:val="005D688E"/>
    <w:rsid w:val="005D68CB"/>
    <w:rsid w:val="005D68E3"/>
    <w:rsid w:val="005D6977"/>
    <w:rsid w:val="005D69AF"/>
    <w:rsid w:val="005D69D3"/>
    <w:rsid w:val="005D69EE"/>
    <w:rsid w:val="005D6A62"/>
    <w:rsid w:val="005D6A64"/>
    <w:rsid w:val="005D6A69"/>
    <w:rsid w:val="005D6B6E"/>
    <w:rsid w:val="005D6B93"/>
    <w:rsid w:val="005D6D31"/>
    <w:rsid w:val="005D6D3B"/>
    <w:rsid w:val="005D6E44"/>
    <w:rsid w:val="005D6E6E"/>
    <w:rsid w:val="005D6E94"/>
    <w:rsid w:val="005D6EBA"/>
    <w:rsid w:val="005D6EC2"/>
    <w:rsid w:val="005D6EE3"/>
    <w:rsid w:val="005D6F4F"/>
    <w:rsid w:val="005D6F8E"/>
    <w:rsid w:val="005D6F95"/>
    <w:rsid w:val="005D7096"/>
    <w:rsid w:val="005D70D2"/>
    <w:rsid w:val="005D7108"/>
    <w:rsid w:val="005D7110"/>
    <w:rsid w:val="005D7159"/>
    <w:rsid w:val="005D71B9"/>
    <w:rsid w:val="005D7205"/>
    <w:rsid w:val="005D72A2"/>
    <w:rsid w:val="005D72DF"/>
    <w:rsid w:val="005D73C5"/>
    <w:rsid w:val="005D7477"/>
    <w:rsid w:val="005D75EA"/>
    <w:rsid w:val="005D7671"/>
    <w:rsid w:val="005D76BF"/>
    <w:rsid w:val="005D76F0"/>
    <w:rsid w:val="005D7790"/>
    <w:rsid w:val="005D7833"/>
    <w:rsid w:val="005D783A"/>
    <w:rsid w:val="005D7864"/>
    <w:rsid w:val="005D78DB"/>
    <w:rsid w:val="005D7942"/>
    <w:rsid w:val="005D7959"/>
    <w:rsid w:val="005D79A3"/>
    <w:rsid w:val="005D7A36"/>
    <w:rsid w:val="005D7B06"/>
    <w:rsid w:val="005D7B08"/>
    <w:rsid w:val="005D7B93"/>
    <w:rsid w:val="005D7C26"/>
    <w:rsid w:val="005D7C44"/>
    <w:rsid w:val="005D7CC3"/>
    <w:rsid w:val="005D7CDD"/>
    <w:rsid w:val="005D7D22"/>
    <w:rsid w:val="005D7DAB"/>
    <w:rsid w:val="005D7DDC"/>
    <w:rsid w:val="005D7E9B"/>
    <w:rsid w:val="005D7F8C"/>
    <w:rsid w:val="005D7FB1"/>
    <w:rsid w:val="005E013F"/>
    <w:rsid w:val="005E01E6"/>
    <w:rsid w:val="005E01E7"/>
    <w:rsid w:val="005E0214"/>
    <w:rsid w:val="005E02C3"/>
    <w:rsid w:val="005E0341"/>
    <w:rsid w:val="005E03E1"/>
    <w:rsid w:val="005E0426"/>
    <w:rsid w:val="005E04FA"/>
    <w:rsid w:val="005E0569"/>
    <w:rsid w:val="005E058B"/>
    <w:rsid w:val="005E0640"/>
    <w:rsid w:val="005E0677"/>
    <w:rsid w:val="005E0697"/>
    <w:rsid w:val="005E06C9"/>
    <w:rsid w:val="005E06E5"/>
    <w:rsid w:val="005E07BC"/>
    <w:rsid w:val="005E08BD"/>
    <w:rsid w:val="005E08D6"/>
    <w:rsid w:val="005E0936"/>
    <w:rsid w:val="005E0952"/>
    <w:rsid w:val="005E097E"/>
    <w:rsid w:val="005E09BA"/>
    <w:rsid w:val="005E09F3"/>
    <w:rsid w:val="005E0B53"/>
    <w:rsid w:val="005E0B5D"/>
    <w:rsid w:val="005E0BB7"/>
    <w:rsid w:val="005E0C59"/>
    <w:rsid w:val="005E0D91"/>
    <w:rsid w:val="005E0DBF"/>
    <w:rsid w:val="005E0E60"/>
    <w:rsid w:val="005E0E71"/>
    <w:rsid w:val="005E0E8C"/>
    <w:rsid w:val="005E0F18"/>
    <w:rsid w:val="005E0F4C"/>
    <w:rsid w:val="005E0F92"/>
    <w:rsid w:val="005E0FF0"/>
    <w:rsid w:val="005E1000"/>
    <w:rsid w:val="005E1044"/>
    <w:rsid w:val="005E10AC"/>
    <w:rsid w:val="005E113A"/>
    <w:rsid w:val="005E1178"/>
    <w:rsid w:val="005E1302"/>
    <w:rsid w:val="005E1345"/>
    <w:rsid w:val="005E13A2"/>
    <w:rsid w:val="005E13A8"/>
    <w:rsid w:val="005E140B"/>
    <w:rsid w:val="005E1421"/>
    <w:rsid w:val="005E1508"/>
    <w:rsid w:val="005E1518"/>
    <w:rsid w:val="005E1533"/>
    <w:rsid w:val="005E1593"/>
    <w:rsid w:val="005E15AD"/>
    <w:rsid w:val="005E1603"/>
    <w:rsid w:val="005E163D"/>
    <w:rsid w:val="005E1781"/>
    <w:rsid w:val="005E17AC"/>
    <w:rsid w:val="005E1809"/>
    <w:rsid w:val="005E1A4E"/>
    <w:rsid w:val="005E1A53"/>
    <w:rsid w:val="005E1A56"/>
    <w:rsid w:val="005E1A58"/>
    <w:rsid w:val="005E1B5B"/>
    <w:rsid w:val="005E1BB7"/>
    <w:rsid w:val="005E1BE3"/>
    <w:rsid w:val="005E1BF2"/>
    <w:rsid w:val="005E1C3B"/>
    <w:rsid w:val="005E1CA5"/>
    <w:rsid w:val="005E1EAA"/>
    <w:rsid w:val="005E205B"/>
    <w:rsid w:val="005E2067"/>
    <w:rsid w:val="005E2123"/>
    <w:rsid w:val="005E2539"/>
    <w:rsid w:val="005E25CB"/>
    <w:rsid w:val="005E25D0"/>
    <w:rsid w:val="005E2616"/>
    <w:rsid w:val="005E2660"/>
    <w:rsid w:val="005E266F"/>
    <w:rsid w:val="005E26C1"/>
    <w:rsid w:val="005E2702"/>
    <w:rsid w:val="005E272D"/>
    <w:rsid w:val="005E2755"/>
    <w:rsid w:val="005E2779"/>
    <w:rsid w:val="005E27A3"/>
    <w:rsid w:val="005E27E1"/>
    <w:rsid w:val="005E27FD"/>
    <w:rsid w:val="005E288C"/>
    <w:rsid w:val="005E28AE"/>
    <w:rsid w:val="005E2908"/>
    <w:rsid w:val="005E29CE"/>
    <w:rsid w:val="005E29E3"/>
    <w:rsid w:val="005E2A45"/>
    <w:rsid w:val="005E2A7D"/>
    <w:rsid w:val="005E2B14"/>
    <w:rsid w:val="005E2B4D"/>
    <w:rsid w:val="005E2B80"/>
    <w:rsid w:val="005E2B91"/>
    <w:rsid w:val="005E2BA0"/>
    <w:rsid w:val="005E2BD1"/>
    <w:rsid w:val="005E2BDD"/>
    <w:rsid w:val="005E2C38"/>
    <w:rsid w:val="005E2C78"/>
    <w:rsid w:val="005E2CA8"/>
    <w:rsid w:val="005E2D4D"/>
    <w:rsid w:val="005E2DA3"/>
    <w:rsid w:val="005E2EAB"/>
    <w:rsid w:val="005E2F00"/>
    <w:rsid w:val="005E2F3F"/>
    <w:rsid w:val="005E2F4B"/>
    <w:rsid w:val="005E3069"/>
    <w:rsid w:val="005E30A0"/>
    <w:rsid w:val="005E311B"/>
    <w:rsid w:val="005E320E"/>
    <w:rsid w:val="005E33AA"/>
    <w:rsid w:val="005E349A"/>
    <w:rsid w:val="005E3581"/>
    <w:rsid w:val="005E3589"/>
    <w:rsid w:val="005E35F2"/>
    <w:rsid w:val="005E3644"/>
    <w:rsid w:val="005E365D"/>
    <w:rsid w:val="005E36F2"/>
    <w:rsid w:val="005E3735"/>
    <w:rsid w:val="005E3774"/>
    <w:rsid w:val="005E38BD"/>
    <w:rsid w:val="005E397B"/>
    <w:rsid w:val="005E39EC"/>
    <w:rsid w:val="005E3A3C"/>
    <w:rsid w:val="005E3A7C"/>
    <w:rsid w:val="005E3A85"/>
    <w:rsid w:val="005E3B00"/>
    <w:rsid w:val="005E3B87"/>
    <w:rsid w:val="005E3CFB"/>
    <w:rsid w:val="005E3E01"/>
    <w:rsid w:val="005E3ED9"/>
    <w:rsid w:val="005E3EDC"/>
    <w:rsid w:val="005E3EE5"/>
    <w:rsid w:val="005E3EF5"/>
    <w:rsid w:val="005E3F3D"/>
    <w:rsid w:val="005E3F41"/>
    <w:rsid w:val="005E3FB0"/>
    <w:rsid w:val="005E3FFC"/>
    <w:rsid w:val="005E4026"/>
    <w:rsid w:val="005E403F"/>
    <w:rsid w:val="005E4071"/>
    <w:rsid w:val="005E4072"/>
    <w:rsid w:val="005E4092"/>
    <w:rsid w:val="005E40CB"/>
    <w:rsid w:val="005E40CF"/>
    <w:rsid w:val="005E40FB"/>
    <w:rsid w:val="005E4102"/>
    <w:rsid w:val="005E4167"/>
    <w:rsid w:val="005E417A"/>
    <w:rsid w:val="005E41C5"/>
    <w:rsid w:val="005E4225"/>
    <w:rsid w:val="005E4317"/>
    <w:rsid w:val="005E431D"/>
    <w:rsid w:val="005E433F"/>
    <w:rsid w:val="005E4362"/>
    <w:rsid w:val="005E43AC"/>
    <w:rsid w:val="005E43DE"/>
    <w:rsid w:val="005E4412"/>
    <w:rsid w:val="005E4419"/>
    <w:rsid w:val="005E447B"/>
    <w:rsid w:val="005E44D3"/>
    <w:rsid w:val="005E45E1"/>
    <w:rsid w:val="005E4623"/>
    <w:rsid w:val="005E462C"/>
    <w:rsid w:val="005E4634"/>
    <w:rsid w:val="005E467C"/>
    <w:rsid w:val="005E46BD"/>
    <w:rsid w:val="005E46E6"/>
    <w:rsid w:val="005E47A9"/>
    <w:rsid w:val="005E485D"/>
    <w:rsid w:val="005E48AF"/>
    <w:rsid w:val="005E48D3"/>
    <w:rsid w:val="005E4902"/>
    <w:rsid w:val="005E4941"/>
    <w:rsid w:val="005E49A2"/>
    <w:rsid w:val="005E4A55"/>
    <w:rsid w:val="005E4AAD"/>
    <w:rsid w:val="005E4B5B"/>
    <w:rsid w:val="005E4BBE"/>
    <w:rsid w:val="005E4C0A"/>
    <w:rsid w:val="005E4C1A"/>
    <w:rsid w:val="005E4C7D"/>
    <w:rsid w:val="005E4D09"/>
    <w:rsid w:val="005E4D99"/>
    <w:rsid w:val="005E4E47"/>
    <w:rsid w:val="005E4EE4"/>
    <w:rsid w:val="005E4EF1"/>
    <w:rsid w:val="005E4F53"/>
    <w:rsid w:val="005E4F90"/>
    <w:rsid w:val="005E4FE5"/>
    <w:rsid w:val="005E5026"/>
    <w:rsid w:val="005E5041"/>
    <w:rsid w:val="005E504B"/>
    <w:rsid w:val="005E52C6"/>
    <w:rsid w:val="005E53BC"/>
    <w:rsid w:val="005E5446"/>
    <w:rsid w:val="005E54EB"/>
    <w:rsid w:val="005E5572"/>
    <w:rsid w:val="005E5588"/>
    <w:rsid w:val="005E55D9"/>
    <w:rsid w:val="005E55FE"/>
    <w:rsid w:val="005E5601"/>
    <w:rsid w:val="005E5768"/>
    <w:rsid w:val="005E58DA"/>
    <w:rsid w:val="005E59E1"/>
    <w:rsid w:val="005E5A8A"/>
    <w:rsid w:val="005E5B1A"/>
    <w:rsid w:val="005E5B4B"/>
    <w:rsid w:val="005E5BBD"/>
    <w:rsid w:val="005E5CA2"/>
    <w:rsid w:val="005E5CFE"/>
    <w:rsid w:val="005E5D20"/>
    <w:rsid w:val="005E5DAA"/>
    <w:rsid w:val="005E5DF1"/>
    <w:rsid w:val="005E5E20"/>
    <w:rsid w:val="005E5E6D"/>
    <w:rsid w:val="005E5ED5"/>
    <w:rsid w:val="005E5EE8"/>
    <w:rsid w:val="005E5F2A"/>
    <w:rsid w:val="005E5F78"/>
    <w:rsid w:val="005E6007"/>
    <w:rsid w:val="005E6023"/>
    <w:rsid w:val="005E6026"/>
    <w:rsid w:val="005E6066"/>
    <w:rsid w:val="005E60A0"/>
    <w:rsid w:val="005E6134"/>
    <w:rsid w:val="005E61B7"/>
    <w:rsid w:val="005E6200"/>
    <w:rsid w:val="005E628A"/>
    <w:rsid w:val="005E62B1"/>
    <w:rsid w:val="005E6334"/>
    <w:rsid w:val="005E636F"/>
    <w:rsid w:val="005E6390"/>
    <w:rsid w:val="005E63AC"/>
    <w:rsid w:val="005E63D9"/>
    <w:rsid w:val="005E6408"/>
    <w:rsid w:val="005E6549"/>
    <w:rsid w:val="005E66AA"/>
    <w:rsid w:val="005E6725"/>
    <w:rsid w:val="005E676C"/>
    <w:rsid w:val="005E6795"/>
    <w:rsid w:val="005E6853"/>
    <w:rsid w:val="005E6879"/>
    <w:rsid w:val="005E6A64"/>
    <w:rsid w:val="005E6A97"/>
    <w:rsid w:val="005E6BDA"/>
    <w:rsid w:val="005E6C03"/>
    <w:rsid w:val="005E6C5D"/>
    <w:rsid w:val="005E6CBC"/>
    <w:rsid w:val="005E6D44"/>
    <w:rsid w:val="005E6D45"/>
    <w:rsid w:val="005E6ED0"/>
    <w:rsid w:val="005E6EED"/>
    <w:rsid w:val="005E6F24"/>
    <w:rsid w:val="005E6FB8"/>
    <w:rsid w:val="005E701A"/>
    <w:rsid w:val="005E703F"/>
    <w:rsid w:val="005E71A6"/>
    <w:rsid w:val="005E71F4"/>
    <w:rsid w:val="005E737F"/>
    <w:rsid w:val="005E73D5"/>
    <w:rsid w:val="005E7420"/>
    <w:rsid w:val="005E7493"/>
    <w:rsid w:val="005E74A4"/>
    <w:rsid w:val="005E74C1"/>
    <w:rsid w:val="005E750D"/>
    <w:rsid w:val="005E7656"/>
    <w:rsid w:val="005E76B6"/>
    <w:rsid w:val="005E76B8"/>
    <w:rsid w:val="005E76E0"/>
    <w:rsid w:val="005E76E5"/>
    <w:rsid w:val="005E7826"/>
    <w:rsid w:val="005E78AA"/>
    <w:rsid w:val="005E78F8"/>
    <w:rsid w:val="005E7931"/>
    <w:rsid w:val="005E794C"/>
    <w:rsid w:val="005E79AB"/>
    <w:rsid w:val="005E7A31"/>
    <w:rsid w:val="005E7A32"/>
    <w:rsid w:val="005E7A9C"/>
    <w:rsid w:val="005E7AB8"/>
    <w:rsid w:val="005E7AD7"/>
    <w:rsid w:val="005E7B5B"/>
    <w:rsid w:val="005E7BBF"/>
    <w:rsid w:val="005E7BEB"/>
    <w:rsid w:val="005E7BF1"/>
    <w:rsid w:val="005E7BF8"/>
    <w:rsid w:val="005E7BF9"/>
    <w:rsid w:val="005E7C54"/>
    <w:rsid w:val="005E7C76"/>
    <w:rsid w:val="005E7E37"/>
    <w:rsid w:val="005E7ED8"/>
    <w:rsid w:val="005E7F1A"/>
    <w:rsid w:val="005E7FD3"/>
    <w:rsid w:val="005F003E"/>
    <w:rsid w:val="005F0097"/>
    <w:rsid w:val="005F00BB"/>
    <w:rsid w:val="005F00C9"/>
    <w:rsid w:val="005F0173"/>
    <w:rsid w:val="005F02C7"/>
    <w:rsid w:val="005F02E8"/>
    <w:rsid w:val="005F034C"/>
    <w:rsid w:val="005F039F"/>
    <w:rsid w:val="005F03AE"/>
    <w:rsid w:val="005F0457"/>
    <w:rsid w:val="005F0474"/>
    <w:rsid w:val="005F0489"/>
    <w:rsid w:val="005F04A1"/>
    <w:rsid w:val="005F04B4"/>
    <w:rsid w:val="005F04E9"/>
    <w:rsid w:val="005F060E"/>
    <w:rsid w:val="005F0661"/>
    <w:rsid w:val="005F06B0"/>
    <w:rsid w:val="005F06CA"/>
    <w:rsid w:val="005F0708"/>
    <w:rsid w:val="005F0746"/>
    <w:rsid w:val="005F0757"/>
    <w:rsid w:val="005F0787"/>
    <w:rsid w:val="005F084E"/>
    <w:rsid w:val="005F084F"/>
    <w:rsid w:val="005F09A3"/>
    <w:rsid w:val="005F09A4"/>
    <w:rsid w:val="005F0A5B"/>
    <w:rsid w:val="005F0A7A"/>
    <w:rsid w:val="005F0AA0"/>
    <w:rsid w:val="005F0AA9"/>
    <w:rsid w:val="005F0ACE"/>
    <w:rsid w:val="005F0B3F"/>
    <w:rsid w:val="005F0B8D"/>
    <w:rsid w:val="005F0CA7"/>
    <w:rsid w:val="005F0D89"/>
    <w:rsid w:val="005F0DD9"/>
    <w:rsid w:val="005F0EBB"/>
    <w:rsid w:val="005F1040"/>
    <w:rsid w:val="005F10C2"/>
    <w:rsid w:val="005F11AB"/>
    <w:rsid w:val="005F11E7"/>
    <w:rsid w:val="005F125C"/>
    <w:rsid w:val="005F12A7"/>
    <w:rsid w:val="005F12F5"/>
    <w:rsid w:val="005F1317"/>
    <w:rsid w:val="005F1382"/>
    <w:rsid w:val="005F1385"/>
    <w:rsid w:val="005F1472"/>
    <w:rsid w:val="005F14EA"/>
    <w:rsid w:val="005F14F5"/>
    <w:rsid w:val="005F151F"/>
    <w:rsid w:val="005F1520"/>
    <w:rsid w:val="005F1540"/>
    <w:rsid w:val="005F1572"/>
    <w:rsid w:val="005F15AC"/>
    <w:rsid w:val="005F15F4"/>
    <w:rsid w:val="005F165F"/>
    <w:rsid w:val="005F175D"/>
    <w:rsid w:val="005F17B4"/>
    <w:rsid w:val="005F180C"/>
    <w:rsid w:val="005F1871"/>
    <w:rsid w:val="005F18E8"/>
    <w:rsid w:val="005F1982"/>
    <w:rsid w:val="005F1AAD"/>
    <w:rsid w:val="005F1AD8"/>
    <w:rsid w:val="005F1AF6"/>
    <w:rsid w:val="005F1AFF"/>
    <w:rsid w:val="005F1BA7"/>
    <w:rsid w:val="005F1BFF"/>
    <w:rsid w:val="005F1C14"/>
    <w:rsid w:val="005F1C22"/>
    <w:rsid w:val="005F1C48"/>
    <w:rsid w:val="005F1D04"/>
    <w:rsid w:val="005F1D8B"/>
    <w:rsid w:val="005F1DD9"/>
    <w:rsid w:val="005F1E01"/>
    <w:rsid w:val="005F1E3E"/>
    <w:rsid w:val="005F1F3E"/>
    <w:rsid w:val="005F1F72"/>
    <w:rsid w:val="005F1FF3"/>
    <w:rsid w:val="005F208D"/>
    <w:rsid w:val="005F2097"/>
    <w:rsid w:val="005F20BC"/>
    <w:rsid w:val="005F2117"/>
    <w:rsid w:val="005F214B"/>
    <w:rsid w:val="005F217C"/>
    <w:rsid w:val="005F2205"/>
    <w:rsid w:val="005F225F"/>
    <w:rsid w:val="005F22FB"/>
    <w:rsid w:val="005F23E9"/>
    <w:rsid w:val="005F23F9"/>
    <w:rsid w:val="005F23FD"/>
    <w:rsid w:val="005F24A0"/>
    <w:rsid w:val="005F24D1"/>
    <w:rsid w:val="005F24D6"/>
    <w:rsid w:val="005F2500"/>
    <w:rsid w:val="005F263E"/>
    <w:rsid w:val="005F26A4"/>
    <w:rsid w:val="005F273F"/>
    <w:rsid w:val="005F2814"/>
    <w:rsid w:val="005F286A"/>
    <w:rsid w:val="005F28B4"/>
    <w:rsid w:val="005F2909"/>
    <w:rsid w:val="005F2A40"/>
    <w:rsid w:val="005F2A66"/>
    <w:rsid w:val="005F2A7D"/>
    <w:rsid w:val="005F2AAF"/>
    <w:rsid w:val="005F2AC4"/>
    <w:rsid w:val="005F2AE1"/>
    <w:rsid w:val="005F2B31"/>
    <w:rsid w:val="005F2B98"/>
    <w:rsid w:val="005F2BA7"/>
    <w:rsid w:val="005F2BEE"/>
    <w:rsid w:val="005F2C55"/>
    <w:rsid w:val="005F2C88"/>
    <w:rsid w:val="005F2CCD"/>
    <w:rsid w:val="005F2CDE"/>
    <w:rsid w:val="005F2CFA"/>
    <w:rsid w:val="005F2D19"/>
    <w:rsid w:val="005F2DCC"/>
    <w:rsid w:val="005F2E14"/>
    <w:rsid w:val="005F2F58"/>
    <w:rsid w:val="005F2F63"/>
    <w:rsid w:val="005F2FBD"/>
    <w:rsid w:val="005F2FE2"/>
    <w:rsid w:val="005F30A4"/>
    <w:rsid w:val="005F3101"/>
    <w:rsid w:val="005F3124"/>
    <w:rsid w:val="005F31D4"/>
    <w:rsid w:val="005F323F"/>
    <w:rsid w:val="005F32E0"/>
    <w:rsid w:val="005F3308"/>
    <w:rsid w:val="005F35B9"/>
    <w:rsid w:val="005F36DF"/>
    <w:rsid w:val="005F38B3"/>
    <w:rsid w:val="005F3928"/>
    <w:rsid w:val="005F3939"/>
    <w:rsid w:val="005F397D"/>
    <w:rsid w:val="005F39CF"/>
    <w:rsid w:val="005F39D5"/>
    <w:rsid w:val="005F3A83"/>
    <w:rsid w:val="005F3BC3"/>
    <w:rsid w:val="005F3C90"/>
    <w:rsid w:val="005F3CCC"/>
    <w:rsid w:val="005F3CD9"/>
    <w:rsid w:val="005F3CE2"/>
    <w:rsid w:val="005F3D47"/>
    <w:rsid w:val="005F3D67"/>
    <w:rsid w:val="005F3D88"/>
    <w:rsid w:val="005F3DB7"/>
    <w:rsid w:val="005F3F0D"/>
    <w:rsid w:val="005F403A"/>
    <w:rsid w:val="005F40AA"/>
    <w:rsid w:val="005F40C9"/>
    <w:rsid w:val="005F40F8"/>
    <w:rsid w:val="005F4125"/>
    <w:rsid w:val="005F413B"/>
    <w:rsid w:val="005F416E"/>
    <w:rsid w:val="005F4215"/>
    <w:rsid w:val="005F4291"/>
    <w:rsid w:val="005F4457"/>
    <w:rsid w:val="005F44D9"/>
    <w:rsid w:val="005F44FE"/>
    <w:rsid w:val="005F459C"/>
    <w:rsid w:val="005F46A4"/>
    <w:rsid w:val="005F471F"/>
    <w:rsid w:val="005F4756"/>
    <w:rsid w:val="005F4764"/>
    <w:rsid w:val="005F478C"/>
    <w:rsid w:val="005F47B7"/>
    <w:rsid w:val="005F47F7"/>
    <w:rsid w:val="005F480D"/>
    <w:rsid w:val="005F4837"/>
    <w:rsid w:val="005F4854"/>
    <w:rsid w:val="005F487E"/>
    <w:rsid w:val="005F48B9"/>
    <w:rsid w:val="005F48F9"/>
    <w:rsid w:val="005F490A"/>
    <w:rsid w:val="005F4943"/>
    <w:rsid w:val="005F494F"/>
    <w:rsid w:val="005F4958"/>
    <w:rsid w:val="005F497A"/>
    <w:rsid w:val="005F499F"/>
    <w:rsid w:val="005F49BC"/>
    <w:rsid w:val="005F49E2"/>
    <w:rsid w:val="005F49E3"/>
    <w:rsid w:val="005F4A44"/>
    <w:rsid w:val="005F4A53"/>
    <w:rsid w:val="005F4ACA"/>
    <w:rsid w:val="005F4AE2"/>
    <w:rsid w:val="005F4B5F"/>
    <w:rsid w:val="005F4BA6"/>
    <w:rsid w:val="005F4BCB"/>
    <w:rsid w:val="005F4BE5"/>
    <w:rsid w:val="005F4C20"/>
    <w:rsid w:val="005F4C27"/>
    <w:rsid w:val="005F4C59"/>
    <w:rsid w:val="005F4CF5"/>
    <w:rsid w:val="005F4D08"/>
    <w:rsid w:val="005F4E9A"/>
    <w:rsid w:val="005F4EC5"/>
    <w:rsid w:val="005F4EEC"/>
    <w:rsid w:val="005F4FB9"/>
    <w:rsid w:val="005F509A"/>
    <w:rsid w:val="005F50C5"/>
    <w:rsid w:val="005F50CF"/>
    <w:rsid w:val="005F5184"/>
    <w:rsid w:val="005F5208"/>
    <w:rsid w:val="005F5275"/>
    <w:rsid w:val="005F52DB"/>
    <w:rsid w:val="005F52E8"/>
    <w:rsid w:val="005F540E"/>
    <w:rsid w:val="005F543F"/>
    <w:rsid w:val="005F54B3"/>
    <w:rsid w:val="005F54CA"/>
    <w:rsid w:val="005F5538"/>
    <w:rsid w:val="005F55A5"/>
    <w:rsid w:val="005F55EA"/>
    <w:rsid w:val="005F571A"/>
    <w:rsid w:val="005F5794"/>
    <w:rsid w:val="005F57AE"/>
    <w:rsid w:val="005F57E2"/>
    <w:rsid w:val="005F57E3"/>
    <w:rsid w:val="005F5818"/>
    <w:rsid w:val="005F589B"/>
    <w:rsid w:val="005F592F"/>
    <w:rsid w:val="005F598F"/>
    <w:rsid w:val="005F5A09"/>
    <w:rsid w:val="005F5A25"/>
    <w:rsid w:val="005F5A39"/>
    <w:rsid w:val="005F5CA6"/>
    <w:rsid w:val="005F5CBA"/>
    <w:rsid w:val="005F5CC6"/>
    <w:rsid w:val="005F5CD7"/>
    <w:rsid w:val="005F5D30"/>
    <w:rsid w:val="005F5D45"/>
    <w:rsid w:val="005F5D6F"/>
    <w:rsid w:val="005F5DEB"/>
    <w:rsid w:val="005F5DF8"/>
    <w:rsid w:val="005F5E03"/>
    <w:rsid w:val="005F5E05"/>
    <w:rsid w:val="005F5E07"/>
    <w:rsid w:val="005F5E3B"/>
    <w:rsid w:val="005F5E5D"/>
    <w:rsid w:val="005F5E63"/>
    <w:rsid w:val="005F5F11"/>
    <w:rsid w:val="005F5FB3"/>
    <w:rsid w:val="005F5FEC"/>
    <w:rsid w:val="005F6064"/>
    <w:rsid w:val="005F60A2"/>
    <w:rsid w:val="005F628C"/>
    <w:rsid w:val="005F62A9"/>
    <w:rsid w:val="005F62D9"/>
    <w:rsid w:val="005F62E0"/>
    <w:rsid w:val="005F6300"/>
    <w:rsid w:val="005F6347"/>
    <w:rsid w:val="005F6391"/>
    <w:rsid w:val="005F63A2"/>
    <w:rsid w:val="005F63F1"/>
    <w:rsid w:val="005F6415"/>
    <w:rsid w:val="005F6480"/>
    <w:rsid w:val="005F652D"/>
    <w:rsid w:val="005F6583"/>
    <w:rsid w:val="005F65A2"/>
    <w:rsid w:val="005F65A4"/>
    <w:rsid w:val="005F65CE"/>
    <w:rsid w:val="005F6602"/>
    <w:rsid w:val="005F6672"/>
    <w:rsid w:val="005F668B"/>
    <w:rsid w:val="005F66C5"/>
    <w:rsid w:val="005F66F0"/>
    <w:rsid w:val="005F67DA"/>
    <w:rsid w:val="005F6822"/>
    <w:rsid w:val="005F6839"/>
    <w:rsid w:val="005F683B"/>
    <w:rsid w:val="005F688E"/>
    <w:rsid w:val="005F6976"/>
    <w:rsid w:val="005F697B"/>
    <w:rsid w:val="005F6A50"/>
    <w:rsid w:val="005F6ACD"/>
    <w:rsid w:val="005F6C1E"/>
    <w:rsid w:val="005F6C7E"/>
    <w:rsid w:val="005F6CAA"/>
    <w:rsid w:val="005F6CCB"/>
    <w:rsid w:val="005F6CFA"/>
    <w:rsid w:val="005F6D22"/>
    <w:rsid w:val="005F6D8F"/>
    <w:rsid w:val="005F6DEF"/>
    <w:rsid w:val="005F6DFC"/>
    <w:rsid w:val="005F6E98"/>
    <w:rsid w:val="005F6F08"/>
    <w:rsid w:val="005F6F4C"/>
    <w:rsid w:val="005F6F61"/>
    <w:rsid w:val="005F6FAF"/>
    <w:rsid w:val="005F6FDE"/>
    <w:rsid w:val="005F6FF2"/>
    <w:rsid w:val="005F70CE"/>
    <w:rsid w:val="005F70F4"/>
    <w:rsid w:val="005F7111"/>
    <w:rsid w:val="005F71EE"/>
    <w:rsid w:val="005F72D2"/>
    <w:rsid w:val="005F7339"/>
    <w:rsid w:val="005F734E"/>
    <w:rsid w:val="005F7365"/>
    <w:rsid w:val="005F73B9"/>
    <w:rsid w:val="005F75DD"/>
    <w:rsid w:val="005F762C"/>
    <w:rsid w:val="005F762F"/>
    <w:rsid w:val="005F7901"/>
    <w:rsid w:val="005F7920"/>
    <w:rsid w:val="005F7989"/>
    <w:rsid w:val="005F79A1"/>
    <w:rsid w:val="005F79FD"/>
    <w:rsid w:val="005F7A11"/>
    <w:rsid w:val="005F7A35"/>
    <w:rsid w:val="005F7ABC"/>
    <w:rsid w:val="005F7B8A"/>
    <w:rsid w:val="005F7B9D"/>
    <w:rsid w:val="005F7BC8"/>
    <w:rsid w:val="005F7CA1"/>
    <w:rsid w:val="005F7D10"/>
    <w:rsid w:val="005F7DF3"/>
    <w:rsid w:val="005F7E0B"/>
    <w:rsid w:val="005F7E26"/>
    <w:rsid w:val="005F7E9E"/>
    <w:rsid w:val="005F7EBE"/>
    <w:rsid w:val="005F7ED8"/>
    <w:rsid w:val="005F7F47"/>
    <w:rsid w:val="005F7F58"/>
    <w:rsid w:val="005F7F5B"/>
    <w:rsid w:val="00600038"/>
    <w:rsid w:val="006000C9"/>
    <w:rsid w:val="00600196"/>
    <w:rsid w:val="0060032C"/>
    <w:rsid w:val="0060034E"/>
    <w:rsid w:val="00600485"/>
    <w:rsid w:val="00600491"/>
    <w:rsid w:val="00600576"/>
    <w:rsid w:val="006005FC"/>
    <w:rsid w:val="006006A1"/>
    <w:rsid w:val="0060073C"/>
    <w:rsid w:val="00600780"/>
    <w:rsid w:val="0060087F"/>
    <w:rsid w:val="00600881"/>
    <w:rsid w:val="00600A09"/>
    <w:rsid w:val="00600A37"/>
    <w:rsid w:val="00600AFF"/>
    <w:rsid w:val="00600B07"/>
    <w:rsid w:val="00600B09"/>
    <w:rsid w:val="00600B41"/>
    <w:rsid w:val="00600B4B"/>
    <w:rsid w:val="00600C2D"/>
    <w:rsid w:val="00600D4B"/>
    <w:rsid w:val="00600DA6"/>
    <w:rsid w:val="00600DB4"/>
    <w:rsid w:val="00600DD1"/>
    <w:rsid w:val="00600E63"/>
    <w:rsid w:val="00600EA4"/>
    <w:rsid w:val="00600F61"/>
    <w:rsid w:val="00600F6C"/>
    <w:rsid w:val="00600FFC"/>
    <w:rsid w:val="00601022"/>
    <w:rsid w:val="006010A6"/>
    <w:rsid w:val="006010AB"/>
    <w:rsid w:val="0060110E"/>
    <w:rsid w:val="00601138"/>
    <w:rsid w:val="006011A6"/>
    <w:rsid w:val="006011E6"/>
    <w:rsid w:val="00601206"/>
    <w:rsid w:val="0060129B"/>
    <w:rsid w:val="00601383"/>
    <w:rsid w:val="00601493"/>
    <w:rsid w:val="006015CF"/>
    <w:rsid w:val="006015EC"/>
    <w:rsid w:val="0060165D"/>
    <w:rsid w:val="006016B2"/>
    <w:rsid w:val="00601781"/>
    <w:rsid w:val="006017A7"/>
    <w:rsid w:val="006017AE"/>
    <w:rsid w:val="006017E6"/>
    <w:rsid w:val="0060181E"/>
    <w:rsid w:val="00601844"/>
    <w:rsid w:val="00601888"/>
    <w:rsid w:val="00601892"/>
    <w:rsid w:val="006018EE"/>
    <w:rsid w:val="0060190B"/>
    <w:rsid w:val="00601981"/>
    <w:rsid w:val="006019D4"/>
    <w:rsid w:val="00601AFB"/>
    <w:rsid w:val="00601B36"/>
    <w:rsid w:val="00601B47"/>
    <w:rsid w:val="00601B5B"/>
    <w:rsid w:val="00601B76"/>
    <w:rsid w:val="00601BE2"/>
    <w:rsid w:val="00601C54"/>
    <w:rsid w:val="00601CC8"/>
    <w:rsid w:val="00601CD3"/>
    <w:rsid w:val="00601CDE"/>
    <w:rsid w:val="00601CFE"/>
    <w:rsid w:val="00601D90"/>
    <w:rsid w:val="00601DDB"/>
    <w:rsid w:val="00601DF8"/>
    <w:rsid w:val="00601E4A"/>
    <w:rsid w:val="00601E9D"/>
    <w:rsid w:val="00601EAB"/>
    <w:rsid w:val="00601F14"/>
    <w:rsid w:val="00601FC6"/>
    <w:rsid w:val="0060209A"/>
    <w:rsid w:val="006020B4"/>
    <w:rsid w:val="0060210F"/>
    <w:rsid w:val="00602124"/>
    <w:rsid w:val="00602181"/>
    <w:rsid w:val="00602247"/>
    <w:rsid w:val="00602296"/>
    <w:rsid w:val="00602316"/>
    <w:rsid w:val="00602368"/>
    <w:rsid w:val="0060238B"/>
    <w:rsid w:val="006023AA"/>
    <w:rsid w:val="0060244B"/>
    <w:rsid w:val="0060251A"/>
    <w:rsid w:val="00602522"/>
    <w:rsid w:val="006025A8"/>
    <w:rsid w:val="00602641"/>
    <w:rsid w:val="0060267C"/>
    <w:rsid w:val="00602691"/>
    <w:rsid w:val="006026CF"/>
    <w:rsid w:val="00602703"/>
    <w:rsid w:val="00602756"/>
    <w:rsid w:val="006027C9"/>
    <w:rsid w:val="00602832"/>
    <w:rsid w:val="006028B5"/>
    <w:rsid w:val="006028C7"/>
    <w:rsid w:val="00602903"/>
    <w:rsid w:val="0060290D"/>
    <w:rsid w:val="0060299B"/>
    <w:rsid w:val="00602B21"/>
    <w:rsid w:val="00602B33"/>
    <w:rsid w:val="00602B9A"/>
    <w:rsid w:val="00602BEB"/>
    <w:rsid w:val="00602BFC"/>
    <w:rsid w:val="00602C93"/>
    <w:rsid w:val="00602CA4"/>
    <w:rsid w:val="00602D0E"/>
    <w:rsid w:val="00602D10"/>
    <w:rsid w:val="00602D18"/>
    <w:rsid w:val="00602DD1"/>
    <w:rsid w:val="00602E14"/>
    <w:rsid w:val="00602E38"/>
    <w:rsid w:val="00602E41"/>
    <w:rsid w:val="00602ED8"/>
    <w:rsid w:val="00602F16"/>
    <w:rsid w:val="00602F58"/>
    <w:rsid w:val="00602F7D"/>
    <w:rsid w:val="00602FB8"/>
    <w:rsid w:val="00602FC3"/>
    <w:rsid w:val="006030DB"/>
    <w:rsid w:val="00603144"/>
    <w:rsid w:val="00603237"/>
    <w:rsid w:val="00603383"/>
    <w:rsid w:val="0060339E"/>
    <w:rsid w:val="006033E3"/>
    <w:rsid w:val="00603518"/>
    <w:rsid w:val="006035CB"/>
    <w:rsid w:val="0060367F"/>
    <w:rsid w:val="006036A8"/>
    <w:rsid w:val="006036CF"/>
    <w:rsid w:val="006036F1"/>
    <w:rsid w:val="00603891"/>
    <w:rsid w:val="00603997"/>
    <w:rsid w:val="00603AE2"/>
    <w:rsid w:val="00603AF1"/>
    <w:rsid w:val="00603BB7"/>
    <w:rsid w:val="00603C17"/>
    <w:rsid w:val="00603C68"/>
    <w:rsid w:val="00603C9F"/>
    <w:rsid w:val="00603CB0"/>
    <w:rsid w:val="00603CF0"/>
    <w:rsid w:val="00603D0F"/>
    <w:rsid w:val="00603DCF"/>
    <w:rsid w:val="00603DE3"/>
    <w:rsid w:val="00603E13"/>
    <w:rsid w:val="00603E77"/>
    <w:rsid w:val="00603EEB"/>
    <w:rsid w:val="00603F21"/>
    <w:rsid w:val="00603F60"/>
    <w:rsid w:val="00603FB5"/>
    <w:rsid w:val="00603FFF"/>
    <w:rsid w:val="006041DB"/>
    <w:rsid w:val="006042F1"/>
    <w:rsid w:val="006042F3"/>
    <w:rsid w:val="006043A6"/>
    <w:rsid w:val="00604435"/>
    <w:rsid w:val="00604454"/>
    <w:rsid w:val="006044DB"/>
    <w:rsid w:val="006045C5"/>
    <w:rsid w:val="00604612"/>
    <w:rsid w:val="00604666"/>
    <w:rsid w:val="0060468E"/>
    <w:rsid w:val="006046C3"/>
    <w:rsid w:val="006046E0"/>
    <w:rsid w:val="00604747"/>
    <w:rsid w:val="00604819"/>
    <w:rsid w:val="0060489F"/>
    <w:rsid w:val="006048CA"/>
    <w:rsid w:val="00604936"/>
    <w:rsid w:val="006049EA"/>
    <w:rsid w:val="00604AF8"/>
    <w:rsid w:val="00604B3C"/>
    <w:rsid w:val="00604D0F"/>
    <w:rsid w:val="00604D8D"/>
    <w:rsid w:val="00604D93"/>
    <w:rsid w:val="00604DCF"/>
    <w:rsid w:val="00604E9A"/>
    <w:rsid w:val="00604EC7"/>
    <w:rsid w:val="00604F3E"/>
    <w:rsid w:val="00604FE4"/>
    <w:rsid w:val="0060503C"/>
    <w:rsid w:val="00605145"/>
    <w:rsid w:val="006051A1"/>
    <w:rsid w:val="0060524F"/>
    <w:rsid w:val="0060526E"/>
    <w:rsid w:val="006053EF"/>
    <w:rsid w:val="00605595"/>
    <w:rsid w:val="00605607"/>
    <w:rsid w:val="006057EA"/>
    <w:rsid w:val="0060583F"/>
    <w:rsid w:val="00605846"/>
    <w:rsid w:val="0060589D"/>
    <w:rsid w:val="006059C7"/>
    <w:rsid w:val="00605A33"/>
    <w:rsid w:val="00605A80"/>
    <w:rsid w:val="00605B10"/>
    <w:rsid w:val="00605B78"/>
    <w:rsid w:val="00605BAF"/>
    <w:rsid w:val="00605BB3"/>
    <w:rsid w:val="00605BF6"/>
    <w:rsid w:val="00605C6B"/>
    <w:rsid w:val="00605CB4"/>
    <w:rsid w:val="00605CCA"/>
    <w:rsid w:val="00605D32"/>
    <w:rsid w:val="00605D9D"/>
    <w:rsid w:val="00605DFE"/>
    <w:rsid w:val="00605E8C"/>
    <w:rsid w:val="00605FBD"/>
    <w:rsid w:val="0060602B"/>
    <w:rsid w:val="00606160"/>
    <w:rsid w:val="00606234"/>
    <w:rsid w:val="006062AC"/>
    <w:rsid w:val="006062ED"/>
    <w:rsid w:val="006062F0"/>
    <w:rsid w:val="00606365"/>
    <w:rsid w:val="00606439"/>
    <w:rsid w:val="0060646A"/>
    <w:rsid w:val="0060655B"/>
    <w:rsid w:val="006065D3"/>
    <w:rsid w:val="006065E2"/>
    <w:rsid w:val="00606602"/>
    <w:rsid w:val="00606651"/>
    <w:rsid w:val="00606656"/>
    <w:rsid w:val="0060669B"/>
    <w:rsid w:val="006067DD"/>
    <w:rsid w:val="00606882"/>
    <w:rsid w:val="006068AD"/>
    <w:rsid w:val="0060690E"/>
    <w:rsid w:val="0060691E"/>
    <w:rsid w:val="00606947"/>
    <w:rsid w:val="006069C1"/>
    <w:rsid w:val="00606A06"/>
    <w:rsid w:val="00606A27"/>
    <w:rsid w:val="00606AA0"/>
    <w:rsid w:val="00606ABA"/>
    <w:rsid w:val="00606B23"/>
    <w:rsid w:val="00606C13"/>
    <w:rsid w:val="00606C31"/>
    <w:rsid w:val="00606C50"/>
    <w:rsid w:val="00606CFE"/>
    <w:rsid w:val="00606D1C"/>
    <w:rsid w:val="00606D2E"/>
    <w:rsid w:val="00606D41"/>
    <w:rsid w:val="00606D6E"/>
    <w:rsid w:val="00606DE4"/>
    <w:rsid w:val="00606DF8"/>
    <w:rsid w:val="00606E91"/>
    <w:rsid w:val="00606F00"/>
    <w:rsid w:val="00606F1C"/>
    <w:rsid w:val="00606F63"/>
    <w:rsid w:val="00607081"/>
    <w:rsid w:val="00607109"/>
    <w:rsid w:val="0060714E"/>
    <w:rsid w:val="00607167"/>
    <w:rsid w:val="006071B7"/>
    <w:rsid w:val="006071E4"/>
    <w:rsid w:val="006071E6"/>
    <w:rsid w:val="0060729E"/>
    <w:rsid w:val="006072AA"/>
    <w:rsid w:val="006072C1"/>
    <w:rsid w:val="006072EC"/>
    <w:rsid w:val="00607333"/>
    <w:rsid w:val="00607441"/>
    <w:rsid w:val="0060744A"/>
    <w:rsid w:val="006074C3"/>
    <w:rsid w:val="006074FB"/>
    <w:rsid w:val="0060755E"/>
    <w:rsid w:val="006075BD"/>
    <w:rsid w:val="006076D5"/>
    <w:rsid w:val="006076E4"/>
    <w:rsid w:val="00607763"/>
    <w:rsid w:val="0060779C"/>
    <w:rsid w:val="00607861"/>
    <w:rsid w:val="006078D0"/>
    <w:rsid w:val="0060794A"/>
    <w:rsid w:val="00607984"/>
    <w:rsid w:val="00607A0A"/>
    <w:rsid w:val="00607A7D"/>
    <w:rsid w:val="00607D51"/>
    <w:rsid w:val="00607D99"/>
    <w:rsid w:val="00607DE1"/>
    <w:rsid w:val="00607DE2"/>
    <w:rsid w:val="00607E28"/>
    <w:rsid w:val="00607E90"/>
    <w:rsid w:val="00607EAA"/>
    <w:rsid w:val="00607EB5"/>
    <w:rsid w:val="00607F03"/>
    <w:rsid w:val="00610165"/>
    <w:rsid w:val="0061017B"/>
    <w:rsid w:val="006102C6"/>
    <w:rsid w:val="00610365"/>
    <w:rsid w:val="006103D4"/>
    <w:rsid w:val="006103ED"/>
    <w:rsid w:val="006103FF"/>
    <w:rsid w:val="0061045C"/>
    <w:rsid w:val="006104B2"/>
    <w:rsid w:val="006105EE"/>
    <w:rsid w:val="00610664"/>
    <w:rsid w:val="006106BA"/>
    <w:rsid w:val="006106C0"/>
    <w:rsid w:val="006109B4"/>
    <w:rsid w:val="00610A44"/>
    <w:rsid w:val="00610A50"/>
    <w:rsid w:val="00610A51"/>
    <w:rsid w:val="00610A57"/>
    <w:rsid w:val="00610B45"/>
    <w:rsid w:val="00610C30"/>
    <w:rsid w:val="00610C3A"/>
    <w:rsid w:val="00610C79"/>
    <w:rsid w:val="00610DC3"/>
    <w:rsid w:val="00610DD3"/>
    <w:rsid w:val="00610E6F"/>
    <w:rsid w:val="00610EBE"/>
    <w:rsid w:val="00610ED9"/>
    <w:rsid w:val="00611008"/>
    <w:rsid w:val="006110B7"/>
    <w:rsid w:val="00611154"/>
    <w:rsid w:val="006111AF"/>
    <w:rsid w:val="00611266"/>
    <w:rsid w:val="0061128F"/>
    <w:rsid w:val="006112E9"/>
    <w:rsid w:val="006112FB"/>
    <w:rsid w:val="00611319"/>
    <w:rsid w:val="006113D2"/>
    <w:rsid w:val="00611498"/>
    <w:rsid w:val="006114F9"/>
    <w:rsid w:val="0061151B"/>
    <w:rsid w:val="00611595"/>
    <w:rsid w:val="006115F2"/>
    <w:rsid w:val="006115FA"/>
    <w:rsid w:val="006116AE"/>
    <w:rsid w:val="0061181E"/>
    <w:rsid w:val="006118CB"/>
    <w:rsid w:val="0061190F"/>
    <w:rsid w:val="006119A6"/>
    <w:rsid w:val="00611A7D"/>
    <w:rsid w:val="00611B3E"/>
    <w:rsid w:val="00611B9D"/>
    <w:rsid w:val="00611BE1"/>
    <w:rsid w:val="00611C27"/>
    <w:rsid w:val="00611C45"/>
    <w:rsid w:val="00611CB4"/>
    <w:rsid w:val="00611CBA"/>
    <w:rsid w:val="00611D0C"/>
    <w:rsid w:val="00611D35"/>
    <w:rsid w:val="00611D7F"/>
    <w:rsid w:val="00611DBD"/>
    <w:rsid w:val="00611E2D"/>
    <w:rsid w:val="00611EB2"/>
    <w:rsid w:val="00611FCC"/>
    <w:rsid w:val="006120C3"/>
    <w:rsid w:val="00612101"/>
    <w:rsid w:val="00612144"/>
    <w:rsid w:val="00612218"/>
    <w:rsid w:val="00612262"/>
    <w:rsid w:val="006122D8"/>
    <w:rsid w:val="0061235D"/>
    <w:rsid w:val="006123A5"/>
    <w:rsid w:val="0061248A"/>
    <w:rsid w:val="00612499"/>
    <w:rsid w:val="006124C2"/>
    <w:rsid w:val="0061258A"/>
    <w:rsid w:val="0061258E"/>
    <w:rsid w:val="00612656"/>
    <w:rsid w:val="00612662"/>
    <w:rsid w:val="0061271D"/>
    <w:rsid w:val="0061273A"/>
    <w:rsid w:val="0061277D"/>
    <w:rsid w:val="006128CA"/>
    <w:rsid w:val="00612927"/>
    <w:rsid w:val="0061298D"/>
    <w:rsid w:val="006129CD"/>
    <w:rsid w:val="006129EB"/>
    <w:rsid w:val="00612ACD"/>
    <w:rsid w:val="00612B69"/>
    <w:rsid w:val="00612D46"/>
    <w:rsid w:val="00612D60"/>
    <w:rsid w:val="00612DA1"/>
    <w:rsid w:val="00612E38"/>
    <w:rsid w:val="00612E67"/>
    <w:rsid w:val="00612F76"/>
    <w:rsid w:val="00612FB0"/>
    <w:rsid w:val="006130B2"/>
    <w:rsid w:val="006130D4"/>
    <w:rsid w:val="006130EB"/>
    <w:rsid w:val="00613212"/>
    <w:rsid w:val="00613224"/>
    <w:rsid w:val="006132D5"/>
    <w:rsid w:val="0061349D"/>
    <w:rsid w:val="00613507"/>
    <w:rsid w:val="006136E5"/>
    <w:rsid w:val="00613729"/>
    <w:rsid w:val="006137DC"/>
    <w:rsid w:val="00613868"/>
    <w:rsid w:val="0061386B"/>
    <w:rsid w:val="00613963"/>
    <w:rsid w:val="00613964"/>
    <w:rsid w:val="00613A5F"/>
    <w:rsid w:val="00613A72"/>
    <w:rsid w:val="00613B08"/>
    <w:rsid w:val="00613BA8"/>
    <w:rsid w:val="00613C62"/>
    <w:rsid w:val="00613CBB"/>
    <w:rsid w:val="00613CBF"/>
    <w:rsid w:val="00613D02"/>
    <w:rsid w:val="00613D49"/>
    <w:rsid w:val="00613D51"/>
    <w:rsid w:val="00613DDD"/>
    <w:rsid w:val="00613DF8"/>
    <w:rsid w:val="00613EB2"/>
    <w:rsid w:val="00613EEC"/>
    <w:rsid w:val="00613F0B"/>
    <w:rsid w:val="00613F40"/>
    <w:rsid w:val="00613F42"/>
    <w:rsid w:val="00613F49"/>
    <w:rsid w:val="00613F60"/>
    <w:rsid w:val="006140BE"/>
    <w:rsid w:val="006140C9"/>
    <w:rsid w:val="0061417A"/>
    <w:rsid w:val="00614265"/>
    <w:rsid w:val="00614279"/>
    <w:rsid w:val="006142F3"/>
    <w:rsid w:val="006142F5"/>
    <w:rsid w:val="006144DB"/>
    <w:rsid w:val="0061452B"/>
    <w:rsid w:val="00614647"/>
    <w:rsid w:val="0061466B"/>
    <w:rsid w:val="006146E7"/>
    <w:rsid w:val="006146F3"/>
    <w:rsid w:val="0061472D"/>
    <w:rsid w:val="00614754"/>
    <w:rsid w:val="00614824"/>
    <w:rsid w:val="006148B4"/>
    <w:rsid w:val="00614A35"/>
    <w:rsid w:val="00614A6E"/>
    <w:rsid w:val="00614AE7"/>
    <w:rsid w:val="00614B18"/>
    <w:rsid w:val="00614B91"/>
    <w:rsid w:val="00614BAE"/>
    <w:rsid w:val="00614C6E"/>
    <w:rsid w:val="00614D49"/>
    <w:rsid w:val="00614D73"/>
    <w:rsid w:val="00614D81"/>
    <w:rsid w:val="00614DA4"/>
    <w:rsid w:val="00614DB8"/>
    <w:rsid w:val="00614DF8"/>
    <w:rsid w:val="00614DF9"/>
    <w:rsid w:val="00614E14"/>
    <w:rsid w:val="00614E7C"/>
    <w:rsid w:val="00614ED7"/>
    <w:rsid w:val="00614FDD"/>
    <w:rsid w:val="00615090"/>
    <w:rsid w:val="006150D5"/>
    <w:rsid w:val="006150EC"/>
    <w:rsid w:val="006151D0"/>
    <w:rsid w:val="00615202"/>
    <w:rsid w:val="00615310"/>
    <w:rsid w:val="00615437"/>
    <w:rsid w:val="0061548B"/>
    <w:rsid w:val="006154B5"/>
    <w:rsid w:val="0061555D"/>
    <w:rsid w:val="00615570"/>
    <w:rsid w:val="00615585"/>
    <w:rsid w:val="0061558F"/>
    <w:rsid w:val="006155C0"/>
    <w:rsid w:val="0061570C"/>
    <w:rsid w:val="006157A4"/>
    <w:rsid w:val="006157C5"/>
    <w:rsid w:val="0061582D"/>
    <w:rsid w:val="00615ADA"/>
    <w:rsid w:val="00615B53"/>
    <w:rsid w:val="00615C0D"/>
    <w:rsid w:val="00615C31"/>
    <w:rsid w:val="00615C48"/>
    <w:rsid w:val="00615C8E"/>
    <w:rsid w:val="00615D15"/>
    <w:rsid w:val="00615DD8"/>
    <w:rsid w:val="00615ECF"/>
    <w:rsid w:val="00615EE9"/>
    <w:rsid w:val="00615F61"/>
    <w:rsid w:val="00615F92"/>
    <w:rsid w:val="00615FDA"/>
    <w:rsid w:val="00616085"/>
    <w:rsid w:val="006160E1"/>
    <w:rsid w:val="0061615F"/>
    <w:rsid w:val="006161AD"/>
    <w:rsid w:val="0061631C"/>
    <w:rsid w:val="00616389"/>
    <w:rsid w:val="00616475"/>
    <w:rsid w:val="00616490"/>
    <w:rsid w:val="006164D6"/>
    <w:rsid w:val="00616504"/>
    <w:rsid w:val="0061651D"/>
    <w:rsid w:val="0061658E"/>
    <w:rsid w:val="006165B4"/>
    <w:rsid w:val="006165D8"/>
    <w:rsid w:val="00616602"/>
    <w:rsid w:val="006168D3"/>
    <w:rsid w:val="006169E6"/>
    <w:rsid w:val="006169E9"/>
    <w:rsid w:val="00616A23"/>
    <w:rsid w:val="00616B17"/>
    <w:rsid w:val="00616B4D"/>
    <w:rsid w:val="00616B50"/>
    <w:rsid w:val="00616BBA"/>
    <w:rsid w:val="00616C78"/>
    <w:rsid w:val="00616CBE"/>
    <w:rsid w:val="00616D44"/>
    <w:rsid w:val="00616D95"/>
    <w:rsid w:val="00616E32"/>
    <w:rsid w:val="00616EC6"/>
    <w:rsid w:val="00616EF7"/>
    <w:rsid w:val="00616F10"/>
    <w:rsid w:val="00616F25"/>
    <w:rsid w:val="00616FCD"/>
    <w:rsid w:val="00617028"/>
    <w:rsid w:val="00617109"/>
    <w:rsid w:val="00617148"/>
    <w:rsid w:val="0061717D"/>
    <w:rsid w:val="006171EE"/>
    <w:rsid w:val="0061722B"/>
    <w:rsid w:val="00617246"/>
    <w:rsid w:val="00617344"/>
    <w:rsid w:val="006173D6"/>
    <w:rsid w:val="006173ED"/>
    <w:rsid w:val="00617417"/>
    <w:rsid w:val="00617434"/>
    <w:rsid w:val="0061745B"/>
    <w:rsid w:val="00617487"/>
    <w:rsid w:val="00617636"/>
    <w:rsid w:val="0061768B"/>
    <w:rsid w:val="006176AA"/>
    <w:rsid w:val="0061771F"/>
    <w:rsid w:val="00617735"/>
    <w:rsid w:val="0061776E"/>
    <w:rsid w:val="006177FC"/>
    <w:rsid w:val="00617827"/>
    <w:rsid w:val="00617996"/>
    <w:rsid w:val="0061799C"/>
    <w:rsid w:val="0061799D"/>
    <w:rsid w:val="006179EC"/>
    <w:rsid w:val="00617A64"/>
    <w:rsid w:val="00617A72"/>
    <w:rsid w:val="00617AE4"/>
    <w:rsid w:val="00617B13"/>
    <w:rsid w:val="00617B15"/>
    <w:rsid w:val="00617B4F"/>
    <w:rsid w:val="00617B53"/>
    <w:rsid w:val="00617BD4"/>
    <w:rsid w:val="00617C18"/>
    <w:rsid w:val="00617D0B"/>
    <w:rsid w:val="00617D2A"/>
    <w:rsid w:val="00617D7D"/>
    <w:rsid w:val="00617DEE"/>
    <w:rsid w:val="00617DF5"/>
    <w:rsid w:val="00617E4E"/>
    <w:rsid w:val="00617E67"/>
    <w:rsid w:val="00617E7A"/>
    <w:rsid w:val="00617F1B"/>
    <w:rsid w:val="00617F64"/>
    <w:rsid w:val="00617FA7"/>
    <w:rsid w:val="0062002E"/>
    <w:rsid w:val="00620044"/>
    <w:rsid w:val="006202B5"/>
    <w:rsid w:val="00620439"/>
    <w:rsid w:val="006204C1"/>
    <w:rsid w:val="006204DF"/>
    <w:rsid w:val="00620515"/>
    <w:rsid w:val="00620518"/>
    <w:rsid w:val="0062051B"/>
    <w:rsid w:val="00620561"/>
    <w:rsid w:val="00620688"/>
    <w:rsid w:val="006206B3"/>
    <w:rsid w:val="00620706"/>
    <w:rsid w:val="00620731"/>
    <w:rsid w:val="006207B6"/>
    <w:rsid w:val="006207DD"/>
    <w:rsid w:val="006208ED"/>
    <w:rsid w:val="00620925"/>
    <w:rsid w:val="00620A76"/>
    <w:rsid w:val="00620AD7"/>
    <w:rsid w:val="00620AE0"/>
    <w:rsid w:val="00620B18"/>
    <w:rsid w:val="00620B32"/>
    <w:rsid w:val="00620B69"/>
    <w:rsid w:val="00620B88"/>
    <w:rsid w:val="00620BEF"/>
    <w:rsid w:val="00620BF5"/>
    <w:rsid w:val="00620BFE"/>
    <w:rsid w:val="00620C4B"/>
    <w:rsid w:val="00620CF9"/>
    <w:rsid w:val="00620D10"/>
    <w:rsid w:val="00620DA4"/>
    <w:rsid w:val="00620DE0"/>
    <w:rsid w:val="00620E15"/>
    <w:rsid w:val="00620E4E"/>
    <w:rsid w:val="00620E58"/>
    <w:rsid w:val="00620E7F"/>
    <w:rsid w:val="00620F17"/>
    <w:rsid w:val="00620F41"/>
    <w:rsid w:val="0062106A"/>
    <w:rsid w:val="0062119D"/>
    <w:rsid w:val="00621200"/>
    <w:rsid w:val="00621222"/>
    <w:rsid w:val="00621283"/>
    <w:rsid w:val="0062133D"/>
    <w:rsid w:val="00621415"/>
    <w:rsid w:val="00621467"/>
    <w:rsid w:val="0062149C"/>
    <w:rsid w:val="006214D7"/>
    <w:rsid w:val="00621505"/>
    <w:rsid w:val="00621610"/>
    <w:rsid w:val="0062168D"/>
    <w:rsid w:val="00621712"/>
    <w:rsid w:val="00621988"/>
    <w:rsid w:val="006219FE"/>
    <w:rsid w:val="00621A28"/>
    <w:rsid w:val="00621B32"/>
    <w:rsid w:val="00621C1D"/>
    <w:rsid w:val="00621D39"/>
    <w:rsid w:val="00621D3D"/>
    <w:rsid w:val="00621D41"/>
    <w:rsid w:val="00621DCE"/>
    <w:rsid w:val="00621DF9"/>
    <w:rsid w:val="00621E8E"/>
    <w:rsid w:val="00622124"/>
    <w:rsid w:val="00622167"/>
    <w:rsid w:val="00622295"/>
    <w:rsid w:val="006222FF"/>
    <w:rsid w:val="00622316"/>
    <w:rsid w:val="00622334"/>
    <w:rsid w:val="00622381"/>
    <w:rsid w:val="006223BD"/>
    <w:rsid w:val="006223E8"/>
    <w:rsid w:val="006224E3"/>
    <w:rsid w:val="00622514"/>
    <w:rsid w:val="0062254E"/>
    <w:rsid w:val="0062258C"/>
    <w:rsid w:val="00622594"/>
    <w:rsid w:val="0062259A"/>
    <w:rsid w:val="006225CD"/>
    <w:rsid w:val="006225FA"/>
    <w:rsid w:val="00622649"/>
    <w:rsid w:val="00622654"/>
    <w:rsid w:val="00622655"/>
    <w:rsid w:val="00622694"/>
    <w:rsid w:val="006226D6"/>
    <w:rsid w:val="00622739"/>
    <w:rsid w:val="0062281D"/>
    <w:rsid w:val="0062284E"/>
    <w:rsid w:val="0062287C"/>
    <w:rsid w:val="0062288A"/>
    <w:rsid w:val="006228E2"/>
    <w:rsid w:val="0062290F"/>
    <w:rsid w:val="00622918"/>
    <w:rsid w:val="00622957"/>
    <w:rsid w:val="00622A10"/>
    <w:rsid w:val="00622A53"/>
    <w:rsid w:val="00622A5F"/>
    <w:rsid w:val="00622AA4"/>
    <w:rsid w:val="00622B81"/>
    <w:rsid w:val="00622BA0"/>
    <w:rsid w:val="00622BE6"/>
    <w:rsid w:val="00622C0C"/>
    <w:rsid w:val="00622C14"/>
    <w:rsid w:val="00622C1E"/>
    <w:rsid w:val="00622C69"/>
    <w:rsid w:val="00622CA6"/>
    <w:rsid w:val="00622D38"/>
    <w:rsid w:val="00622DAE"/>
    <w:rsid w:val="00622E1D"/>
    <w:rsid w:val="00622E72"/>
    <w:rsid w:val="00622EBC"/>
    <w:rsid w:val="00622EF2"/>
    <w:rsid w:val="00622F6B"/>
    <w:rsid w:val="00623060"/>
    <w:rsid w:val="00623071"/>
    <w:rsid w:val="00623126"/>
    <w:rsid w:val="0062329C"/>
    <w:rsid w:val="00623313"/>
    <w:rsid w:val="006233B5"/>
    <w:rsid w:val="006233B8"/>
    <w:rsid w:val="00623425"/>
    <w:rsid w:val="0062345A"/>
    <w:rsid w:val="006234B9"/>
    <w:rsid w:val="006234E6"/>
    <w:rsid w:val="0062354C"/>
    <w:rsid w:val="00623584"/>
    <w:rsid w:val="006235E5"/>
    <w:rsid w:val="00623602"/>
    <w:rsid w:val="00623606"/>
    <w:rsid w:val="006236DF"/>
    <w:rsid w:val="0062370B"/>
    <w:rsid w:val="006237A8"/>
    <w:rsid w:val="006237DF"/>
    <w:rsid w:val="00623888"/>
    <w:rsid w:val="006238C4"/>
    <w:rsid w:val="0062394D"/>
    <w:rsid w:val="0062397B"/>
    <w:rsid w:val="0062397D"/>
    <w:rsid w:val="0062398D"/>
    <w:rsid w:val="006239A9"/>
    <w:rsid w:val="00623A08"/>
    <w:rsid w:val="00623B22"/>
    <w:rsid w:val="00623B33"/>
    <w:rsid w:val="00623B77"/>
    <w:rsid w:val="00623C85"/>
    <w:rsid w:val="00623D14"/>
    <w:rsid w:val="00623D42"/>
    <w:rsid w:val="00623DE6"/>
    <w:rsid w:val="00623E38"/>
    <w:rsid w:val="00623E6D"/>
    <w:rsid w:val="00623E87"/>
    <w:rsid w:val="00623EAA"/>
    <w:rsid w:val="00623F0E"/>
    <w:rsid w:val="00623F93"/>
    <w:rsid w:val="00623FD6"/>
    <w:rsid w:val="006240BE"/>
    <w:rsid w:val="00624129"/>
    <w:rsid w:val="0062416E"/>
    <w:rsid w:val="00624266"/>
    <w:rsid w:val="0062426A"/>
    <w:rsid w:val="0062428A"/>
    <w:rsid w:val="0062428F"/>
    <w:rsid w:val="00624303"/>
    <w:rsid w:val="00624339"/>
    <w:rsid w:val="00624395"/>
    <w:rsid w:val="0062439D"/>
    <w:rsid w:val="006243D2"/>
    <w:rsid w:val="00624403"/>
    <w:rsid w:val="006244A8"/>
    <w:rsid w:val="0062455F"/>
    <w:rsid w:val="00624617"/>
    <w:rsid w:val="00624633"/>
    <w:rsid w:val="006246A2"/>
    <w:rsid w:val="006246ED"/>
    <w:rsid w:val="00624719"/>
    <w:rsid w:val="0062471B"/>
    <w:rsid w:val="00624749"/>
    <w:rsid w:val="00624769"/>
    <w:rsid w:val="006248BC"/>
    <w:rsid w:val="006248C2"/>
    <w:rsid w:val="006248FA"/>
    <w:rsid w:val="00624931"/>
    <w:rsid w:val="006249F6"/>
    <w:rsid w:val="00624A66"/>
    <w:rsid w:val="00624AB2"/>
    <w:rsid w:val="00624B16"/>
    <w:rsid w:val="00624B90"/>
    <w:rsid w:val="00624BA4"/>
    <w:rsid w:val="00624C70"/>
    <w:rsid w:val="00624C8D"/>
    <w:rsid w:val="00624CDF"/>
    <w:rsid w:val="00624D83"/>
    <w:rsid w:val="00624E89"/>
    <w:rsid w:val="00624EF9"/>
    <w:rsid w:val="00624F27"/>
    <w:rsid w:val="00624FA8"/>
    <w:rsid w:val="00624FAD"/>
    <w:rsid w:val="00624FF2"/>
    <w:rsid w:val="0062505C"/>
    <w:rsid w:val="006251FE"/>
    <w:rsid w:val="00625216"/>
    <w:rsid w:val="00625258"/>
    <w:rsid w:val="0062529F"/>
    <w:rsid w:val="006252A5"/>
    <w:rsid w:val="00625331"/>
    <w:rsid w:val="00625343"/>
    <w:rsid w:val="00625379"/>
    <w:rsid w:val="0062537E"/>
    <w:rsid w:val="00625427"/>
    <w:rsid w:val="0062549D"/>
    <w:rsid w:val="006254A6"/>
    <w:rsid w:val="006254C9"/>
    <w:rsid w:val="006254FA"/>
    <w:rsid w:val="0062551A"/>
    <w:rsid w:val="00625541"/>
    <w:rsid w:val="00625563"/>
    <w:rsid w:val="0062559E"/>
    <w:rsid w:val="006256B9"/>
    <w:rsid w:val="006256F2"/>
    <w:rsid w:val="00625701"/>
    <w:rsid w:val="0062578B"/>
    <w:rsid w:val="00625796"/>
    <w:rsid w:val="00625797"/>
    <w:rsid w:val="00625867"/>
    <w:rsid w:val="0062588E"/>
    <w:rsid w:val="006258DF"/>
    <w:rsid w:val="006258FD"/>
    <w:rsid w:val="00625A14"/>
    <w:rsid w:val="00625A22"/>
    <w:rsid w:val="00625A59"/>
    <w:rsid w:val="00625A7C"/>
    <w:rsid w:val="00625A8A"/>
    <w:rsid w:val="00625B7B"/>
    <w:rsid w:val="00625BE1"/>
    <w:rsid w:val="00625D53"/>
    <w:rsid w:val="00625DE5"/>
    <w:rsid w:val="00625E68"/>
    <w:rsid w:val="00625E88"/>
    <w:rsid w:val="00625EAD"/>
    <w:rsid w:val="00625EB4"/>
    <w:rsid w:val="00625F78"/>
    <w:rsid w:val="00625FB4"/>
    <w:rsid w:val="00625FCE"/>
    <w:rsid w:val="00625FE2"/>
    <w:rsid w:val="00626023"/>
    <w:rsid w:val="00626069"/>
    <w:rsid w:val="00626079"/>
    <w:rsid w:val="00626174"/>
    <w:rsid w:val="00626183"/>
    <w:rsid w:val="0062618D"/>
    <w:rsid w:val="006261B1"/>
    <w:rsid w:val="006261E7"/>
    <w:rsid w:val="00626202"/>
    <w:rsid w:val="006262CE"/>
    <w:rsid w:val="006262DF"/>
    <w:rsid w:val="00626318"/>
    <w:rsid w:val="0062631F"/>
    <w:rsid w:val="006263B9"/>
    <w:rsid w:val="00626414"/>
    <w:rsid w:val="00626496"/>
    <w:rsid w:val="00626534"/>
    <w:rsid w:val="006265CA"/>
    <w:rsid w:val="006265D2"/>
    <w:rsid w:val="006265E2"/>
    <w:rsid w:val="00626648"/>
    <w:rsid w:val="006268DC"/>
    <w:rsid w:val="006268EF"/>
    <w:rsid w:val="0062694D"/>
    <w:rsid w:val="00626A7A"/>
    <w:rsid w:val="00626AD0"/>
    <w:rsid w:val="00626B16"/>
    <w:rsid w:val="00626B65"/>
    <w:rsid w:val="00626B72"/>
    <w:rsid w:val="00626BE7"/>
    <w:rsid w:val="00626BF3"/>
    <w:rsid w:val="00626D33"/>
    <w:rsid w:val="00626E60"/>
    <w:rsid w:val="00626E67"/>
    <w:rsid w:val="00626ECB"/>
    <w:rsid w:val="00626FA1"/>
    <w:rsid w:val="00626FF9"/>
    <w:rsid w:val="00627003"/>
    <w:rsid w:val="0062701A"/>
    <w:rsid w:val="00627069"/>
    <w:rsid w:val="00627070"/>
    <w:rsid w:val="00627073"/>
    <w:rsid w:val="00627092"/>
    <w:rsid w:val="0062713D"/>
    <w:rsid w:val="00627339"/>
    <w:rsid w:val="0062740B"/>
    <w:rsid w:val="00627433"/>
    <w:rsid w:val="0062749D"/>
    <w:rsid w:val="006274BE"/>
    <w:rsid w:val="006274DF"/>
    <w:rsid w:val="00627578"/>
    <w:rsid w:val="006275BA"/>
    <w:rsid w:val="00627602"/>
    <w:rsid w:val="0062760C"/>
    <w:rsid w:val="0062761A"/>
    <w:rsid w:val="0062775B"/>
    <w:rsid w:val="0062775D"/>
    <w:rsid w:val="006277C3"/>
    <w:rsid w:val="00627811"/>
    <w:rsid w:val="006278A7"/>
    <w:rsid w:val="006278E5"/>
    <w:rsid w:val="006278F0"/>
    <w:rsid w:val="00627952"/>
    <w:rsid w:val="00627A7F"/>
    <w:rsid w:val="00627AD4"/>
    <w:rsid w:val="00627ADE"/>
    <w:rsid w:val="00627B18"/>
    <w:rsid w:val="00627B60"/>
    <w:rsid w:val="00627B6D"/>
    <w:rsid w:val="00627C56"/>
    <w:rsid w:val="00627C94"/>
    <w:rsid w:val="00627D4E"/>
    <w:rsid w:val="00627F38"/>
    <w:rsid w:val="00627F50"/>
    <w:rsid w:val="00627FB6"/>
    <w:rsid w:val="00630003"/>
    <w:rsid w:val="00630018"/>
    <w:rsid w:val="006300C1"/>
    <w:rsid w:val="006300EE"/>
    <w:rsid w:val="006301D8"/>
    <w:rsid w:val="006301FF"/>
    <w:rsid w:val="0063025A"/>
    <w:rsid w:val="006302AE"/>
    <w:rsid w:val="0063032E"/>
    <w:rsid w:val="00630365"/>
    <w:rsid w:val="006303AC"/>
    <w:rsid w:val="006303C3"/>
    <w:rsid w:val="0063041D"/>
    <w:rsid w:val="006304A2"/>
    <w:rsid w:val="0063051F"/>
    <w:rsid w:val="00630590"/>
    <w:rsid w:val="00630638"/>
    <w:rsid w:val="00630741"/>
    <w:rsid w:val="00630839"/>
    <w:rsid w:val="006308C8"/>
    <w:rsid w:val="006308E0"/>
    <w:rsid w:val="0063090E"/>
    <w:rsid w:val="0063097E"/>
    <w:rsid w:val="006309A1"/>
    <w:rsid w:val="006309B3"/>
    <w:rsid w:val="006309EF"/>
    <w:rsid w:val="00630A0D"/>
    <w:rsid w:val="00630A88"/>
    <w:rsid w:val="00630B4D"/>
    <w:rsid w:val="00630BA5"/>
    <w:rsid w:val="00630C42"/>
    <w:rsid w:val="00630D20"/>
    <w:rsid w:val="00630D64"/>
    <w:rsid w:val="00630D9C"/>
    <w:rsid w:val="00630DE8"/>
    <w:rsid w:val="00630E4C"/>
    <w:rsid w:val="00630EC1"/>
    <w:rsid w:val="00630EC8"/>
    <w:rsid w:val="00630F26"/>
    <w:rsid w:val="00630F38"/>
    <w:rsid w:val="00630F66"/>
    <w:rsid w:val="00630F94"/>
    <w:rsid w:val="00630FDD"/>
    <w:rsid w:val="00630FE2"/>
    <w:rsid w:val="0063108C"/>
    <w:rsid w:val="0063114E"/>
    <w:rsid w:val="00631167"/>
    <w:rsid w:val="00631184"/>
    <w:rsid w:val="0063119F"/>
    <w:rsid w:val="006311AC"/>
    <w:rsid w:val="006311B8"/>
    <w:rsid w:val="006311E3"/>
    <w:rsid w:val="006311EF"/>
    <w:rsid w:val="006312CE"/>
    <w:rsid w:val="00631378"/>
    <w:rsid w:val="0063139F"/>
    <w:rsid w:val="00631427"/>
    <w:rsid w:val="006314C2"/>
    <w:rsid w:val="00631599"/>
    <w:rsid w:val="00631635"/>
    <w:rsid w:val="00631637"/>
    <w:rsid w:val="006316AF"/>
    <w:rsid w:val="006316FE"/>
    <w:rsid w:val="00631736"/>
    <w:rsid w:val="006317F0"/>
    <w:rsid w:val="0063188E"/>
    <w:rsid w:val="006318A4"/>
    <w:rsid w:val="0063192F"/>
    <w:rsid w:val="0063196C"/>
    <w:rsid w:val="00631AD6"/>
    <w:rsid w:val="00631B00"/>
    <w:rsid w:val="00631B22"/>
    <w:rsid w:val="00631B53"/>
    <w:rsid w:val="00631B5F"/>
    <w:rsid w:val="00631B88"/>
    <w:rsid w:val="00631BB8"/>
    <w:rsid w:val="00631C63"/>
    <w:rsid w:val="00631C82"/>
    <w:rsid w:val="00631DAE"/>
    <w:rsid w:val="00631E0E"/>
    <w:rsid w:val="00631F32"/>
    <w:rsid w:val="00631FE9"/>
    <w:rsid w:val="00631FFC"/>
    <w:rsid w:val="00632009"/>
    <w:rsid w:val="006320D2"/>
    <w:rsid w:val="0063212E"/>
    <w:rsid w:val="006321A3"/>
    <w:rsid w:val="006321B5"/>
    <w:rsid w:val="00632240"/>
    <w:rsid w:val="00632271"/>
    <w:rsid w:val="006322C9"/>
    <w:rsid w:val="00632317"/>
    <w:rsid w:val="00632357"/>
    <w:rsid w:val="006323AE"/>
    <w:rsid w:val="006323B1"/>
    <w:rsid w:val="006323B2"/>
    <w:rsid w:val="0063240A"/>
    <w:rsid w:val="006324A5"/>
    <w:rsid w:val="006324F1"/>
    <w:rsid w:val="00632531"/>
    <w:rsid w:val="0063264C"/>
    <w:rsid w:val="0063268A"/>
    <w:rsid w:val="00632712"/>
    <w:rsid w:val="00632771"/>
    <w:rsid w:val="00632823"/>
    <w:rsid w:val="00632897"/>
    <w:rsid w:val="00632900"/>
    <w:rsid w:val="0063290E"/>
    <w:rsid w:val="0063293F"/>
    <w:rsid w:val="00632986"/>
    <w:rsid w:val="00632A0E"/>
    <w:rsid w:val="00632AAB"/>
    <w:rsid w:val="00632B13"/>
    <w:rsid w:val="00632C2F"/>
    <w:rsid w:val="00632C43"/>
    <w:rsid w:val="00632C4D"/>
    <w:rsid w:val="00632C80"/>
    <w:rsid w:val="00632D33"/>
    <w:rsid w:val="00632D8D"/>
    <w:rsid w:val="00632E38"/>
    <w:rsid w:val="00632E71"/>
    <w:rsid w:val="00632EA0"/>
    <w:rsid w:val="00632EED"/>
    <w:rsid w:val="00632FFD"/>
    <w:rsid w:val="0063302F"/>
    <w:rsid w:val="0063304A"/>
    <w:rsid w:val="0063309B"/>
    <w:rsid w:val="006330BF"/>
    <w:rsid w:val="006330E2"/>
    <w:rsid w:val="00633139"/>
    <w:rsid w:val="0063313B"/>
    <w:rsid w:val="00633174"/>
    <w:rsid w:val="006331DA"/>
    <w:rsid w:val="006331E9"/>
    <w:rsid w:val="0063325C"/>
    <w:rsid w:val="00633278"/>
    <w:rsid w:val="00633383"/>
    <w:rsid w:val="00633436"/>
    <w:rsid w:val="00633512"/>
    <w:rsid w:val="00633557"/>
    <w:rsid w:val="0063359C"/>
    <w:rsid w:val="006335AE"/>
    <w:rsid w:val="006335B1"/>
    <w:rsid w:val="0063360E"/>
    <w:rsid w:val="00633670"/>
    <w:rsid w:val="006336ED"/>
    <w:rsid w:val="00633775"/>
    <w:rsid w:val="00633798"/>
    <w:rsid w:val="006337B8"/>
    <w:rsid w:val="0063382E"/>
    <w:rsid w:val="0063384C"/>
    <w:rsid w:val="00633870"/>
    <w:rsid w:val="006338B6"/>
    <w:rsid w:val="006338CD"/>
    <w:rsid w:val="0063393B"/>
    <w:rsid w:val="0063394D"/>
    <w:rsid w:val="0063397D"/>
    <w:rsid w:val="006339C0"/>
    <w:rsid w:val="006339E1"/>
    <w:rsid w:val="00633A6C"/>
    <w:rsid w:val="00633AB2"/>
    <w:rsid w:val="00633B5A"/>
    <w:rsid w:val="00633B8E"/>
    <w:rsid w:val="00633BF2"/>
    <w:rsid w:val="00633C5C"/>
    <w:rsid w:val="00633CD6"/>
    <w:rsid w:val="00633E4F"/>
    <w:rsid w:val="00633E7A"/>
    <w:rsid w:val="00633EDC"/>
    <w:rsid w:val="00633F37"/>
    <w:rsid w:val="00633F86"/>
    <w:rsid w:val="00633F90"/>
    <w:rsid w:val="00633FF6"/>
    <w:rsid w:val="006340F1"/>
    <w:rsid w:val="0063411F"/>
    <w:rsid w:val="0063417B"/>
    <w:rsid w:val="00634183"/>
    <w:rsid w:val="006341C3"/>
    <w:rsid w:val="0063424A"/>
    <w:rsid w:val="0063427B"/>
    <w:rsid w:val="006342B9"/>
    <w:rsid w:val="006342CA"/>
    <w:rsid w:val="006342DA"/>
    <w:rsid w:val="0063436D"/>
    <w:rsid w:val="006343EE"/>
    <w:rsid w:val="00634417"/>
    <w:rsid w:val="0063449D"/>
    <w:rsid w:val="006344B7"/>
    <w:rsid w:val="006344F5"/>
    <w:rsid w:val="00634501"/>
    <w:rsid w:val="00634582"/>
    <w:rsid w:val="00634590"/>
    <w:rsid w:val="00634716"/>
    <w:rsid w:val="00634756"/>
    <w:rsid w:val="00634783"/>
    <w:rsid w:val="00634822"/>
    <w:rsid w:val="00634913"/>
    <w:rsid w:val="00634933"/>
    <w:rsid w:val="00634946"/>
    <w:rsid w:val="006349DF"/>
    <w:rsid w:val="006349E0"/>
    <w:rsid w:val="00634A57"/>
    <w:rsid w:val="00634C44"/>
    <w:rsid w:val="00634C4C"/>
    <w:rsid w:val="00634CA8"/>
    <w:rsid w:val="00634CBB"/>
    <w:rsid w:val="00634CD3"/>
    <w:rsid w:val="00634D36"/>
    <w:rsid w:val="00634D67"/>
    <w:rsid w:val="00634DA0"/>
    <w:rsid w:val="00634E3C"/>
    <w:rsid w:val="00634EEE"/>
    <w:rsid w:val="00634F9D"/>
    <w:rsid w:val="00635058"/>
    <w:rsid w:val="006350B8"/>
    <w:rsid w:val="00635227"/>
    <w:rsid w:val="00635242"/>
    <w:rsid w:val="0063527C"/>
    <w:rsid w:val="00635290"/>
    <w:rsid w:val="006352AF"/>
    <w:rsid w:val="006352D9"/>
    <w:rsid w:val="006352F7"/>
    <w:rsid w:val="0063537E"/>
    <w:rsid w:val="006353C0"/>
    <w:rsid w:val="006353C1"/>
    <w:rsid w:val="006353EE"/>
    <w:rsid w:val="0063541A"/>
    <w:rsid w:val="00635455"/>
    <w:rsid w:val="00635492"/>
    <w:rsid w:val="006354B4"/>
    <w:rsid w:val="006354BC"/>
    <w:rsid w:val="006354FB"/>
    <w:rsid w:val="0063550B"/>
    <w:rsid w:val="00635523"/>
    <w:rsid w:val="00635529"/>
    <w:rsid w:val="0063553E"/>
    <w:rsid w:val="006355A0"/>
    <w:rsid w:val="006355B9"/>
    <w:rsid w:val="00635608"/>
    <w:rsid w:val="0063560B"/>
    <w:rsid w:val="00635662"/>
    <w:rsid w:val="006356AC"/>
    <w:rsid w:val="006356B5"/>
    <w:rsid w:val="00635755"/>
    <w:rsid w:val="00635841"/>
    <w:rsid w:val="006358A5"/>
    <w:rsid w:val="006358CA"/>
    <w:rsid w:val="00635928"/>
    <w:rsid w:val="0063592D"/>
    <w:rsid w:val="00635939"/>
    <w:rsid w:val="00635965"/>
    <w:rsid w:val="00635978"/>
    <w:rsid w:val="00635B21"/>
    <w:rsid w:val="00635BC8"/>
    <w:rsid w:val="00635C8B"/>
    <w:rsid w:val="00635DB4"/>
    <w:rsid w:val="00635DB5"/>
    <w:rsid w:val="00635DFF"/>
    <w:rsid w:val="00635E23"/>
    <w:rsid w:val="00635E4D"/>
    <w:rsid w:val="00635E63"/>
    <w:rsid w:val="00635E74"/>
    <w:rsid w:val="00635E7C"/>
    <w:rsid w:val="00635ED2"/>
    <w:rsid w:val="00635EE0"/>
    <w:rsid w:val="00635F08"/>
    <w:rsid w:val="00635FA3"/>
    <w:rsid w:val="00635FB9"/>
    <w:rsid w:val="00635FD7"/>
    <w:rsid w:val="0063603A"/>
    <w:rsid w:val="0063606C"/>
    <w:rsid w:val="00636090"/>
    <w:rsid w:val="006360C0"/>
    <w:rsid w:val="0063619D"/>
    <w:rsid w:val="006361A2"/>
    <w:rsid w:val="006361E7"/>
    <w:rsid w:val="00636333"/>
    <w:rsid w:val="00636367"/>
    <w:rsid w:val="006363B4"/>
    <w:rsid w:val="00636434"/>
    <w:rsid w:val="006364BE"/>
    <w:rsid w:val="006364ED"/>
    <w:rsid w:val="00636559"/>
    <w:rsid w:val="00636595"/>
    <w:rsid w:val="00636635"/>
    <w:rsid w:val="0063669E"/>
    <w:rsid w:val="006366BC"/>
    <w:rsid w:val="006366F3"/>
    <w:rsid w:val="00636711"/>
    <w:rsid w:val="0063681F"/>
    <w:rsid w:val="00636876"/>
    <w:rsid w:val="0063690F"/>
    <w:rsid w:val="0063693E"/>
    <w:rsid w:val="00636949"/>
    <w:rsid w:val="006369D2"/>
    <w:rsid w:val="00636A00"/>
    <w:rsid w:val="00636A3C"/>
    <w:rsid w:val="00636B4B"/>
    <w:rsid w:val="00636B9D"/>
    <w:rsid w:val="00636BA0"/>
    <w:rsid w:val="00636BCA"/>
    <w:rsid w:val="00636BE4"/>
    <w:rsid w:val="00636C3E"/>
    <w:rsid w:val="00636C5F"/>
    <w:rsid w:val="00636CCC"/>
    <w:rsid w:val="00636E23"/>
    <w:rsid w:val="00636E9C"/>
    <w:rsid w:val="00636F60"/>
    <w:rsid w:val="00636FB8"/>
    <w:rsid w:val="00637031"/>
    <w:rsid w:val="0063706F"/>
    <w:rsid w:val="006370DD"/>
    <w:rsid w:val="0063719D"/>
    <w:rsid w:val="006371E6"/>
    <w:rsid w:val="006372F3"/>
    <w:rsid w:val="00637464"/>
    <w:rsid w:val="006374DF"/>
    <w:rsid w:val="00637569"/>
    <w:rsid w:val="00637587"/>
    <w:rsid w:val="006375D2"/>
    <w:rsid w:val="00637621"/>
    <w:rsid w:val="00637651"/>
    <w:rsid w:val="0063765C"/>
    <w:rsid w:val="00637678"/>
    <w:rsid w:val="00637797"/>
    <w:rsid w:val="006377EF"/>
    <w:rsid w:val="00637868"/>
    <w:rsid w:val="0063789E"/>
    <w:rsid w:val="006378CD"/>
    <w:rsid w:val="00637949"/>
    <w:rsid w:val="0063799F"/>
    <w:rsid w:val="006379E4"/>
    <w:rsid w:val="00637A56"/>
    <w:rsid w:val="00637A73"/>
    <w:rsid w:val="00637A96"/>
    <w:rsid w:val="00637BB6"/>
    <w:rsid w:val="00637BD1"/>
    <w:rsid w:val="00637BDB"/>
    <w:rsid w:val="00637C22"/>
    <w:rsid w:val="00637C84"/>
    <w:rsid w:val="00637D74"/>
    <w:rsid w:val="00637E85"/>
    <w:rsid w:val="00637E8E"/>
    <w:rsid w:val="00637EB6"/>
    <w:rsid w:val="00637F19"/>
    <w:rsid w:val="00637FAE"/>
    <w:rsid w:val="00637FC3"/>
    <w:rsid w:val="00640027"/>
    <w:rsid w:val="0064007A"/>
    <w:rsid w:val="00640093"/>
    <w:rsid w:val="0064013F"/>
    <w:rsid w:val="00640191"/>
    <w:rsid w:val="00640194"/>
    <w:rsid w:val="00640196"/>
    <w:rsid w:val="006401B2"/>
    <w:rsid w:val="00640273"/>
    <w:rsid w:val="0064027E"/>
    <w:rsid w:val="00640406"/>
    <w:rsid w:val="00640538"/>
    <w:rsid w:val="006408AB"/>
    <w:rsid w:val="006409C6"/>
    <w:rsid w:val="00640A9A"/>
    <w:rsid w:val="00640ADA"/>
    <w:rsid w:val="00640BB5"/>
    <w:rsid w:val="00640C4C"/>
    <w:rsid w:val="00640D09"/>
    <w:rsid w:val="00640D27"/>
    <w:rsid w:val="00640DF3"/>
    <w:rsid w:val="00640DFB"/>
    <w:rsid w:val="00640EAA"/>
    <w:rsid w:val="00640ECA"/>
    <w:rsid w:val="00640F6C"/>
    <w:rsid w:val="00640F8B"/>
    <w:rsid w:val="0064101B"/>
    <w:rsid w:val="006410F5"/>
    <w:rsid w:val="00641142"/>
    <w:rsid w:val="00641227"/>
    <w:rsid w:val="0064124F"/>
    <w:rsid w:val="00641267"/>
    <w:rsid w:val="006412A6"/>
    <w:rsid w:val="0064134A"/>
    <w:rsid w:val="00641407"/>
    <w:rsid w:val="00641435"/>
    <w:rsid w:val="006414CE"/>
    <w:rsid w:val="00641518"/>
    <w:rsid w:val="00641559"/>
    <w:rsid w:val="00641577"/>
    <w:rsid w:val="0064157F"/>
    <w:rsid w:val="0064160D"/>
    <w:rsid w:val="006416CF"/>
    <w:rsid w:val="00641760"/>
    <w:rsid w:val="00641773"/>
    <w:rsid w:val="00641776"/>
    <w:rsid w:val="006417B4"/>
    <w:rsid w:val="006418A3"/>
    <w:rsid w:val="00641965"/>
    <w:rsid w:val="006419B3"/>
    <w:rsid w:val="006419C3"/>
    <w:rsid w:val="00641A61"/>
    <w:rsid w:val="00641A8B"/>
    <w:rsid w:val="00641AA6"/>
    <w:rsid w:val="00641AF4"/>
    <w:rsid w:val="00641B18"/>
    <w:rsid w:val="00641B2F"/>
    <w:rsid w:val="00641B3A"/>
    <w:rsid w:val="00641B6D"/>
    <w:rsid w:val="00641CC8"/>
    <w:rsid w:val="00641D17"/>
    <w:rsid w:val="00641D99"/>
    <w:rsid w:val="00641D9F"/>
    <w:rsid w:val="00641E5C"/>
    <w:rsid w:val="00641E8A"/>
    <w:rsid w:val="00641E95"/>
    <w:rsid w:val="00641EEA"/>
    <w:rsid w:val="00641F22"/>
    <w:rsid w:val="00641F29"/>
    <w:rsid w:val="00641F5C"/>
    <w:rsid w:val="00641F7E"/>
    <w:rsid w:val="0064202E"/>
    <w:rsid w:val="00642041"/>
    <w:rsid w:val="00642091"/>
    <w:rsid w:val="00642198"/>
    <w:rsid w:val="006421A0"/>
    <w:rsid w:val="006421D9"/>
    <w:rsid w:val="00642238"/>
    <w:rsid w:val="006422F0"/>
    <w:rsid w:val="00642335"/>
    <w:rsid w:val="00642364"/>
    <w:rsid w:val="006424A2"/>
    <w:rsid w:val="006424C0"/>
    <w:rsid w:val="006424C7"/>
    <w:rsid w:val="006424E9"/>
    <w:rsid w:val="00642516"/>
    <w:rsid w:val="0064256E"/>
    <w:rsid w:val="00642610"/>
    <w:rsid w:val="00642629"/>
    <w:rsid w:val="006426A8"/>
    <w:rsid w:val="006426E7"/>
    <w:rsid w:val="00642701"/>
    <w:rsid w:val="006427E7"/>
    <w:rsid w:val="006427EB"/>
    <w:rsid w:val="00642837"/>
    <w:rsid w:val="006428C4"/>
    <w:rsid w:val="00642906"/>
    <w:rsid w:val="0064295B"/>
    <w:rsid w:val="006429F1"/>
    <w:rsid w:val="00642AD5"/>
    <w:rsid w:val="00642C70"/>
    <w:rsid w:val="00642C98"/>
    <w:rsid w:val="00642C9B"/>
    <w:rsid w:val="00642CB8"/>
    <w:rsid w:val="00642D46"/>
    <w:rsid w:val="00642D75"/>
    <w:rsid w:val="00642DC0"/>
    <w:rsid w:val="00642DF7"/>
    <w:rsid w:val="00642EBF"/>
    <w:rsid w:val="00642F17"/>
    <w:rsid w:val="00642F6E"/>
    <w:rsid w:val="0064304E"/>
    <w:rsid w:val="00643051"/>
    <w:rsid w:val="006430E9"/>
    <w:rsid w:val="0064317F"/>
    <w:rsid w:val="006431C3"/>
    <w:rsid w:val="00643270"/>
    <w:rsid w:val="00643383"/>
    <w:rsid w:val="0064339E"/>
    <w:rsid w:val="006433BE"/>
    <w:rsid w:val="00643464"/>
    <w:rsid w:val="006434E1"/>
    <w:rsid w:val="006435A1"/>
    <w:rsid w:val="006435B6"/>
    <w:rsid w:val="006435E4"/>
    <w:rsid w:val="00643607"/>
    <w:rsid w:val="00643628"/>
    <w:rsid w:val="0064365D"/>
    <w:rsid w:val="006439CD"/>
    <w:rsid w:val="00643A3A"/>
    <w:rsid w:val="00643AC7"/>
    <w:rsid w:val="00643BA5"/>
    <w:rsid w:val="00643C18"/>
    <w:rsid w:val="00643CA4"/>
    <w:rsid w:val="00643D8A"/>
    <w:rsid w:val="00643DD1"/>
    <w:rsid w:val="00643E39"/>
    <w:rsid w:val="00643E52"/>
    <w:rsid w:val="00643E59"/>
    <w:rsid w:val="00643EC5"/>
    <w:rsid w:val="00643EF4"/>
    <w:rsid w:val="00643FCB"/>
    <w:rsid w:val="00644050"/>
    <w:rsid w:val="006440B2"/>
    <w:rsid w:val="00644130"/>
    <w:rsid w:val="006441C3"/>
    <w:rsid w:val="006441D1"/>
    <w:rsid w:val="006441E4"/>
    <w:rsid w:val="00644285"/>
    <w:rsid w:val="006442D4"/>
    <w:rsid w:val="006442EC"/>
    <w:rsid w:val="00644325"/>
    <w:rsid w:val="0064439C"/>
    <w:rsid w:val="006443A0"/>
    <w:rsid w:val="006444C2"/>
    <w:rsid w:val="00644545"/>
    <w:rsid w:val="006445B6"/>
    <w:rsid w:val="006445CB"/>
    <w:rsid w:val="00644648"/>
    <w:rsid w:val="006446DF"/>
    <w:rsid w:val="006447AD"/>
    <w:rsid w:val="00644904"/>
    <w:rsid w:val="00644932"/>
    <w:rsid w:val="00644991"/>
    <w:rsid w:val="006449C3"/>
    <w:rsid w:val="006449C8"/>
    <w:rsid w:val="00644ACC"/>
    <w:rsid w:val="00644B08"/>
    <w:rsid w:val="00644B2F"/>
    <w:rsid w:val="00644B4B"/>
    <w:rsid w:val="00644B5F"/>
    <w:rsid w:val="00644B7D"/>
    <w:rsid w:val="00644B83"/>
    <w:rsid w:val="00644BFF"/>
    <w:rsid w:val="00644C7F"/>
    <w:rsid w:val="00644D35"/>
    <w:rsid w:val="00644DA1"/>
    <w:rsid w:val="00644E24"/>
    <w:rsid w:val="00644E66"/>
    <w:rsid w:val="00644EB3"/>
    <w:rsid w:val="00644F56"/>
    <w:rsid w:val="00644F7A"/>
    <w:rsid w:val="00644FEE"/>
    <w:rsid w:val="006450DE"/>
    <w:rsid w:val="00645199"/>
    <w:rsid w:val="0064521B"/>
    <w:rsid w:val="00645243"/>
    <w:rsid w:val="00645292"/>
    <w:rsid w:val="0064533F"/>
    <w:rsid w:val="006453A0"/>
    <w:rsid w:val="006453E3"/>
    <w:rsid w:val="006453E6"/>
    <w:rsid w:val="00645442"/>
    <w:rsid w:val="00645448"/>
    <w:rsid w:val="00645453"/>
    <w:rsid w:val="0064551A"/>
    <w:rsid w:val="00645545"/>
    <w:rsid w:val="00645550"/>
    <w:rsid w:val="00645590"/>
    <w:rsid w:val="00645598"/>
    <w:rsid w:val="0064559B"/>
    <w:rsid w:val="006455B6"/>
    <w:rsid w:val="0064565F"/>
    <w:rsid w:val="00645752"/>
    <w:rsid w:val="00645791"/>
    <w:rsid w:val="006457AC"/>
    <w:rsid w:val="006457D9"/>
    <w:rsid w:val="006457DC"/>
    <w:rsid w:val="006457E3"/>
    <w:rsid w:val="0064587D"/>
    <w:rsid w:val="006458B8"/>
    <w:rsid w:val="006458D4"/>
    <w:rsid w:val="00645920"/>
    <w:rsid w:val="00645984"/>
    <w:rsid w:val="00645A96"/>
    <w:rsid w:val="00645AC2"/>
    <w:rsid w:val="00645AF6"/>
    <w:rsid w:val="00645C11"/>
    <w:rsid w:val="00645C47"/>
    <w:rsid w:val="00645D4C"/>
    <w:rsid w:val="00645D99"/>
    <w:rsid w:val="00645DC2"/>
    <w:rsid w:val="00645E23"/>
    <w:rsid w:val="00645E2C"/>
    <w:rsid w:val="00645E57"/>
    <w:rsid w:val="00645E7F"/>
    <w:rsid w:val="00645ED7"/>
    <w:rsid w:val="00645EFC"/>
    <w:rsid w:val="00645F90"/>
    <w:rsid w:val="0064601C"/>
    <w:rsid w:val="0064604A"/>
    <w:rsid w:val="0064606D"/>
    <w:rsid w:val="00646094"/>
    <w:rsid w:val="006460B6"/>
    <w:rsid w:val="0064611A"/>
    <w:rsid w:val="00646159"/>
    <w:rsid w:val="006461D2"/>
    <w:rsid w:val="0064621B"/>
    <w:rsid w:val="00646220"/>
    <w:rsid w:val="006462A0"/>
    <w:rsid w:val="006462A6"/>
    <w:rsid w:val="0064630A"/>
    <w:rsid w:val="0064634E"/>
    <w:rsid w:val="00646378"/>
    <w:rsid w:val="006463B6"/>
    <w:rsid w:val="006463FE"/>
    <w:rsid w:val="00646408"/>
    <w:rsid w:val="00646597"/>
    <w:rsid w:val="006465C3"/>
    <w:rsid w:val="0064661B"/>
    <w:rsid w:val="006466A1"/>
    <w:rsid w:val="006466F3"/>
    <w:rsid w:val="0064670B"/>
    <w:rsid w:val="006467C1"/>
    <w:rsid w:val="00646874"/>
    <w:rsid w:val="0064691F"/>
    <w:rsid w:val="00646A79"/>
    <w:rsid w:val="00646AF1"/>
    <w:rsid w:val="00646B35"/>
    <w:rsid w:val="00646BC3"/>
    <w:rsid w:val="00646C33"/>
    <w:rsid w:val="00646D25"/>
    <w:rsid w:val="00646E06"/>
    <w:rsid w:val="00646E86"/>
    <w:rsid w:val="00646EEE"/>
    <w:rsid w:val="00646F16"/>
    <w:rsid w:val="00646FA9"/>
    <w:rsid w:val="00646FFD"/>
    <w:rsid w:val="00647043"/>
    <w:rsid w:val="0064714C"/>
    <w:rsid w:val="00647183"/>
    <w:rsid w:val="0064719B"/>
    <w:rsid w:val="006471BF"/>
    <w:rsid w:val="00647207"/>
    <w:rsid w:val="006472CE"/>
    <w:rsid w:val="006473C9"/>
    <w:rsid w:val="006473F5"/>
    <w:rsid w:val="00647437"/>
    <w:rsid w:val="00647490"/>
    <w:rsid w:val="0064762A"/>
    <w:rsid w:val="00647675"/>
    <w:rsid w:val="00647731"/>
    <w:rsid w:val="0064774F"/>
    <w:rsid w:val="00647798"/>
    <w:rsid w:val="0064783B"/>
    <w:rsid w:val="006478A6"/>
    <w:rsid w:val="006478B4"/>
    <w:rsid w:val="006478C2"/>
    <w:rsid w:val="0064794F"/>
    <w:rsid w:val="0064799A"/>
    <w:rsid w:val="006479DD"/>
    <w:rsid w:val="006479FB"/>
    <w:rsid w:val="00647A06"/>
    <w:rsid w:val="00647A36"/>
    <w:rsid w:val="00647A52"/>
    <w:rsid w:val="00647A8A"/>
    <w:rsid w:val="00647B4F"/>
    <w:rsid w:val="00647BC5"/>
    <w:rsid w:val="00647C26"/>
    <w:rsid w:val="00647C47"/>
    <w:rsid w:val="00647CC5"/>
    <w:rsid w:val="00647D12"/>
    <w:rsid w:val="00647D90"/>
    <w:rsid w:val="00647E27"/>
    <w:rsid w:val="00647E92"/>
    <w:rsid w:val="00647F5B"/>
    <w:rsid w:val="00647F66"/>
    <w:rsid w:val="00647F69"/>
    <w:rsid w:val="00647FBB"/>
    <w:rsid w:val="0065000C"/>
    <w:rsid w:val="0065006F"/>
    <w:rsid w:val="0065013D"/>
    <w:rsid w:val="0065014B"/>
    <w:rsid w:val="006501D8"/>
    <w:rsid w:val="006502A0"/>
    <w:rsid w:val="006502FC"/>
    <w:rsid w:val="00650390"/>
    <w:rsid w:val="006503A4"/>
    <w:rsid w:val="006503CE"/>
    <w:rsid w:val="006504AA"/>
    <w:rsid w:val="006504B5"/>
    <w:rsid w:val="00650516"/>
    <w:rsid w:val="0065053A"/>
    <w:rsid w:val="00650582"/>
    <w:rsid w:val="006505A7"/>
    <w:rsid w:val="0065063F"/>
    <w:rsid w:val="006506D8"/>
    <w:rsid w:val="006506DF"/>
    <w:rsid w:val="00650701"/>
    <w:rsid w:val="0065078E"/>
    <w:rsid w:val="006507BC"/>
    <w:rsid w:val="006507FB"/>
    <w:rsid w:val="006507FF"/>
    <w:rsid w:val="00650833"/>
    <w:rsid w:val="0065083E"/>
    <w:rsid w:val="00650912"/>
    <w:rsid w:val="00650AA9"/>
    <w:rsid w:val="00650ACA"/>
    <w:rsid w:val="00650C67"/>
    <w:rsid w:val="00650C73"/>
    <w:rsid w:val="00650CAC"/>
    <w:rsid w:val="00650CB8"/>
    <w:rsid w:val="00650CCE"/>
    <w:rsid w:val="00650CCF"/>
    <w:rsid w:val="00650CF1"/>
    <w:rsid w:val="00650D1C"/>
    <w:rsid w:val="00650D4D"/>
    <w:rsid w:val="00650D85"/>
    <w:rsid w:val="00650D9E"/>
    <w:rsid w:val="00650DB9"/>
    <w:rsid w:val="00650DC4"/>
    <w:rsid w:val="00650DDB"/>
    <w:rsid w:val="00650EEC"/>
    <w:rsid w:val="00650F6F"/>
    <w:rsid w:val="00650F9D"/>
    <w:rsid w:val="00651039"/>
    <w:rsid w:val="0065118E"/>
    <w:rsid w:val="0065122D"/>
    <w:rsid w:val="00651277"/>
    <w:rsid w:val="00651280"/>
    <w:rsid w:val="00651303"/>
    <w:rsid w:val="0065133B"/>
    <w:rsid w:val="0065136D"/>
    <w:rsid w:val="00651370"/>
    <w:rsid w:val="0065138D"/>
    <w:rsid w:val="006513BC"/>
    <w:rsid w:val="006513E7"/>
    <w:rsid w:val="006513FD"/>
    <w:rsid w:val="0065148D"/>
    <w:rsid w:val="006514CE"/>
    <w:rsid w:val="006515A1"/>
    <w:rsid w:val="0065165E"/>
    <w:rsid w:val="006516C7"/>
    <w:rsid w:val="006516F6"/>
    <w:rsid w:val="0065171B"/>
    <w:rsid w:val="00651827"/>
    <w:rsid w:val="00651877"/>
    <w:rsid w:val="00651879"/>
    <w:rsid w:val="006518B9"/>
    <w:rsid w:val="006518EB"/>
    <w:rsid w:val="00651AB2"/>
    <w:rsid w:val="00651AB5"/>
    <w:rsid w:val="00651AED"/>
    <w:rsid w:val="00651AF8"/>
    <w:rsid w:val="00651B01"/>
    <w:rsid w:val="00651B3D"/>
    <w:rsid w:val="00651B53"/>
    <w:rsid w:val="00651B58"/>
    <w:rsid w:val="00651CDF"/>
    <w:rsid w:val="00651D8D"/>
    <w:rsid w:val="00651DC6"/>
    <w:rsid w:val="00651DE1"/>
    <w:rsid w:val="00651E56"/>
    <w:rsid w:val="00651EAF"/>
    <w:rsid w:val="00651FD9"/>
    <w:rsid w:val="006520A2"/>
    <w:rsid w:val="0065217E"/>
    <w:rsid w:val="0065224D"/>
    <w:rsid w:val="0065226F"/>
    <w:rsid w:val="006522A4"/>
    <w:rsid w:val="006522EA"/>
    <w:rsid w:val="006522F7"/>
    <w:rsid w:val="006523F6"/>
    <w:rsid w:val="00652452"/>
    <w:rsid w:val="006524D9"/>
    <w:rsid w:val="006524EF"/>
    <w:rsid w:val="00652602"/>
    <w:rsid w:val="0065265D"/>
    <w:rsid w:val="00652769"/>
    <w:rsid w:val="0065295C"/>
    <w:rsid w:val="006529EB"/>
    <w:rsid w:val="006529FF"/>
    <w:rsid w:val="00652A5E"/>
    <w:rsid w:val="00652AC0"/>
    <w:rsid w:val="00652B0C"/>
    <w:rsid w:val="00652B21"/>
    <w:rsid w:val="00652CB7"/>
    <w:rsid w:val="00652CC2"/>
    <w:rsid w:val="00652CE4"/>
    <w:rsid w:val="00652CF5"/>
    <w:rsid w:val="00652D0A"/>
    <w:rsid w:val="00652E0D"/>
    <w:rsid w:val="00652E9F"/>
    <w:rsid w:val="00652EC9"/>
    <w:rsid w:val="00652FCC"/>
    <w:rsid w:val="00652FF5"/>
    <w:rsid w:val="00652FFB"/>
    <w:rsid w:val="00653088"/>
    <w:rsid w:val="0065313F"/>
    <w:rsid w:val="0065317C"/>
    <w:rsid w:val="00653217"/>
    <w:rsid w:val="00653276"/>
    <w:rsid w:val="00653319"/>
    <w:rsid w:val="00653363"/>
    <w:rsid w:val="0065337E"/>
    <w:rsid w:val="006533C2"/>
    <w:rsid w:val="0065342E"/>
    <w:rsid w:val="00653448"/>
    <w:rsid w:val="006534B2"/>
    <w:rsid w:val="006535F9"/>
    <w:rsid w:val="00653650"/>
    <w:rsid w:val="006536E9"/>
    <w:rsid w:val="00653701"/>
    <w:rsid w:val="00653709"/>
    <w:rsid w:val="0065372F"/>
    <w:rsid w:val="0065386D"/>
    <w:rsid w:val="0065388B"/>
    <w:rsid w:val="006538B6"/>
    <w:rsid w:val="006538BB"/>
    <w:rsid w:val="00653904"/>
    <w:rsid w:val="00653949"/>
    <w:rsid w:val="006539F5"/>
    <w:rsid w:val="006539F9"/>
    <w:rsid w:val="00653A37"/>
    <w:rsid w:val="00653A6C"/>
    <w:rsid w:val="00653AE0"/>
    <w:rsid w:val="00653B72"/>
    <w:rsid w:val="00653BF9"/>
    <w:rsid w:val="00653D10"/>
    <w:rsid w:val="00653D4E"/>
    <w:rsid w:val="00653DAE"/>
    <w:rsid w:val="00653DF3"/>
    <w:rsid w:val="00653E1C"/>
    <w:rsid w:val="00653F41"/>
    <w:rsid w:val="00653F44"/>
    <w:rsid w:val="00653F5F"/>
    <w:rsid w:val="00653F7E"/>
    <w:rsid w:val="00653FA0"/>
    <w:rsid w:val="00653FEA"/>
    <w:rsid w:val="00654001"/>
    <w:rsid w:val="006540DF"/>
    <w:rsid w:val="006541E7"/>
    <w:rsid w:val="00654219"/>
    <w:rsid w:val="006543C4"/>
    <w:rsid w:val="0065440F"/>
    <w:rsid w:val="0065446E"/>
    <w:rsid w:val="00654486"/>
    <w:rsid w:val="00654521"/>
    <w:rsid w:val="006545C0"/>
    <w:rsid w:val="006545C1"/>
    <w:rsid w:val="006546A8"/>
    <w:rsid w:val="00654715"/>
    <w:rsid w:val="006547DC"/>
    <w:rsid w:val="00654AB7"/>
    <w:rsid w:val="00654AE0"/>
    <w:rsid w:val="00654B00"/>
    <w:rsid w:val="00654B25"/>
    <w:rsid w:val="00654BC8"/>
    <w:rsid w:val="00654BCE"/>
    <w:rsid w:val="00654BDB"/>
    <w:rsid w:val="00654BF5"/>
    <w:rsid w:val="00654C14"/>
    <w:rsid w:val="00654C43"/>
    <w:rsid w:val="00654D58"/>
    <w:rsid w:val="00654D6B"/>
    <w:rsid w:val="00654D8C"/>
    <w:rsid w:val="00654D90"/>
    <w:rsid w:val="00654E08"/>
    <w:rsid w:val="00654E65"/>
    <w:rsid w:val="00654F21"/>
    <w:rsid w:val="00654FBD"/>
    <w:rsid w:val="00655052"/>
    <w:rsid w:val="0065522D"/>
    <w:rsid w:val="00655304"/>
    <w:rsid w:val="006553E8"/>
    <w:rsid w:val="006553EA"/>
    <w:rsid w:val="006554D4"/>
    <w:rsid w:val="00655502"/>
    <w:rsid w:val="006555E6"/>
    <w:rsid w:val="006555EA"/>
    <w:rsid w:val="0065564D"/>
    <w:rsid w:val="006556CB"/>
    <w:rsid w:val="00655751"/>
    <w:rsid w:val="00655788"/>
    <w:rsid w:val="006557E7"/>
    <w:rsid w:val="006558F5"/>
    <w:rsid w:val="00655942"/>
    <w:rsid w:val="00655983"/>
    <w:rsid w:val="0065598C"/>
    <w:rsid w:val="006559A5"/>
    <w:rsid w:val="00655A5A"/>
    <w:rsid w:val="00655A77"/>
    <w:rsid w:val="00655B07"/>
    <w:rsid w:val="00655E99"/>
    <w:rsid w:val="00655EC5"/>
    <w:rsid w:val="00655F58"/>
    <w:rsid w:val="00655FD5"/>
    <w:rsid w:val="00656080"/>
    <w:rsid w:val="0065614C"/>
    <w:rsid w:val="00656192"/>
    <w:rsid w:val="0065627F"/>
    <w:rsid w:val="00656296"/>
    <w:rsid w:val="006562CC"/>
    <w:rsid w:val="006562EE"/>
    <w:rsid w:val="00656330"/>
    <w:rsid w:val="0065639D"/>
    <w:rsid w:val="006563B8"/>
    <w:rsid w:val="006563C1"/>
    <w:rsid w:val="0065643A"/>
    <w:rsid w:val="006564EE"/>
    <w:rsid w:val="00656551"/>
    <w:rsid w:val="00656605"/>
    <w:rsid w:val="0065667C"/>
    <w:rsid w:val="00656687"/>
    <w:rsid w:val="0065671B"/>
    <w:rsid w:val="00656733"/>
    <w:rsid w:val="00656806"/>
    <w:rsid w:val="00656846"/>
    <w:rsid w:val="006568A1"/>
    <w:rsid w:val="006569EF"/>
    <w:rsid w:val="00656AC7"/>
    <w:rsid w:val="00656B11"/>
    <w:rsid w:val="00656B9C"/>
    <w:rsid w:val="00656BA0"/>
    <w:rsid w:val="00656C00"/>
    <w:rsid w:val="00656C8F"/>
    <w:rsid w:val="00656C9B"/>
    <w:rsid w:val="00656D15"/>
    <w:rsid w:val="00656D39"/>
    <w:rsid w:val="00656D40"/>
    <w:rsid w:val="00656D42"/>
    <w:rsid w:val="00656D93"/>
    <w:rsid w:val="00656DBC"/>
    <w:rsid w:val="00656DF0"/>
    <w:rsid w:val="00656E07"/>
    <w:rsid w:val="00656E20"/>
    <w:rsid w:val="00656EA1"/>
    <w:rsid w:val="00656FFA"/>
    <w:rsid w:val="00657004"/>
    <w:rsid w:val="0065702F"/>
    <w:rsid w:val="00657116"/>
    <w:rsid w:val="00657122"/>
    <w:rsid w:val="00657152"/>
    <w:rsid w:val="006571A9"/>
    <w:rsid w:val="00657333"/>
    <w:rsid w:val="006573A3"/>
    <w:rsid w:val="006573E4"/>
    <w:rsid w:val="006573F6"/>
    <w:rsid w:val="0065743C"/>
    <w:rsid w:val="00657499"/>
    <w:rsid w:val="006574CB"/>
    <w:rsid w:val="00657503"/>
    <w:rsid w:val="0065757C"/>
    <w:rsid w:val="006575B4"/>
    <w:rsid w:val="00657635"/>
    <w:rsid w:val="00657656"/>
    <w:rsid w:val="00657673"/>
    <w:rsid w:val="006576A9"/>
    <w:rsid w:val="006577A0"/>
    <w:rsid w:val="006578E9"/>
    <w:rsid w:val="0065790C"/>
    <w:rsid w:val="00657980"/>
    <w:rsid w:val="00657986"/>
    <w:rsid w:val="006579B0"/>
    <w:rsid w:val="00657ABC"/>
    <w:rsid w:val="00657B00"/>
    <w:rsid w:val="00657BBA"/>
    <w:rsid w:val="00657BEB"/>
    <w:rsid w:val="00657C0A"/>
    <w:rsid w:val="00657C8D"/>
    <w:rsid w:val="00657D9E"/>
    <w:rsid w:val="00657DCE"/>
    <w:rsid w:val="00657EA0"/>
    <w:rsid w:val="00657EA7"/>
    <w:rsid w:val="00660116"/>
    <w:rsid w:val="0066017A"/>
    <w:rsid w:val="00660262"/>
    <w:rsid w:val="0066027E"/>
    <w:rsid w:val="00660284"/>
    <w:rsid w:val="00660337"/>
    <w:rsid w:val="00660338"/>
    <w:rsid w:val="00660341"/>
    <w:rsid w:val="006603C2"/>
    <w:rsid w:val="006603E3"/>
    <w:rsid w:val="0066041A"/>
    <w:rsid w:val="0066048D"/>
    <w:rsid w:val="00660496"/>
    <w:rsid w:val="006605BF"/>
    <w:rsid w:val="006605C4"/>
    <w:rsid w:val="00660689"/>
    <w:rsid w:val="006606A4"/>
    <w:rsid w:val="006606E6"/>
    <w:rsid w:val="00660725"/>
    <w:rsid w:val="00660770"/>
    <w:rsid w:val="006607B5"/>
    <w:rsid w:val="006607BC"/>
    <w:rsid w:val="0066080D"/>
    <w:rsid w:val="0066086F"/>
    <w:rsid w:val="006608F1"/>
    <w:rsid w:val="00660A28"/>
    <w:rsid w:val="00660A2B"/>
    <w:rsid w:val="00660A3C"/>
    <w:rsid w:val="00660A7A"/>
    <w:rsid w:val="00660AFC"/>
    <w:rsid w:val="00660B58"/>
    <w:rsid w:val="00660B89"/>
    <w:rsid w:val="00660C29"/>
    <w:rsid w:val="00660C2F"/>
    <w:rsid w:val="00660C71"/>
    <w:rsid w:val="00660C80"/>
    <w:rsid w:val="00660D17"/>
    <w:rsid w:val="00660D37"/>
    <w:rsid w:val="00660DA4"/>
    <w:rsid w:val="00660DA9"/>
    <w:rsid w:val="00660DE9"/>
    <w:rsid w:val="00660E74"/>
    <w:rsid w:val="00660F40"/>
    <w:rsid w:val="00660F71"/>
    <w:rsid w:val="00661000"/>
    <w:rsid w:val="00661050"/>
    <w:rsid w:val="006610B3"/>
    <w:rsid w:val="006610D7"/>
    <w:rsid w:val="00661186"/>
    <w:rsid w:val="006611C8"/>
    <w:rsid w:val="0066128F"/>
    <w:rsid w:val="006613BF"/>
    <w:rsid w:val="006613C4"/>
    <w:rsid w:val="006614C5"/>
    <w:rsid w:val="006614EF"/>
    <w:rsid w:val="0066153A"/>
    <w:rsid w:val="0066156A"/>
    <w:rsid w:val="0066162A"/>
    <w:rsid w:val="006616FD"/>
    <w:rsid w:val="00661739"/>
    <w:rsid w:val="00661829"/>
    <w:rsid w:val="00661831"/>
    <w:rsid w:val="00661888"/>
    <w:rsid w:val="006618AA"/>
    <w:rsid w:val="00661979"/>
    <w:rsid w:val="00661A11"/>
    <w:rsid w:val="00661ABA"/>
    <w:rsid w:val="00661AC4"/>
    <w:rsid w:val="00661C00"/>
    <w:rsid w:val="00661C34"/>
    <w:rsid w:val="00661C47"/>
    <w:rsid w:val="00661C56"/>
    <w:rsid w:val="00661CE4"/>
    <w:rsid w:val="00661D0E"/>
    <w:rsid w:val="00661D5C"/>
    <w:rsid w:val="00661DEA"/>
    <w:rsid w:val="00661EAD"/>
    <w:rsid w:val="00661F29"/>
    <w:rsid w:val="00661F67"/>
    <w:rsid w:val="0066205F"/>
    <w:rsid w:val="0066207E"/>
    <w:rsid w:val="0066210C"/>
    <w:rsid w:val="00662110"/>
    <w:rsid w:val="00662119"/>
    <w:rsid w:val="006621B2"/>
    <w:rsid w:val="0066225A"/>
    <w:rsid w:val="0066229B"/>
    <w:rsid w:val="006622E0"/>
    <w:rsid w:val="0066234D"/>
    <w:rsid w:val="00662412"/>
    <w:rsid w:val="006624F9"/>
    <w:rsid w:val="0066252E"/>
    <w:rsid w:val="006625AA"/>
    <w:rsid w:val="00662665"/>
    <w:rsid w:val="006626A4"/>
    <w:rsid w:val="006626C1"/>
    <w:rsid w:val="006627A9"/>
    <w:rsid w:val="0066292F"/>
    <w:rsid w:val="00662931"/>
    <w:rsid w:val="0066293E"/>
    <w:rsid w:val="00662940"/>
    <w:rsid w:val="006629A8"/>
    <w:rsid w:val="006629F5"/>
    <w:rsid w:val="00662A0C"/>
    <w:rsid w:val="00662A31"/>
    <w:rsid w:val="00662A34"/>
    <w:rsid w:val="00662A67"/>
    <w:rsid w:val="00662AF1"/>
    <w:rsid w:val="00662AF3"/>
    <w:rsid w:val="00662B05"/>
    <w:rsid w:val="00662B0B"/>
    <w:rsid w:val="00662C16"/>
    <w:rsid w:val="00662CCC"/>
    <w:rsid w:val="00662CF8"/>
    <w:rsid w:val="00662E69"/>
    <w:rsid w:val="00662E6D"/>
    <w:rsid w:val="00662E79"/>
    <w:rsid w:val="00662EA1"/>
    <w:rsid w:val="00662EB8"/>
    <w:rsid w:val="00662F38"/>
    <w:rsid w:val="00662FB8"/>
    <w:rsid w:val="00662FD1"/>
    <w:rsid w:val="00662FE7"/>
    <w:rsid w:val="0066309D"/>
    <w:rsid w:val="006630DC"/>
    <w:rsid w:val="006631E5"/>
    <w:rsid w:val="006631F3"/>
    <w:rsid w:val="00663252"/>
    <w:rsid w:val="00663278"/>
    <w:rsid w:val="00663282"/>
    <w:rsid w:val="0066337A"/>
    <w:rsid w:val="00663457"/>
    <w:rsid w:val="006634F6"/>
    <w:rsid w:val="00663606"/>
    <w:rsid w:val="00663852"/>
    <w:rsid w:val="00663863"/>
    <w:rsid w:val="0066387E"/>
    <w:rsid w:val="00663964"/>
    <w:rsid w:val="006639B9"/>
    <w:rsid w:val="00663A2E"/>
    <w:rsid w:val="00663A80"/>
    <w:rsid w:val="00663B92"/>
    <w:rsid w:val="00663C04"/>
    <w:rsid w:val="00663CAA"/>
    <w:rsid w:val="00663D11"/>
    <w:rsid w:val="00663D63"/>
    <w:rsid w:val="00663D9B"/>
    <w:rsid w:val="00663E94"/>
    <w:rsid w:val="00663EA7"/>
    <w:rsid w:val="00663EE0"/>
    <w:rsid w:val="00663F07"/>
    <w:rsid w:val="00663F39"/>
    <w:rsid w:val="00663FD4"/>
    <w:rsid w:val="00663FEB"/>
    <w:rsid w:val="00664063"/>
    <w:rsid w:val="006640FB"/>
    <w:rsid w:val="006641D2"/>
    <w:rsid w:val="006641DB"/>
    <w:rsid w:val="0066437F"/>
    <w:rsid w:val="006643A1"/>
    <w:rsid w:val="006643B8"/>
    <w:rsid w:val="006643DE"/>
    <w:rsid w:val="006644F6"/>
    <w:rsid w:val="006644F9"/>
    <w:rsid w:val="00664512"/>
    <w:rsid w:val="00664563"/>
    <w:rsid w:val="006645E6"/>
    <w:rsid w:val="00664603"/>
    <w:rsid w:val="00664656"/>
    <w:rsid w:val="006646AB"/>
    <w:rsid w:val="0066472F"/>
    <w:rsid w:val="00664733"/>
    <w:rsid w:val="0066474B"/>
    <w:rsid w:val="00664797"/>
    <w:rsid w:val="00664854"/>
    <w:rsid w:val="0066487A"/>
    <w:rsid w:val="006648BF"/>
    <w:rsid w:val="006648C4"/>
    <w:rsid w:val="006648C5"/>
    <w:rsid w:val="006648D9"/>
    <w:rsid w:val="0066492F"/>
    <w:rsid w:val="00664933"/>
    <w:rsid w:val="0066495A"/>
    <w:rsid w:val="00664989"/>
    <w:rsid w:val="00664A24"/>
    <w:rsid w:val="00664B1D"/>
    <w:rsid w:val="00664B66"/>
    <w:rsid w:val="00664BE3"/>
    <w:rsid w:val="00664C6A"/>
    <w:rsid w:val="00664D63"/>
    <w:rsid w:val="00664DD4"/>
    <w:rsid w:val="00664E5F"/>
    <w:rsid w:val="00664E72"/>
    <w:rsid w:val="00664E78"/>
    <w:rsid w:val="00664E96"/>
    <w:rsid w:val="00664EBB"/>
    <w:rsid w:val="00664EE9"/>
    <w:rsid w:val="00664F88"/>
    <w:rsid w:val="00664FBD"/>
    <w:rsid w:val="00665019"/>
    <w:rsid w:val="00665026"/>
    <w:rsid w:val="00665062"/>
    <w:rsid w:val="00665063"/>
    <w:rsid w:val="0066512B"/>
    <w:rsid w:val="00665214"/>
    <w:rsid w:val="00665251"/>
    <w:rsid w:val="00665352"/>
    <w:rsid w:val="0066537A"/>
    <w:rsid w:val="00665381"/>
    <w:rsid w:val="00665493"/>
    <w:rsid w:val="0066549A"/>
    <w:rsid w:val="006654EE"/>
    <w:rsid w:val="0066554B"/>
    <w:rsid w:val="0066568B"/>
    <w:rsid w:val="00665723"/>
    <w:rsid w:val="00665728"/>
    <w:rsid w:val="00665791"/>
    <w:rsid w:val="006657DB"/>
    <w:rsid w:val="00665808"/>
    <w:rsid w:val="00665830"/>
    <w:rsid w:val="00665869"/>
    <w:rsid w:val="006658AE"/>
    <w:rsid w:val="006658B1"/>
    <w:rsid w:val="0066596E"/>
    <w:rsid w:val="00665A01"/>
    <w:rsid w:val="00665B30"/>
    <w:rsid w:val="00665B4D"/>
    <w:rsid w:val="00665BEB"/>
    <w:rsid w:val="00665CCD"/>
    <w:rsid w:val="00665CF0"/>
    <w:rsid w:val="00665D3D"/>
    <w:rsid w:val="00665D47"/>
    <w:rsid w:val="00665D5A"/>
    <w:rsid w:val="00665DEE"/>
    <w:rsid w:val="00665DFA"/>
    <w:rsid w:val="00665E67"/>
    <w:rsid w:val="00665F17"/>
    <w:rsid w:val="00665FB5"/>
    <w:rsid w:val="00666019"/>
    <w:rsid w:val="00666057"/>
    <w:rsid w:val="00666068"/>
    <w:rsid w:val="006660E7"/>
    <w:rsid w:val="00666123"/>
    <w:rsid w:val="00666165"/>
    <w:rsid w:val="00666255"/>
    <w:rsid w:val="00666259"/>
    <w:rsid w:val="00666347"/>
    <w:rsid w:val="006663CD"/>
    <w:rsid w:val="00666417"/>
    <w:rsid w:val="0066641C"/>
    <w:rsid w:val="0066643B"/>
    <w:rsid w:val="00666464"/>
    <w:rsid w:val="00666467"/>
    <w:rsid w:val="006664A1"/>
    <w:rsid w:val="006664C2"/>
    <w:rsid w:val="0066650C"/>
    <w:rsid w:val="0066650F"/>
    <w:rsid w:val="006666C9"/>
    <w:rsid w:val="00666712"/>
    <w:rsid w:val="00666721"/>
    <w:rsid w:val="00666829"/>
    <w:rsid w:val="00666830"/>
    <w:rsid w:val="00666851"/>
    <w:rsid w:val="006668E4"/>
    <w:rsid w:val="00666939"/>
    <w:rsid w:val="006669C1"/>
    <w:rsid w:val="00666AA1"/>
    <w:rsid w:val="00666B88"/>
    <w:rsid w:val="00666C03"/>
    <w:rsid w:val="00666C56"/>
    <w:rsid w:val="00666DE4"/>
    <w:rsid w:val="00666E7A"/>
    <w:rsid w:val="00666ED3"/>
    <w:rsid w:val="00666F2F"/>
    <w:rsid w:val="00666FE4"/>
    <w:rsid w:val="0066702B"/>
    <w:rsid w:val="00667086"/>
    <w:rsid w:val="006670A9"/>
    <w:rsid w:val="006670F7"/>
    <w:rsid w:val="00667217"/>
    <w:rsid w:val="0066726F"/>
    <w:rsid w:val="0066732B"/>
    <w:rsid w:val="0066734E"/>
    <w:rsid w:val="0066738B"/>
    <w:rsid w:val="00667394"/>
    <w:rsid w:val="006673D9"/>
    <w:rsid w:val="00667483"/>
    <w:rsid w:val="006674FE"/>
    <w:rsid w:val="00667512"/>
    <w:rsid w:val="006675AC"/>
    <w:rsid w:val="00667657"/>
    <w:rsid w:val="00667667"/>
    <w:rsid w:val="006676DC"/>
    <w:rsid w:val="0066776D"/>
    <w:rsid w:val="006677E4"/>
    <w:rsid w:val="0066781A"/>
    <w:rsid w:val="006678CA"/>
    <w:rsid w:val="006679FB"/>
    <w:rsid w:val="00667AF8"/>
    <w:rsid w:val="00667B71"/>
    <w:rsid w:val="00667BB6"/>
    <w:rsid w:val="00667BDE"/>
    <w:rsid w:val="00667BF4"/>
    <w:rsid w:val="00667C5A"/>
    <w:rsid w:val="00667CF8"/>
    <w:rsid w:val="00667D84"/>
    <w:rsid w:val="00667E70"/>
    <w:rsid w:val="00667ECE"/>
    <w:rsid w:val="00667EE6"/>
    <w:rsid w:val="00667F55"/>
    <w:rsid w:val="00667F7F"/>
    <w:rsid w:val="00667FAE"/>
    <w:rsid w:val="0067002C"/>
    <w:rsid w:val="00670033"/>
    <w:rsid w:val="00670192"/>
    <w:rsid w:val="006701D7"/>
    <w:rsid w:val="006701F2"/>
    <w:rsid w:val="00670281"/>
    <w:rsid w:val="0067032D"/>
    <w:rsid w:val="00670385"/>
    <w:rsid w:val="0067058F"/>
    <w:rsid w:val="006705C7"/>
    <w:rsid w:val="006705D5"/>
    <w:rsid w:val="00670639"/>
    <w:rsid w:val="00670659"/>
    <w:rsid w:val="006706E0"/>
    <w:rsid w:val="00670763"/>
    <w:rsid w:val="006707C5"/>
    <w:rsid w:val="0067081B"/>
    <w:rsid w:val="00670828"/>
    <w:rsid w:val="00670859"/>
    <w:rsid w:val="0067090D"/>
    <w:rsid w:val="006709DD"/>
    <w:rsid w:val="00670A2E"/>
    <w:rsid w:val="00670A48"/>
    <w:rsid w:val="00670A7C"/>
    <w:rsid w:val="00670AA2"/>
    <w:rsid w:val="00670B57"/>
    <w:rsid w:val="00670B85"/>
    <w:rsid w:val="00670BA2"/>
    <w:rsid w:val="00670C9D"/>
    <w:rsid w:val="00670DC4"/>
    <w:rsid w:val="00670E21"/>
    <w:rsid w:val="00670E69"/>
    <w:rsid w:val="00670F91"/>
    <w:rsid w:val="00670FC6"/>
    <w:rsid w:val="00670FD0"/>
    <w:rsid w:val="00670FE1"/>
    <w:rsid w:val="00670FE3"/>
    <w:rsid w:val="00670FE5"/>
    <w:rsid w:val="00671004"/>
    <w:rsid w:val="00671017"/>
    <w:rsid w:val="0067101F"/>
    <w:rsid w:val="00671097"/>
    <w:rsid w:val="006711BB"/>
    <w:rsid w:val="006711C2"/>
    <w:rsid w:val="0067121D"/>
    <w:rsid w:val="0067126F"/>
    <w:rsid w:val="00671423"/>
    <w:rsid w:val="00671424"/>
    <w:rsid w:val="00671504"/>
    <w:rsid w:val="00671505"/>
    <w:rsid w:val="006716A2"/>
    <w:rsid w:val="006716FC"/>
    <w:rsid w:val="00671704"/>
    <w:rsid w:val="00671707"/>
    <w:rsid w:val="0067175A"/>
    <w:rsid w:val="006717B6"/>
    <w:rsid w:val="006717DB"/>
    <w:rsid w:val="006718EA"/>
    <w:rsid w:val="006718FD"/>
    <w:rsid w:val="0067198A"/>
    <w:rsid w:val="00671AAC"/>
    <w:rsid w:val="00671B50"/>
    <w:rsid w:val="00671B87"/>
    <w:rsid w:val="00671BB7"/>
    <w:rsid w:val="00671C87"/>
    <w:rsid w:val="00671CE7"/>
    <w:rsid w:val="00671D2B"/>
    <w:rsid w:val="00671D3F"/>
    <w:rsid w:val="00671D8D"/>
    <w:rsid w:val="00671E68"/>
    <w:rsid w:val="00671E84"/>
    <w:rsid w:val="00671EDD"/>
    <w:rsid w:val="00671F0C"/>
    <w:rsid w:val="00671F20"/>
    <w:rsid w:val="00671F48"/>
    <w:rsid w:val="0067204D"/>
    <w:rsid w:val="00672094"/>
    <w:rsid w:val="006720C3"/>
    <w:rsid w:val="0067217A"/>
    <w:rsid w:val="0067220B"/>
    <w:rsid w:val="00672210"/>
    <w:rsid w:val="0067221B"/>
    <w:rsid w:val="00672286"/>
    <w:rsid w:val="00672324"/>
    <w:rsid w:val="00672399"/>
    <w:rsid w:val="0067239A"/>
    <w:rsid w:val="006723DD"/>
    <w:rsid w:val="00672435"/>
    <w:rsid w:val="00672443"/>
    <w:rsid w:val="00672487"/>
    <w:rsid w:val="006724EA"/>
    <w:rsid w:val="00672590"/>
    <w:rsid w:val="0067259B"/>
    <w:rsid w:val="006725E1"/>
    <w:rsid w:val="00672613"/>
    <w:rsid w:val="006726E7"/>
    <w:rsid w:val="0067275B"/>
    <w:rsid w:val="0067276A"/>
    <w:rsid w:val="006727A0"/>
    <w:rsid w:val="0067280E"/>
    <w:rsid w:val="00672829"/>
    <w:rsid w:val="00672865"/>
    <w:rsid w:val="006728AE"/>
    <w:rsid w:val="006728E1"/>
    <w:rsid w:val="00672976"/>
    <w:rsid w:val="00672985"/>
    <w:rsid w:val="006729D2"/>
    <w:rsid w:val="00672A59"/>
    <w:rsid w:val="00672AB3"/>
    <w:rsid w:val="00672ADF"/>
    <w:rsid w:val="00672B45"/>
    <w:rsid w:val="00672B57"/>
    <w:rsid w:val="00672BBA"/>
    <w:rsid w:val="00672C25"/>
    <w:rsid w:val="00672CAB"/>
    <w:rsid w:val="00672D2A"/>
    <w:rsid w:val="00672E82"/>
    <w:rsid w:val="00672E83"/>
    <w:rsid w:val="00672E99"/>
    <w:rsid w:val="00672E9A"/>
    <w:rsid w:val="00672F03"/>
    <w:rsid w:val="00672F44"/>
    <w:rsid w:val="00672FD1"/>
    <w:rsid w:val="00672FDC"/>
    <w:rsid w:val="00673078"/>
    <w:rsid w:val="00673119"/>
    <w:rsid w:val="00673175"/>
    <w:rsid w:val="006731A8"/>
    <w:rsid w:val="00673245"/>
    <w:rsid w:val="0067324B"/>
    <w:rsid w:val="0067348F"/>
    <w:rsid w:val="006734C9"/>
    <w:rsid w:val="006735E1"/>
    <w:rsid w:val="00673639"/>
    <w:rsid w:val="00673653"/>
    <w:rsid w:val="00673669"/>
    <w:rsid w:val="0067375F"/>
    <w:rsid w:val="0067384A"/>
    <w:rsid w:val="00673858"/>
    <w:rsid w:val="006738D8"/>
    <w:rsid w:val="00673995"/>
    <w:rsid w:val="0067399D"/>
    <w:rsid w:val="00673A11"/>
    <w:rsid w:val="00673B73"/>
    <w:rsid w:val="00673B90"/>
    <w:rsid w:val="00673BF4"/>
    <w:rsid w:val="00673BFF"/>
    <w:rsid w:val="00673D1C"/>
    <w:rsid w:val="00673DBC"/>
    <w:rsid w:val="00673DEA"/>
    <w:rsid w:val="00673E0E"/>
    <w:rsid w:val="00673F1F"/>
    <w:rsid w:val="00673F37"/>
    <w:rsid w:val="00673FA4"/>
    <w:rsid w:val="00673FE1"/>
    <w:rsid w:val="0067401A"/>
    <w:rsid w:val="00674029"/>
    <w:rsid w:val="0067410F"/>
    <w:rsid w:val="006741C8"/>
    <w:rsid w:val="006741E2"/>
    <w:rsid w:val="006741E6"/>
    <w:rsid w:val="0067429D"/>
    <w:rsid w:val="0067436E"/>
    <w:rsid w:val="006743A6"/>
    <w:rsid w:val="00674405"/>
    <w:rsid w:val="00674421"/>
    <w:rsid w:val="00674442"/>
    <w:rsid w:val="006744AF"/>
    <w:rsid w:val="00674533"/>
    <w:rsid w:val="006745F2"/>
    <w:rsid w:val="0067462B"/>
    <w:rsid w:val="00674695"/>
    <w:rsid w:val="006746E9"/>
    <w:rsid w:val="0067478D"/>
    <w:rsid w:val="006748F3"/>
    <w:rsid w:val="006748F5"/>
    <w:rsid w:val="006748F6"/>
    <w:rsid w:val="00674955"/>
    <w:rsid w:val="00674971"/>
    <w:rsid w:val="00674B0A"/>
    <w:rsid w:val="00674B19"/>
    <w:rsid w:val="00674B53"/>
    <w:rsid w:val="00674B93"/>
    <w:rsid w:val="00674C2C"/>
    <w:rsid w:val="00674CCA"/>
    <w:rsid w:val="00674CD7"/>
    <w:rsid w:val="00674E0F"/>
    <w:rsid w:val="00674E6D"/>
    <w:rsid w:val="00674EDC"/>
    <w:rsid w:val="00674F0B"/>
    <w:rsid w:val="00674F60"/>
    <w:rsid w:val="0067507D"/>
    <w:rsid w:val="006750F4"/>
    <w:rsid w:val="0067521A"/>
    <w:rsid w:val="006752AF"/>
    <w:rsid w:val="00675305"/>
    <w:rsid w:val="00675320"/>
    <w:rsid w:val="00675321"/>
    <w:rsid w:val="00675436"/>
    <w:rsid w:val="00675635"/>
    <w:rsid w:val="00675648"/>
    <w:rsid w:val="006756CB"/>
    <w:rsid w:val="006757A1"/>
    <w:rsid w:val="00675841"/>
    <w:rsid w:val="006758C1"/>
    <w:rsid w:val="0067596F"/>
    <w:rsid w:val="00675992"/>
    <w:rsid w:val="006759CD"/>
    <w:rsid w:val="00675A12"/>
    <w:rsid w:val="00675A20"/>
    <w:rsid w:val="00675AA1"/>
    <w:rsid w:val="00675AC3"/>
    <w:rsid w:val="00675AF5"/>
    <w:rsid w:val="00675B80"/>
    <w:rsid w:val="00675BBE"/>
    <w:rsid w:val="00675BDD"/>
    <w:rsid w:val="00675C08"/>
    <w:rsid w:val="00675C88"/>
    <w:rsid w:val="00675CAB"/>
    <w:rsid w:val="00675DA8"/>
    <w:rsid w:val="00675EA8"/>
    <w:rsid w:val="00675F51"/>
    <w:rsid w:val="00675F81"/>
    <w:rsid w:val="00676008"/>
    <w:rsid w:val="00676103"/>
    <w:rsid w:val="0067618B"/>
    <w:rsid w:val="00676228"/>
    <w:rsid w:val="0067656B"/>
    <w:rsid w:val="0067658B"/>
    <w:rsid w:val="006765C8"/>
    <w:rsid w:val="006766AA"/>
    <w:rsid w:val="006766E1"/>
    <w:rsid w:val="006766E4"/>
    <w:rsid w:val="006766FD"/>
    <w:rsid w:val="00676718"/>
    <w:rsid w:val="006768FC"/>
    <w:rsid w:val="00676A72"/>
    <w:rsid w:val="00676A81"/>
    <w:rsid w:val="00676A98"/>
    <w:rsid w:val="00676AAF"/>
    <w:rsid w:val="00676AE4"/>
    <w:rsid w:val="00676AF5"/>
    <w:rsid w:val="00676B36"/>
    <w:rsid w:val="00676B54"/>
    <w:rsid w:val="00676BDF"/>
    <w:rsid w:val="00676C06"/>
    <w:rsid w:val="00676C10"/>
    <w:rsid w:val="00676C3E"/>
    <w:rsid w:val="00676D1B"/>
    <w:rsid w:val="00676D7B"/>
    <w:rsid w:val="00676D96"/>
    <w:rsid w:val="00676DE5"/>
    <w:rsid w:val="00676DFE"/>
    <w:rsid w:val="00676E10"/>
    <w:rsid w:val="00676F3A"/>
    <w:rsid w:val="00676F6D"/>
    <w:rsid w:val="0067704F"/>
    <w:rsid w:val="00677069"/>
    <w:rsid w:val="00677116"/>
    <w:rsid w:val="00677158"/>
    <w:rsid w:val="006771FA"/>
    <w:rsid w:val="006772D4"/>
    <w:rsid w:val="00677346"/>
    <w:rsid w:val="006773B1"/>
    <w:rsid w:val="006773B3"/>
    <w:rsid w:val="006773CF"/>
    <w:rsid w:val="0067743B"/>
    <w:rsid w:val="006774D3"/>
    <w:rsid w:val="006774EB"/>
    <w:rsid w:val="00677560"/>
    <w:rsid w:val="006775B9"/>
    <w:rsid w:val="00677615"/>
    <w:rsid w:val="00677659"/>
    <w:rsid w:val="006776BB"/>
    <w:rsid w:val="00677767"/>
    <w:rsid w:val="0067777C"/>
    <w:rsid w:val="00677809"/>
    <w:rsid w:val="0067781E"/>
    <w:rsid w:val="00677899"/>
    <w:rsid w:val="006778A5"/>
    <w:rsid w:val="006778EB"/>
    <w:rsid w:val="0067798F"/>
    <w:rsid w:val="00677A55"/>
    <w:rsid w:val="00677A8E"/>
    <w:rsid w:val="00677BE1"/>
    <w:rsid w:val="00677C07"/>
    <w:rsid w:val="00677C25"/>
    <w:rsid w:val="00677C48"/>
    <w:rsid w:val="00677C60"/>
    <w:rsid w:val="00677C64"/>
    <w:rsid w:val="00677D25"/>
    <w:rsid w:val="00677D3B"/>
    <w:rsid w:val="00677D98"/>
    <w:rsid w:val="00677D9F"/>
    <w:rsid w:val="00677DED"/>
    <w:rsid w:val="00677E5C"/>
    <w:rsid w:val="00677FA4"/>
    <w:rsid w:val="00677FCB"/>
    <w:rsid w:val="00680052"/>
    <w:rsid w:val="006801DB"/>
    <w:rsid w:val="00680239"/>
    <w:rsid w:val="00680283"/>
    <w:rsid w:val="0068028E"/>
    <w:rsid w:val="006802E9"/>
    <w:rsid w:val="0068033F"/>
    <w:rsid w:val="00680340"/>
    <w:rsid w:val="00680402"/>
    <w:rsid w:val="006804C4"/>
    <w:rsid w:val="006805A4"/>
    <w:rsid w:val="006805F8"/>
    <w:rsid w:val="00680604"/>
    <w:rsid w:val="00680639"/>
    <w:rsid w:val="0068066E"/>
    <w:rsid w:val="006806E8"/>
    <w:rsid w:val="00680746"/>
    <w:rsid w:val="006807F8"/>
    <w:rsid w:val="00680867"/>
    <w:rsid w:val="0068090D"/>
    <w:rsid w:val="00680922"/>
    <w:rsid w:val="00680931"/>
    <w:rsid w:val="00680BDE"/>
    <w:rsid w:val="00680C91"/>
    <w:rsid w:val="00680CDA"/>
    <w:rsid w:val="00680D82"/>
    <w:rsid w:val="00680E01"/>
    <w:rsid w:val="00680E1B"/>
    <w:rsid w:val="00680E1F"/>
    <w:rsid w:val="00680E63"/>
    <w:rsid w:val="00680EEE"/>
    <w:rsid w:val="00680F5D"/>
    <w:rsid w:val="00680F64"/>
    <w:rsid w:val="006810F2"/>
    <w:rsid w:val="00681127"/>
    <w:rsid w:val="00681129"/>
    <w:rsid w:val="0068113A"/>
    <w:rsid w:val="006811D6"/>
    <w:rsid w:val="0068124A"/>
    <w:rsid w:val="00681320"/>
    <w:rsid w:val="006813BB"/>
    <w:rsid w:val="0068141D"/>
    <w:rsid w:val="00681430"/>
    <w:rsid w:val="0068157D"/>
    <w:rsid w:val="00681623"/>
    <w:rsid w:val="006816B8"/>
    <w:rsid w:val="006816DA"/>
    <w:rsid w:val="006817B0"/>
    <w:rsid w:val="00681865"/>
    <w:rsid w:val="006818BD"/>
    <w:rsid w:val="006818D9"/>
    <w:rsid w:val="006818E5"/>
    <w:rsid w:val="00681948"/>
    <w:rsid w:val="00681A72"/>
    <w:rsid w:val="00681A94"/>
    <w:rsid w:val="00681ADF"/>
    <w:rsid w:val="00681B4D"/>
    <w:rsid w:val="00681B4F"/>
    <w:rsid w:val="00681B80"/>
    <w:rsid w:val="00681B9A"/>
    <w:rsid w:val="00681BAE"/>
    <w:rsid w:val="00681BFE"/>
    <w:rsid w:val="00681C26"/>
    <w:rsid w:val="00681C99"/>
    <w:rsid w:val="00681CF9"/>
    <w:rsid w:val="00681D45"/>
    <w:rsid w:val="00681E35"/>
    <w:rsid w:val="00681E6C"/>
    <w:rsid w:val="00681E9E"/>
    <w:rsid w:val="00681F03"/>
    <w:rsid w:val="00681F76"/>
    <w:rsid w:val="00681F79"/>
    <w:rsid w:val="00681FB5"/>
    <w:rsid w:val="00682042"/>
    <w:rsid w:val="00682095"/>
    <w:rsid w:val="0068211A"/>
    <w:rsid w:val="00682169"/>
    <w:rsid w:val="006821A8"/>
    <w:rsid w:val="00682245"/>
    <w:rsid w:val="006822AB"/>
    <w:rsid w:val="0068245F"/>
    <w:rsid w:val="0068249F"/>
    <w:rsid w:val="00682545"/>
    <w:rsid w:val="00682563"/>
    <w:rsid w:val="006826F8"/>
    <w:rsid w:val="00682715"/>
    <w:rsid w:val="00682794"/>
    <w:rsid w:val="006827B7"/>
    <w:rsid w:val="00682884"/>
    <w:rsid w:val="006828C4"/>
    <w:rsid w:val="006828E3"/>
    <w:rsid w:val="0068292A"/>
    <w:rsid w:val="00682948"/>
    <w:rsid w:val="00682A3D"/>
    <w:rsid w:val="00682A76"/>
    <w:rsid w:val="00682AC3"/>
    <w:rsid w:val="00682B45"/>
    <w:rsid w:val="00682B9F"/>
    <w:rsid w:val="00682BB2"/>
    <w:rsid w:val="00682BC4"/>
    <w:rsid w:val="00682BE8"/>
    <w:rsid w:val="00682BED"/>
    <w:rsid w:val="00682D76"/>
    <w:rsid w:val="00682D7D"/>
    <w:rsid w:val="00682DC4"/>
    <w:rsid w:val="00682DCC"/>
    <w:rsid w:val="00682E35"/>
    <w:rsid w:val="00682E53"/>
    <w:rsid w:val="00682E59"/>
    <w:rsid w:val="00682E93"/>
    <w:rsid w:val="00682EE9"/>
    <w:rsid w:val="00682F6A"/>
    <w:rsid w:val="00682FD4"/>
    <w:rsid w:val="00683060"/>
    <w:rsid w:val="006830FD"/>
    <w:rsid w:val="00683111"/>
    <w:rsid w:val="0068316A"/>
    <w:rsid w:val="0068318E"/>
    <w:rsid w:val="006831F2"/>
    <w:rsid w:val="0068324F"/>
    <w:rsid w:val="006832A9"/>
    <w:rsid w:val="0068330E"/>
    <w:rsid w:val="00683430"/>
    <w:rsid w:val="00683456"/>
    <w:rsid w:val="006834EC"/>
    <w:rsid w:val="006834FB"/>
    <w:rsid w:val="00683501"/>
    <w:rsid w:val="0068353B"/>
    <w:rsid w:val="00683557"/>
    <w:rsid w:val="00683558"/>
    <w:rsid w:val="006835B0"/>
    <w:rsid w:val="006835F5"/>
    <w:rsid w:val="00683623"/>
    <w:rsid w:val="00683651"/>
    <w:rsid w:val="006836EF"/>
    <w:rsid w:val="0068374E"/>
    <w:rsid w:val="006837C8"/>
    <w:rsid w:val="006837CF"/>
    <w:rsid w:val="0068399C"/>
    <w:rsid w:val="00683A00"/>
    <w:rsid w:val="00683A18"/>
    <w:rsid w:val="00683A45"/>
    <w:rsid w:val="00683A49"/>
    <w:rsid w:val="00683A54"/>
    <w:rsid w:val="00683ABD"/>
    <w:rsid w:val="00683AE0"/>
    <w:rsid w:val="00683B13"/>
    <w:rsid w:val="00683CD3"/>
    <w:rsid w:val="00683D7E"/>
    <w:rsid w:val="00683D8F"/>
    <w:rsid w:val="00683E9C"/>
    <w:rsid w:val="00683ED2"/>
    <w:rsid w:val="00683F19"/>
    <w:rsid w:val="00683FF3"/>
    <w:rsid w:val="00684069"/>
    <w:rsid w:val="00684086"/>
    <w:rsid w:val="006841FC"/>
    <w:rsid w:val="00684209"/>
    <w:rsid w:val="0068422F"/>
    <w:rsid w:val="006843B1"/>
    <w:rsid w:val="00684407"/>
    <w:rsid w:val="00684499"/>
    <w:rsid w:val="006844B4"/>
    <w:rsid w:val="006844F8"/>
    <w:rsid w:val="006845F1"/>
    <w:rsid w:val="0068468A"/>
    <w:rsid w:val="0068479E"/>
    <w:rsid w:val="006847B9"/>
    <w:rsid w:val="006847D4"/>
    <w:rsid w:val="00684855"/>
    <w:rsid w:val="006848A7"/>
    <w:rsid w:val="00684931"/>
    <w:rsid w:val="0068493A"/>
    <w:rsid w:val="00684953"/>
    <w:rsid w:val="00684974"/>
    <w:rsid w:val="006849AF"/>
    <w:rsid w:val="00684A1E"/>
    <w:rsid w:val="00684A1F"/>
    <w:rsid w:val="00684A23"/>
    <w:rsid w:val="00684A54"/>
    <w:rsid w:val="00684A70"/>
    <w:rsid w:val="00684AB2"/>
    <w:rsid w:val="00684AE4"/>
    <w:rsid w:val="00684AEF"/>
    <w:rsid w:val="00684B01"/>
    <w:rsid w:val="00684B22"/>
    <w:rsid w:val="00684B50"/>
    <w:rsid w:val="00684BBA"/>
    <w:rsid w:val="00684BCA"/>
    <w:rsid w:val="00684BF8"/>
    <w:rsid w:val="00684CFA"/>
    <w:rsid w:val="00684D60"/>
    <w:rsid w:val="00684E17"/>
    <w:rsid w:val="00684F17"/>
    <w:rsid w:val="00684F37"/>
    <w:rsid w:val="00684F97"/>
    <w:rsid w:val="00684FE2"/>
    <w:rsid w:val="00684FEE"/>
    <w:rsid w:val="006850AD"/>
    <w:rsid w:val="006850B7"/>
    <w:rsid w:val="006850EC"/>
    <w:rsid w:val="0068513D"/>
    <w:rsid w:val="006852E8"/>
    <w:rsid w:val="0068530D"/>
    <w:rsid w:val="00685346"/>
    <w:rsid w:val="0068534B"/>
    <w:rsid w:val="0068537B"/>
    <w:rsid w:val="00685447"/>
    <w:rsid w:val="00685516"/>
    <w:rsid w:val="006855C7"/>
    <w:rsid w:val="00685610"/>
    <w:rsid w:val="006856C0"/>
    <w:rsid w:val="00685850"/>
    <w:rsid w:val="0068592A"/>
    <w:rsid w:val="00685960"/>
    <w:rsid w:val="00685A16"/>
    <w:rsid w:val="00685A1F"/>
    <w:rsid w:val="00685AFE"/>
    <w:rsid w:val="00685B31"/>
    <w:rsid w:val="00685B4D"/>
    <w:rsid w:val="00685B7A"/>
    <w:rsid w:val="00685BD3"/>
    <w:rsid w:val="00685C22"/>
    <w:rsid w:val="00685C7F"/>
    <w:rsid w:val="00685DA8"/>
    <w:rsid w:val="00685DAC"/>
    <w:rsid w:val="00686032"/>
    <w:rsid w:val="006860DB"/>
    <w:rsid w:val="006860DC"/>
    <w:rsid w:val="006861A2"/>
    <w:rsid w:val="006861C6"/>
    <w:rsid w:val="006861E1"/>
    <w:rsid w:val="006861FD"/>
    <w:rsid w:val="0068620E"/>
    <w:rsid w:val="00686223"/>
    <w:rsid w:val="0068637F"/>
    <w:rsid w:val="00686472"/>
    <w:rsid w:val="0068649F"/>
    <w:rsid w:val="006865BE"/>
    <w:rsid w:val="006865E4"/>
    <w:rsid w:val="0068662C"/>
    <w:rsid w:val="0068683B"/>
    <w:rsid w:val="00686850"/>
    <w:rsid w:val="006869E2"/>
    <w:rsid w:val="00686AF3"/>
    <w:rsid w:val="00686BFE"/>
    <w:rsid w:val="00686C18"/>
    <w:rsid w:val="00686C19"/>
    <w:rsid w:val="00686C1D"/>
    <w:rsid w:val="00686C30"/>
    <w:rsid w:val="00686C83"/>
    <w:rsid w:val="00686CB4"/>
    <w:rsid w:val="00686CCD"/>
    <w:rsid w:val="00686D2B"/>
    <w:rsid w:val="00686DB5"/>
    <w:rsid w:val="00686E05"/>
    <w:rsid w:val="00686E3D"/>
    <w:rsid w:val="00686E8F"/>
    <w:rsid w:val="00686E99"/>
    <w:rsid w:val="00686E9C"/>
    <w:rsid w:val="00686EEA"/>
    <w:rsid w:val="00686EEB"/>
    <w:rsid w:val="00686F12"/>
    <w:rsid w:val="00686FA2"/>
    <w:rsid w:val="00686FB8"/>
    <w:rsid w:val="00686FC3"/>
    <w:rsid w:val="006870DA"/>
    <w:rsid w:val="0068725E"/>
    <w:rsid w:val="006872ED"/>
    <w:rsid w:val="006872FE"/>
    <w:rsid w:val="0068731B"/>
    <w:rsid w:val="0068741E"/>
    <w:rsid w:val="0068744E"/>
    <w:rsid w:val="0068748E"/>
    <w:rsid w:val="00687567"/>
    <w:rsid w:val="006875EE"/>
    <w:rsid w:val="00687624"/>
    <w:rsid w:val="00687703"/>
    <w:rsid w:val="006877DE"/>
    <w:rsid w:val="0068780C"/>
    <w:rsid w:val="00687810"/>
    <w:rsid w:val="00687813"/>
    <w:rsid w:val="00687853"/>
    <w:rsid w:val="006878B3"/>
    <w:rsid w:val="006878BC"/>
    <w:rsid w:val="006878DA"/>
    <w:rsid w:val="006879D5"/>
    <w:rsid w:val="00687A0C"/>
    <w:rsid w:val="00687A30"/>
    <w:rsid w:val="00687A66"/>
    <w:rsid w:val="00687A95"/>
    <w:rsid w:val="00687B36"/>
    <w:rsid w:val="00687B5C"/>
    <w:rsid w:val="00687C8B"/>
    <w:rsid w:val="00687CD4"/>
    <w:rsid w:val="00687CF7"/>
    <w:rsid w:val="00687CFD"/>
    <w:rsid w:val="00687D49"/>
    <w:rsid w:val="00687E3F"/>
    <w:rsid w:val="00687E4F"/>
    <w:rsid w:val="00687E97"/>
    <w:rsid w:val="00687EEB"/>
    <w:rsid w:val="00687F55"/>
    <w:rsid w:val="00687FB2"/>
    <w:rsid w:val="00687FC4"/>
    <w:rsid w:val="00690019"/>
    <w:rsid w:val="0069007A"/>
    <w:rsid w:val="00690116"/>
    <w:rsid w:val="0069011C"/>
    <w:rsid w:val="0069022E"/>
    <w:rsid w:val="00690240"/>
    <w:rsid w:val="006903F7"/>
    <w:rsid w:val="0069041B"/>
    <w:rsid w:val="00690460"/>
    <w:rsid w:val="006904E6"/>
    <w:rsid w:val="0069054D"/>
    <w:rsid w:val="00690559"/>
    <w:rsid w:val="006905D1"/>
    <w:rsid w:val="006905F8"/>
    <w:rsid w:val="00690609"/>
    <w:rsid w:val="0069068B"/>
    <w:rsid w:val="00690728"/>
    <w:rsid w:val="006907C1"/>
    <w:rsid w:val="0069084F"/>
    <w:rsid w:val="00690858"/>
    <w:rsid w:val="0069086E"/>
    <w:rsid w:val="00690939"/>
    <w:rsid w:val="0069097A"/>
    <w:rsid w:val="006909CA"/>
    <w:rsid w:val="00690ABB"/>
    <w:rsid w:val="00690AC6"/>
    <w:rsid w:val="00690AFA"/>
    <w:rsid w:val="00690B69"/>
    <w:rsid w:val="00690B83"/>
    <w:rsid w:val="00690BA4"/>
    <w:rsid w:val="00690C48"/>
    <w:rsid w:val="00690C57"/>
    <w:rsid w:val="00690CA9"/>
    <w:rsid w:val="00690CB2"/>
    <w:rsid w:val="00690CB6"/>
    <w:rsid w:val="00690CBF"/>
    <w:rsid w:val="00690CE3"/>
    <w:rsid w:val="00690CF2"/>
    <w:rsid w:val="00690D55"/>
    <w:rsid w:val="00690DF2"/>
    <w:rsid w:val="00690E16"/>
    <w:rsid w:val="00690E5B"/>
    <w:rsid w:val="00690ECD"/>
    <w:rsid w:val="00691074"/>
    <w:rsid w:val="00691088"/>
    <w:rsid w:val="006910A3"/>
    <w:rsid w:val="00691102"/>
    <w:rsid w:val="0069114A"/>
    <w:rsid w:val="0069114D"/>
    <w:rsid w:val="006911F5"/>
    <w:rsid w:val="0069125C"/>
    <w:rsid w:val="006912E6"/>
    <w:rsid w:val="0069134F"/>
    <w:rsid w:val="0069138A"/>
    <w:rsid w:val="006913A9"/>
    <w:rsid w:val="00691401"/>
    <w:rsid w:val="0069158D"/>
    <w:rsid w:val="00691596"/>
    <w:rsid w:val="006915BC"/>
    <w:rsid w:val="0069174C"/>
    <w:rsid w:val="00691807"/>
    <w:rsid w:val="00691818"/>
    <w:rsid w:val="0069198E"/>
    <w:rsid w:val="00691A18"/>
    <w:rsid w:val="00691B31"/>
    <w:rsid w:val="00691B81"/>
    <w:rsid w:val="00691C49"/>
    <w:rsid w:val="00691C5F"/>
    <w:rsid w:val="00691CA4"/>
    <w:rsid w:val="00691D42"/>
    <w:rsid w:val="00691D6D"/>
    <w:rsid w:val="00691E5B"/>
    <w:rsid w:val="00691F3A"/>
    <w:rsid w:val="00691F74"/>
    <w:rsid w:val="006920A0"/>
    <w:rsid w:val="006920AF"/>
    <w:rsid w:val="0069218B"/>
    <w:rsid w:val="006921BD"/>
    <w:rsid w:val="0069220B"/>
    <w:rsid w:val="00692269"/>
    <w:rsid w:val="006922BD"/>
    <w:rsid w:val="006923A7"/>
    <w:rsid w:val="006923CB"/>
    <w:rsid w:val="00692423"/>
    <w:rsid w:val="0069242F"/>
    <w:rsid w:val="006924A1"/>
    <w:rsid w:val="006924BF"/>
    <w:rsid w:val="0069252A"/>
    <w:rsid w:val="006925F2"/>
    <w:rsid w:val="0069266E"/>
    <w:rsid w:val="00692729"/>
    <w:rsid w:val="00692796"/>
    <w:rsid w:val="006927FB"/>
    <w:rsid w:val="006928AE"/>
    <w:rsid w:val="006928DC"/>
    <w:rsid w:val="00692A47"/>
    <w:rsid w:val="00692A5E"/>
    <w:rsid w:val="00692BBD"/>
    <w:rsid w:val="00692C66"/>
    <w:rsid w:val="00692C96"/>
    <w:rsid w:val="00692CDF"/>
    <w:rsid w:val="00692CE8"/>
    <w:rsid w:val="00692D28"/>
    <w:rsid w:val="00692DB5"/>
    <w:rsid w:val="00692E27"/>
    <w:rsid w:val="00692E60"/>
    <w:rsid w:val="00692ECB"/>
    <w:rsid w:val="00692F18"/>
    <w:rsid w:val="00692F1B"/>
    <w:rsid w:val="00692FD4"/>
    <w:rsid w:val="0069301A"/>
    <w:rsid w:val="00693057"/>
    <w:rsid w:val="006930E6"/>
    <w:rsid w:val="006930FC"/>
    <w:rsid w:val="0069324C"/>
    <w:rsid w:val="00693256"/>
    <w:rsid w:val="0069326D"/>
    <w:rsid w:val="006932B9"/>
    <w:rsid w:val="006932F1"/>
    <w:rsid w:val="006933AB"/>
    <w:rsid w:val="006933B9"/>
    <w:rsid w:val="00693465"/>
    <w:rsid w:val="006934B5"/>
    <w:rsid w:val="00693516"/>
    <w:rsid w:val="0069355F"/>
    <w:rsid w:val="006935DD"/>
    <w:rsid w:val="00693612"/>
    <w:rsid w:val="00693619"/>
    <w:rsid w:val="0069366C"/>
    <w:rsid w:val="0069370B"/>
    <w:rsid w:val="0069371E"/>
    <w:rsid w:val="0069373C"/>
    <w:rsid w:val="006938A9"/>
    <w:rsid w:val="00693940"/>
    <w:rsid w:val="00693A02"/>
    <w:rsid w:val="00693A71"/>
    <w:rsid w:val="00693ABB"/>
    <w:rsid w:val="00693B5D"/>
    <w:rsid w:val="00693BAC"/>
    <w:rsid w:val="00693BB6"/>
    <w:rsid w:val="00693C50"/>
    <w:rsid w:val="00693CC7"/>
    <w:rsid w:val="00693CF8"/>
    <w:rsid w:val="00693D36"/>
    <w:rsid w:val="00693D3F"/>
    <w:rsid w:val="00693E8F"/>
    <w:rsid w:val="00693EBA"/>
    <w:rsid w:val="00693F70"/>
    <w:rsid w:val="0069400D"/>
    <w:rsid w:val="006940A6"/>
    <w:rsid w:val="006940BB"/>
    <w:rsid w:val="006940CA"/>
    <w:rsid w:val="006940F3"/>
    <w:rsid w:val="00694145"/>
    <w:rsid w:val="0069414E"/>
    <w:rsid w:val="0069417F"/>
    <w:rsid w:val="006941D5"/>
    <w:rsid w:val="006941E8"/>
    <w:rsid w:val="0069433A"/>
    <w:rsid w:val="0069435A"/>
    <w:rsid w:val="006943E1"/>
    <w:rsid w:val="0069444E"/>
    <w:rsid w:val="00694499"/>
    <w:rsid w:val="006944BB"/>
    <w:rsid w:val="006944DF"/>
    <w:rsid w:val="006944FB"/>
    <w:rsid w:val="006945C2"/>
    <w:rsid w:val="0069469F"/>
    <w:rsid w:val="0069470F"/>
    <w:rsid w:val="00694710"/>
    <w:rsid w:val="00694785"/>
    <w:rsid w:val="006948CC"/>
    <w:rsid w:val="0069499E"/>
    <w:rsid w:val="00694B27"/>
    <w:rsid w:val="00694B28"/>
    <w:rsid w:val="00694BB8"/>
    <w:rsid w:val="00694BEE"/>
    <w:rsid w:val="00694C98"/>
    <w:rsid w:val="00694D49"/>
    <w:rsid w:val="00694D6E"/>
    <w:rsid w:val="00694DE4"/>
    <w:rsid w:val="00694E37"/>
    <w:rsid w:val="00694E5D"/>
    <w:rsid w:val="00695008"/>
    <w:rsid w:val="006950A9"/>
    <w:rsid w:val="006950E7"/>
    <w:rsid w:val="0069510A"/>
    <w:rsid w:val="00695113"/>
    <w:rsid w:val="006951F0"/>
    <w:rsid w:val="006951F8"/>
    <w:rsid w:val="00695297"/>
    <w:rsid w:val="00695519"/>
    <w:rsid w:val="00695577"/>
    <w:rsid w:val="006957DF"/>
    <w:rsid w:val="00695841"/>
    <w:rsid w:val="00695898"/>
    <w:rsid w:val="006958B8"/>
    <w:rsid w:val="006958DE"/>
    <w:rsid w:val="00695958"/>
    <w:rsid w:val="006959D6"/>
    <w:rsid w:val="00695A01"/>
    <w:rsid w:val="00695A7C"/>
    <w:rsid w:val="00695AE5"/>
    <w:rsid w:val="00695B11"/>
    <w:rsid w:val="00695B3F"/>
    <w:rsid w:val="00695BE0"/>
    <w:rsid w:val="00695C2C"/>
    <w:rsid w:val="00695C4C"/>
    <w:rsid w:val="00695C8E"/>
    <w:rsid w:val="00695C91"/>
    <w:rsid w:val="00695CA3"/>
    <w:rsid w:val="00695CE3"/>
    <w:rsid w:val="00695D63"/>
    <w:rsid w:val="00695D71"/>
    <w:rsid w:val="00695E18"/>
    <w:rsid w:val="00695E38"/>
    <w:rsid w:val="00695E9C"/>
    <w:rsid w:val="00695EFD"/>
    <w:rsid w:val="00696047"/>
    <w:rsid w:val="00696089"/>
    <w:rsid w:val="00696110"/>
    <w:rsid w:val="0069619F"/>
    <w:rsid w:val="006962D5"/>
    <w:rsid w:val="00696357"/>
    <w:rsid w:val="00696376"/>
    <w:rsid w:val="006963BC"/>
    <w:rsid w:val="00696423"/>
    <w:rsid w:val="00696496"/>
    <w:rsid w:val="006964AA"/>
    <w:rsid w:val="006964C1"/>
    <w:rsid w:val="00696510"/>
    <w:rsid w:val="00696521"/>
    <w:rsid w:val="00696557"/>
    <w:rsid w:val="0069658B"/>
    <w:rsid w:val="006965E3"/>
    <w:rsid w:val="00696621"/>
    <w:rsid w:val="00696625"/>
    <w:rsid w:val="00696706"/>
    <w:rsid w:val="006967F6"/>
    <w:rsid w:val="006968F5"/>
    <w:rsid w:val="00696A08"/>
    <w:rsid w:val="00696A8A"/>
    <w:rsid w:val="00696A96"/>
    <w:rsid w:val="00696AC0"/>
    <w:rsid w:val="00696BB3"/>
    <w:rsid w:val="00696BC3"/>
    <w:rsid w:val="00696BE4"/>
    <w:rsid w:val="00696C12"/>
    <w:rsid w:val="00696C5D"/>
    <w:rsid w:val="00696D3F"/>
    <w:rsid w:val="00696DD6"/>
    <w:rsid w:val="00696E06"/>
    <w:rsid w:val="00696E34"/>
    <w:rsid w:val="00696E4F"/>
    <w:rsid w:val="00696EC2"/>
    <w:rsid w:val="00696F2A"/>
    <w:rsid w:val="00697027"/>
    <w:rsid w:val="00697172"/>
    <w:rsid w:val="0069717A"/>
    <w:rsid w:val="006971C3"/>
    <w:rsid w:val="0069730F"/>
    <w:rsid w:val="00697343"/>
    <w:rsid w:val="00697370"/>
    <w:rsid w:val="006973BE"/>
    <w:rsid w:val="006973E2"/>
    <w:rsid w:val="00697425"/>
    <w:rsid w:val="00697494"/>
    <w:rsid w:val="00697516"/>
    <w:rsid w:val="006975CF"/>
    <w:rsid w:val="006975D8"/>
    <w:rsid w:val="00697600"/>
    <w:rsid w:val="00697629"/>
    <w:rsid w:val="0069769F"/>
    <w:rsid w:val="00697795"/>
    <w:rsid w:val="00697A15"/>
    <w:rsid w:val="00697A3E"/>
    <w:rsid w:val="00697A44"/>
    <w:rsid w:val="00697A61"/>
    <w:rsid w:val="00697B1C"/>
    <w:rsid w:val="00697B82"/>
    <w:rsid w:val="00697BA4"/>
    <w:rsid w:val="00697D88"/>
    <w:rsid w:val="00697DBC"/>
    <w:rsid w:val="00697DC3"/>
    <w:rsid w:val="00697E80"/>
    <w:rsid w:val="00697E9C"/>
    <w:rsid w:val="00697EB4"/>
    <w:rsid w:val="00697EC5"/>
    <w:rsid w:val="00697F30"/>
    <w:rsid w:val="006A003E"/>
    <w:rsid w:val="006A0081"/>
    <w:rsid w:val="006A00D1"/>
    <w:rsid w:val="006A0128"/>
    <w:rsid w:val="006A0150"/>
    <w:rsid w:val="006A020B"/>
    <w:rsid w:val="006A024D"/>
    <w:rsid w:val="006A039B"/>
    <w:rsid w:val="006A03AF"/>
    <w:rsid w:val="006A03D2"/>
    <w:rsid w:val="006A03E0"/>
    <w:rsid w:val="006A0468"/>
    <w:rsid w:val="006A0487"/>
    <w:rsid w:val="006A049D"/>
    <w:rsid w:val="006A04EB"/>
    <w:rsid w:val="006A05D0"/>
    <w:rsid w:val="006A05E1"/>
    <w:rsid w:val="006A05FE"/>
    <w:rsid w:val="006A06CA"/>
    <w:rsid w:val="006A0742"/>
    <w:rsid w:val="006A0754"/>
    <w:rsid w:val="006A07A3"/>
    <w:rsid w:val="006A0878"/>
    <w:rsid w:val="006A08AA"/>
    <w:rsid w:val="006A090F"/>
    <w:rsid w:val="006A0910"/>
    <w:rsid w:val="006A0958"/>
    <w:rsid w:val="006A099D"/>
    <w:rsid w:val="006A0A50"/>
    <w:rsid w:val="006A0BB1"/>
    <w:rsid w:val="006A0BD7"/>
    <w:rsid w:val="006A0C4B"/>
    <w:rsid w:val="006A0C57"/>
    <w:rsid w:val="006A0C5A"/>
    <w:rsid w:val="006A0CDA"/>
    <w:rsid w:val="006A0D23"/>
    <w:rsid w:val="006A0D56"/>
    <w:rsid w:val="006A0DDC"/>
    <w:rsid w:val="006A0E69"/>
    <w:rsid w:val="006A0EBF"/>
    <w:rsid w:val="006A0EF5"/>
    <w:rsid w:val="006A0F20"/>
    <w:rsid w:val="006A0F77"/>
    <w:rsid w:val="006A0FDE"/>
    <w:rsid w:val="006A0FDF"/>
    <w:rsid w:val="006A0FF4"/>
    <w:rsid w:val="006A1037"/>
    <w:rsid w:val="006A1072"/>
    <w:rsid w:val="006A10A5"/>
    <w:rsid w:val="006A10F2"/>
    <w:rsid w:val="006A1138"/>
    <w:rsid w:val="006A11F8"/>
    <w:rsid w:val="006A1247"/>
    <w:rsid w:val="006A127D"/>
    <w:rsid w:val="006A129B"/>
    <w:rsid w:val="006A12AE"/>
    <w:rsid w:val="006A12EB"/>
    <w:rsid w:val="006A1327"/>
    <w:rsid w:val="006A1339"/>
    <w:rsid w:val="006A15BF"/>
    <w:rsid w:val="006A15E6"/>
    <w:rsid w:val="006A1611"/>
    <w:rsid w:val="006A163E"/>
    <w:rsid w:val="006A164D"/>
    <w:rsid w:val="006A16B2"/>
    <w:rsid w:val="006A16C1"/>
    <w:rsid w:val="006A16D0"/>
    <w:rsid w:val="006A1768"/>
    <w:rsid w:val="006A179C"/>
    <w:rsid w:val="006A17DF"/>
    <w:rsid w:val="006A185D"/>
    <w:rsid w:val="006A191F"/>
    <w:rsid w:val="006A197A"/>
    <w:rsid w:val="006A19E8"/>
    <w:rsid w:val="006A1A04"/>
    <w:rsid w:val="006A1A17"/>
    <w:rsid w:val="006A1A21"/>
    <w:rsid w:val="006A1A60"/>
    <w:rsid w:val="006A1A64"/>
    <w:rsid w:val="006A1ADD"/>
    <w:rsid w:val="006A1B63"/>
    <w:rsid w:val="006A1B9E"/>
    <w:rsid w:val="006A1C13"/>
    <w:rsid w:val="006A1C24"/>
    <w:rsid w:val="006A1C6A"/>
    <w:rsid w:val="006A1CD0"/>
    <w:rsid w:val="006A1D90"/>
    <w:rsid w:val="006A1EB5"/>
    <w:rsid w:val="006A1FD7"/>
    <w:rsid w:val="006A2051"/>
    <w:rsid w:val="006A205A"/>
    <w:rsid w:val="006A2159"/>
    <w:rsid w:val="006A22A6"/>
    <w:rsid w:val="006A2343"/>
    <w:rsid w:val="006A23C6"/>
    <w:rsid w:val="006A23DB"/>
    <w:rsid w:val="006A23DC"/>
    <w:rsid w:val="006A2449"/>
    <w:rsid w:val="006A2497"/>
    <w:rsid w:val="006A262F"/>
    <w:rsid w:val="006A2643"/>
    <w:rsid w:val="006A2700"/>
    <w:rsid w:val="006A275F"/>
    <w:rsid w:val="006A2765"/>
    <w:rsid w:val="006A281E"/>
    <w:rsid w:val="006A282C"/>
    <w:rsid w:val="006A2898"/>
    <w:rsid w:val="006A28A2"/>
    <w:rsid w:val="006A28B3"/>
    <w:rsid w:val="006A28F2"/>
    <w:rsid w:val="006A295A"/>
    <w:rsid w:val="006A299C"/>
    <w:rsid w:val="006A299F"/>
    <w:rsid w:val="006A2ABF"/>
    <w:rsid w:val="006A2B14"/>
    <w:rsid w:val="006A2B43"/>
    <w:rsid w:val="006A2C08"/>
    <w:rsid w:val="006A2C8F"/>
    <w:rsid w:val="006A2CD8"/>
    <w:rsid w:val="006A2D4F"/>
    <w:rsid w:val="006A2E05"/>
    <w:rsid w:val="006A2E3E"/>
    <w:rsid w:val="006A2EAC"/>
    <w:rsid w:val="006A2EAF"/>
    <w:rsid w:val="006A2F2B"/>
    <w:rsid w:val="006A2F43"/>
    <w:rsid w:val="006A2FEA"/>
    <w:rsid w:val="006A2FEC"/>
    <w:rsid w:val="006A3003"/>
    <w:rsid w:val="006A303D"/>
    <w:rsid w:val="006A3095"/>
    <w:rsid w:val="006A30A2"/>
    <w:rsid w:val="006A30B7"/>
    <w:rsid w:val="006A30DA"/>
    <w:rsid w:val="006A3139"/>
    <w:rsid w:val="006A31D5"/>
    <w:rsid w:val="006A3230"/>
    <w:rsid w:val="006A3260"/>
    <w:rsid w:val="006A3387"/>
    <w:rsid w:val="006A33AD"/>
    <w:rsid w:val="006A34BB"/>
    <w:rsid w:val="006A359C"/>
    <w:rsid w:val="006A35A6"/>
    <w:rsid w:val="006A35C6"/>
    <w:rsid w:val="006A3662"/>
    <w:rsid w:val="006A3706"/>
    <w:rsid w:val="006A37EC"/>
    <w:rsid w:val="006A37F1"/>
    <w:rsid w:val="006A3B56"/>
    <w:rsid w:val="006A3B8F"/>
    <w:rsid w:val="006A3C19"/>
    <w:rsid w:val="006A3C70"/>
    <w:rsid w:val="006A3C86"/>
    <w:rsid w:val="006A3CD7"/>
    <w:rsid w:val="006A3DF4"/>
    <w:rsid w:val="006A3E9B"/>
    <w:rsid w:val="006A3EE1"/>
    <w:rsid w:val="006A3F28"/>
    <w:rsid w:val="006A3F62"/>
    <w:rsid w:val="006A3FAF"/>
    <w:rsid w:val="006A4286"/>
    <w:rsid w:val="006A42D3"/>
    <w:rsid w:val="006A43F6"/>
    <w:rsid w:val="006A442B"/>
    <w:rsid w:val="006A448A"/>
    <w:rsid w:val="006A44B2"/>
    <w:rsid w:val="006A457E"/>
    <w:rsid w:val="006A45F0"/>
    <w:rsid w:val="006A4704"/>
    <w:rsid w:val="006A470B"/>
    <w:rsid w:val="006A47CD"/>
    <w:rsid w:val="006A494E"/>
    <w:rsid w:val="006A496E"/>
    <w:rsid w:val="006A4999"/>
    <w:rsid w:val="006A4A4E"/>
    <w:rsid w:val="006A4B30"/>
    <w:rsid w:val="006A4B8D"/>
    <w:rsid w:val="006A4B9D"/>
    <w:rsid w:val="006A4BC7"/>
    <w:rsid w:val="006A4BED"/>
    <w:rsid w:val="006A4C71"/>
    <w:rsid w:val="006A4C7D"/>
    <w:rsid w:val="006A4D0C"/>
    <w:rsid w:val="006A4D30"/>
    <w:rsid w:val="006A4D7A"/>
    <w:rsid w:val="006A4DAD"/>
    <w:rsid w:val="006A4E28"/>
    <w:rsid w:val="006A4E4D"/>
    <w:rsid w:val="006A4E54"/>
    <w:rsid w:val="006A4F27"/>
    <w:rsid w:val="006A50EC"/>
    <w:rsid w:val="006A50EE"/>
    <w:rsid w:val="006A52D4"/>
    <w:rsid w:val="006A532C"/>
    <w:rsid w:val="006A5369"/>
    <w:rsid w:val="006A537D"/>
    <w:rsid w:val="006A53F9"/>
    <w:rsid w:val="006A54D8"/>
    <w:rsid w:val="006A565B"/>
    <w:rsid w:val="006A5660"/>
    <w:rsid w:val="006A5697"/>
    <w:rsid w:val="006A56BD"/>
    <w:rsid w:val="006A57D3"/>
    <w:rsid w:val="006A5808"/>
    <w:rsid w:val="006A588A"/>
    <w:rsid w:val="006A58FB"/>
    <w:rsid w:val="006A5916"/>
    <w:rsid w:val="006A5957"/>
    <w:rsid w:val="006A59B9"/>
    <w:rsid w:val="006A59CC"/>
    <w:rsid w:val="006A5A18"/>
    <w:rsid w:val="006A5A19"/>
    <w:rsid w:val="006A5B07"/>
    <w:rsid w:val="006A5B53"/>
    <w:rsid w:val="006A5C55"/>
    <w:rsid w:val="006A5C82"/>
    <w:rsid w:val="006A5CB6"/>
    <w:rsid w:val="006A5D42"/>
    <w:rsid w:val="006A5D5F"/>
    <w:rsid w:val="006A5D62"/>
    <w:rsid w:val="006A5DB4"/>
    <w:rsid w:val="006A5DB7"/>
    <w:rsid w:val="006A5DF2"/>
    <w:rsid w:val="006A5EA1"/>
    <w:rsid w:val="006A5EF8"/>
    <w:rsid w:val="006A5F19"/>
    <w:rsid w:val="006A5F44"/>
    <w:rsid w:val="006A6015"/>
    <w:rsid w:val="006A610C"/>
    <w:rsid w:val="006A6117"/>
    <w:rsid w:val="006A616A"/>
    <w:rsid w:val="006A616D"/>
    <w:rsid w:val="006A620E"/>
    <w:rsid w:val="006A6212"/>
    <w:rsid w:val="006A6218"/>
    <w:rsid w:val="006A62D9"/>
    <w:rsid w:val="006A63DA"/>
    <w:rsid w:val="006A64F4"/>
    <w:rsid w:val="006A653E"/>
    <w:rsid w:val="006A65C1"/>
    <w:rsid w:val="006A65CD"/>
    <w:rsid w:val="006A6621"/>
    <w:rsid w:val="006A668D"/>
    <w:rsid w:val="006A671A"/>
    <w:rsid w:val="006A67B7"/>
    <w:rsid w:val="006A688E"/>
    <w:rsid w:val="006A690D"/>
    <w:rsid w:val="006A691A"/>
    <w:rsid w:val="006A6924"/>
    <w:rsid w:val="006A696A"/>
    <w:rsid w:val="006A69AA"/>
    <w:rsid w:val="006A69C0"/>
    <w:rsid w:val="006A6ADA"/>
    <w:rsid w:val="006A6B07"/>
    <w:rsid w:val="006A6B27"/>
    <w:rsid w:val="006A6B29"/>
    <w:rsid w:val="006A6B94"/>
    <w:rsid w:val="006A6BB7"/>
    <w:rsid w:val="006A6C2D"/>
    <w:rsid w:val="006A6C7B"/>
    <w:rsid w:val="006A6C85"/>
    <w:rsid w:val="006A6C9E"/>
    <w:rsid w:val="006A6CC9"/>
    <w:rsid w:val="006A6D6E"/>
    <w:rsid w:val="006A6D84"/>
    <w:rsid w:val="006A6D9A"/>
    <w:rsid w:val="006A6DB2"/>
    <w:rsid w:val="006A6E12"/>
    <w:rsid w:val="006A6E2F"/>
    <w:rsid w:val="006A6F3F"/>
    <w:rsid w:val="006A7043"/>
    <w:rsid w:val="006A7066"/>
    <w:rsid w:val="006A707A"/>
    <w:rsid w:val="006A7084"/>
    <w:rsid w:val="006A7199"/>
    <w:rsid w:val="006A71F0"/>
    <w:rsid w:val="006A759F"/>
    <w:rsid w:val="006A75CA"/>
    <w:rsid w:val="006A7659"/>
    <w:rsid w:val="006A7679"/>
    <w:rsid w:val="006A7753"/>
    <w:rsid w:val="006A7789"/>
    <w:rsid w:val="006A77CB"/>
    <w:rsid w:val="006A77D5"/>
    <w:rsid w:val="006A7845"/>
    <w:rsid w:val="006A785A"/>
    <w:rsid w:val="006A7869"/>
    <w:rsid w:val="006A788D"/>
    <w:rsid w:val="006A7957"/>
    <w:rsid w:val="006A7B5C"/>
    <w:rsid w:val="006A7C12"/>
    <w:rsid w:val="006A7C27"/>
    <w:rsid w:val="006A7C2B"/>
    <w:rsid w:val="006A7C55"/>
    <w:rsid w:val="006A7CE0"/>
    <w:rsid w:val="006A7D54"/>
    <w:rsid w:val="006A7D6A"/>
    <w:rsid w:val="006A7DC5"/>
    <w:rsid w:val="006A7E66"/>
    <w:rsid w:val="006A7E79"/>
    <w:rsid w:val="006A7EBB"/>
    <w:rsid w:val="006A7EC1"/>
    <w:rsid w:val="006A7F1D"/>
    <w:rsid w:val="006A7F22"/>
    <w:rsid w:val="006B0061"/>
    <w:rsid w:val="006B00F7"/>
    <w:rsid w:val="006B0139"/>
    <w:rsid w:val="006B0182"/>
    <w:rsid w:val="006B0276"/>
    <w:rsid w:val="006B030D"/>
    <w:rsid w:val="006B0322"/>
    <w:rsid w:val="006B0413"/>
    <w:rsid w:val="006B042E"/>
    <w:rsid w:val="006B04C2"/>
    <w:rsid w:val="006B04E1"/>
    <w:rsid w:val="006B0540"/>
    <w:rsid w:val="006B05B5"/>
    <w:rsid w:val="006B05BE"/>
    <w:rsid w:val="006B05F6"/>
    <w:rsid w:val="006B0608"/>
    <w:rsid w:val="006B062E"/>
    <w:rsid w:val="006B0633"/>
    <w:rsid w:val="006B0640"/>
    <w:rsid w:val="006B066B"/>
    <w:rsid w:val="006B0769"/>
    <w:rsid w:val="006B0786"/>
    <w:rsid w:val="006B0841"/>
    <w:rsid w:val="006B0851"/>
    <w:rsid w:val="006B0869"/>
    <w:rsid w:val="006B08FF"/>
    <w:rsid w:val="006B0906"/>
    <w:rsid w:val="006B0933"/>
    <w:rsid w:val="006B093E"/>
    <w:rsid w:val="006B0942"/>
    <w:rsid w:val="006B09A1"/>
    <w:rsid w:val="006B0AB7"/>
    <w:rsid w:val="006B0B12"/>
    <w:rsid w:val="006B0B22"/>
    <w:rsid w:val="006B0B70"/>
    <w:rsid w:val="006B0B78"/>
    <w:rsid w:val="006B0C27"/>
    <w:rsid w:val="006B0D02"/>
    <w:rsid w:val="006B0DE2"/>
    <w:rsid w:val="006B0E09"/>
    <w:rsid w:val="006B0E64"/>
    <w:rsid w:val="006B0ED2"/>
    <w:rsid w:val="006B0F20"/>
    <w:rsid w:val="006B0F24"/>
    <w:rsid w:val="006B1075"/>
    <w:rsid w:val="006B10DF"/>
    <w:rsid w:val="006B1179"/>
    <w:rsid w:val="006B1188"/>
    <w:rsid w:val="006B11CD"/>
    <w:rsid w:val="006B1215"/>
    <w:rsid w:val="006B1251"/>
    <w:rsid w:val="006B1345"/>
    <w:rsid w:val="006B140B"/>
    <w:rsid w:val="006B148E"/>
    <w:rsid w:val="006B1516"/>
    <w:rsid w:val="006B1517"/>
    <w:rsid w:val="006B153F"/>
    <w:rsid w:val="006B1580"/>
    <w:rsid w:val="006B16D5"/>
    <w:rsid w:val="006B1720"/>
    <w:rsid w:val="006B173A"/>
    <w:rsid w:val="006B17AA"/>
    <w:rsid w:val="006B185A"/>
    <w:rsid w:val="006B188A"/>
    <w:rsid w:val="006B1890"/>
    <w:rsid w:val="006B18A8"/>
    <w:rsid w:val="006B18EB"/>
    <w:rsid w:val="006B19B1"/>
    <w:rsid w:val="006B1A0F"/>
    <w:rsid w:val="006B1AD0"/>
    <w:rsid w:val="006B1B08"/>
    <w:rsid w:val="006B1B31"/>
    <w:rsid w:val="006B1C33"/>
    <w:rsid w:val="006B1C54"/>
    <w:rsid w:val="006B1CD4"/>
    <w:rsid w:val="006B1D22"/>
    <w:rsid w:val="006B1D31"/>
    <w:rsid w:val="006B1DAF"/>
    <w:rsid w:val="006B1DE8"/>
    <w:rsid w:val="006B1E8A"/>
    <w:rsid w:val="006B1ECE"/>
    <w:rsid w:val="006B1F2A"/>
    <w:rsid w:val="006B1F33"/>
    <w:rsid w:val="006B1F5C"/>
    <w:rsid w:val="006B1F8C"/>
    <w:rsid w:val="006B1FB2"/>
    <w:rsid w:val="006B1FC4"/>
    <w:rsid w:val="006B1FF3"/>
    <w:rsid w:val="006B20EE"/>
    <w:rsid w:val="006B22B5"/>
    <w:rsid w:val="006B22C9"/>
    <w:rsid w:val="006B22F5"/>
    <w:rsid w:val="006B25AC"/>
    <w:rsid w:val="006B2600"/>
    <w:rsid w:val="006B266E"/>
    <w:rsid w:val="006B2672"/>
    <w:rsid w:val="006B27BB"/>
    <w:rsid w:val="006B283A"/>
    <w:rsid w:val="006B2863"/>
    <w:rsid w:val="006B288E"/>
    <w:rsid w:val="006B2911"/>
    <w:rsid w:val="006B29BC"/>
    <w:rsid w:val="006B29D0"/>
    <w:rsid w:val="006B29DF"/>
    <w:rsid w:val="006B2A4F"/>
    <w:rsid w:val="006B2ACB"/>
    <w:rsid w:val="006B2AFA"/>
    <w:rsid w:val="006B2C66"/>
    <w:rsid w:val="006B2CE6"/>
    <w:rsid w:val="006B2D2C"/>
    <w:rsid w:val="006B2D4F"/>
    <w:rsid w:val="006B2D56"/>
    <w:rsid w:val="006B2D91"/>
    <w:rsid w:val="006B2DBE"/>
    <w:rsid w:val="006B2E2C"/>
    <w:rsid w:val="006B2F61"/>
    <w:rsid w:val="006B30BE"/>
    <w:rsid w:val="006B31BB"/>
    <w:rsid w:val="006B31E9"/>
    <w:rsid w:val="006B3211"/>
    <w:rsid w:val="006B3212"/>
    <w:rsid w:val="006B3346"/>
    <w:rsid w:val="006B334B"/>
    <w:rsid w:val="006B3465"/>
    <w:rsid w:val="006B346E"/>
    <w:rsid w:val="006B34EC"/>
    <w:rsid w:val="006B352B"/>
    <w:rsid w:val="006B353C"/>
    <w:rsid w:val="006B3567"/>
    <w:rsid w:val="006B365D"/>
    <w:rsid w:val="006B3663"/>
    <w:rsid w:val="006B374A"/>
    <w:rsid w:val="006B37C5"/>
    <w:rsid w:val="006B37DA"/>
    <w:rsid w:val="006B37E3"/>
    <w:rsid w:val="006B3849"/>
    <w:rsid w:val="006B38E2"/>
    <w:rsid w:val="006B3956"/>
    <w:rsid w:val="006B39E9"/>
    <w:rsid w:val="006B3A13"/>
    <w:rsid w:val="006B3AC3"/>
    <w:rsid w:val="006B3AD2"/>
    <w:rsid w:val="006B3B8E"/>
    <w:rsid w:val="006B3BF2"/>
    <w:rsid w:val="006B3C29"/>
    <w:rsid w:val="006B3C56"/>
    <w:rsid w:val="006B3C79"/>
    <w:rsid w:val="006B3D44"/>
    <w:rsid w:val="006B3D7D"/>
    <w:rsid w:val="006B3ED7"/>
    <w:rsid w:val="006B3F84"/>
    <w:rsid w:val="006B401C"/>
    <w:rsid w:val="006B41AA"/>
    <w:rsid w:val="006B41C8"/>
    <w:rsid w:val="006B4250"/>
    <w:rsid w:val="006B4288"/>
    <w:rsid w:val="006B4315"/>
    <w:rsid w:val="006B43DC"/>
    <w:rsid w:val="006B442E"/>
    <w:rsid w:val="006B446F"/>
    <w:rsid w:val="006B4493"/>
    <w:rsid w:val="006B4528"/>
    <w:rsid w:val="006B459F"/>
    <w:rsid w:val="006B45BE"/>
    <w:rsid w:val="006B45D5"/>
    <w:rsid w:val="006B4665"/>
    <w:rsid w:val="006B468F"/>
    <w:rsid w:val="006B46D0"/>
    <w:rsid w:val="006B46D3"/>
    <w:rsid w:val="006B47B6"/>
    <w:rsid w:val="006B4871"/>
    <w:rsid w:val="006B48E5"/>
    <w:rsid w:val="006B493F"/>
    <w:rsid w:val="006B4B1D"/>
    <w:rsid w:val="006B4BB0"/>
    <w:rsid w:val="006B4BC3"/>
    <w:rsid w:val="006B4BE8"/>
    <w:rsid w:val="006B4C19"/>
    <w:rsid w:val="006B4CB0"/>
    <w:rsid w:val="006B4D54"/>
    <w:rsid w:val="006B4E41"/>
    <w:rsid w:val="006B4F12"/>
    <w:rsid w:val="006B50B8"/>
    <w:rsid w:val="006B50D0"/>
    <w:rsid w:val="006B510C"/>
    <w:rsid w:val="006B5176"/>
    <w:rsid w:val="006B5216"/>
    <w:rsid w:val="006B5288"/>
    <w:rsid w:val="006B5305"/>
    <w:rsid w:val="006B5342"/>
    <w:rsid w:val="006B5395"/>
    <w:rsid w:val="006B5423"/>
    <w:rsid w:val="006B543C"/>
    <w:rsid w:val="006B54AF"/>
    <w:rsid w:val="006B55B8"/>
    <w:rsid w:val="006B55CA"/>
    <w:rsid w:val="006B5602"/>
    <w:rsid w:val="006B56A4"/>
    <w:rsid w:val="006B57F2"/>
    <w:rsid w:val="006B5804"/>
    <w:rsid w:val="006B585F"/>
    <w:rsid w:val="006B596F"/>
    <w:rsid w:val="006B59B9"/>
    <w:rsid w:val="006B5A86"/>
    <w:rsid w:val="006B5AAF"/>
    <w:rsid w:val="006B5AE0"/>
    <w:rsid w:val="006B5B05"/>
    <w:rsid w:val="006B5B17"/>
    <w:rsid w:val="006B5BE2"/>
    <w:rsid w:val="006B5C65"/>
    <w:rsid w:val="006B5D4A"/>
    <w:rsid w:val="006B5D76"/>
    <w:rsid w:val="006B5E1D"/>
    <w:rsid w:val="006B5EA0"/>
    <w:rsid w:val="006B5EBD"/>
    <w:rsid w:val="006B5ECC"/>
    <w:rsid w:val="006B5F66"/>
    <w:rsid w:val="006B5F97"/>
    <w:rsid w:val="006B6011"/>
    <w:rsid w:val="006B6080"/>
    <w:rsid w:val="006B60F5"/>
    <w:rsid w:val="006B61A4"/>
    <w:rsid w:val="006B61CD"/>
    <w:rsid w:val="006B61F0"/>
    <w:rsid w:val="006B62B1"/>
    <w:rsid w:val="006B6322"/>
    <w:rsid w:val="006B635F"/>
    <w:rsid w:val="006B638D"/>
    <w:rsid w:val="006B63BA"/>
    <w:rsid w:val="006B6454"/>
    <w:rsid w:val="006B6490"/>
    <w:rsid w:val="006B64BF"/>
    <w:rsid w:val="006B6517"/>
    <w:rsid w:val="006B6541"/>
    <w:rsid w:val="006B654A"/>
    <w:rsid w:val="006B657A"/>
    <w:rsid w:val="006B65C6"/>
    <w:rsid w:val="006B6610"/>
    <w:rsid w:val="006B66DC"/>
    <w:rsid w:val="006B6735"/>
    <w:rsid w:val="006B673B"/>
    <w:rsid w:val="006B6905"/>
    <w:rsid w:val="006B69A7"/>
    <w:rsid w:val="006B6AA7"/>
    <w:rsid w:val="006B6B0B"/>
    <w:rsid w:val="006B6B13"/>
    <w:rsid w:val="006B6C01"/>
    <w:rsid w:val="006B6C91"/>
    <w:rsid w:val="006B6D0A"/>
    <w:rsid w:val="006B6D20"/>
    <w:rsid w:val="006B6D3A"/>
    <w:rsid w:val="006B6E17"/>
    <w:rsid w:val="006B6E96"/>
    <w:rsid w:val="006B6E9E"/>
    <w:rsid w:val="006B6ED9"/>
    <w:rsid w:val="006B6F8D"/>
    <w:rsid w:val="006B7062"/>
    <w:rsid w:val="006B7086"/>
    <w:rsid w:val="006B70B5"/>
    <w:rsid w:val="006B7191"/>
    <w:rsid w:val="006B7227"/>
    <w:rsid w:val="006B7246"/>
    <w:rsid w:val="006B7262"/>
    <w:rsid w:val="006B72B6"/>
    <w:rsid w:val="006B72D0"/>
    <w:rsid w:val="006B731C"/>
    <w:rsid w:val="006B745D"/>
    <w:rsid w:val="006B7473"/>
    <w:rsid w:val="006B74A7"/>
    <w:rsid w:val="006B752E"/>
    <w:rsid w:val="006B75CD"/>
    <w:rsid w:val="006B7645"/>
    <w:rsid w:val="006B7694"/>
    <w:rsid w:val="006B7850"/>
    <w:rsid w:val="006B7858"/>
    <w:rsid w:val="006B7958"/>
    <w:rsid w:val="006B798C"/>
    <w:rsid w:val="006B79FE"/>
    <w:rsid w:val="006B7AA0"/>
    <w:rsid w:val="006B7AC8"/>
    <w:rsid w:val="006B7AE6"/>
    <w:rsid w:val="006B7B13"/>
    <w:rsid w:val="006B7C22"/>
    <w:rsid w:val="006B7C29"/>
    <w:rsid w:val="006B7C53"/>
    <w:rsid w:val="006B7C9A"/>
    <w:rsid w:val="006B7CE2"/>
    <w:rsid w:val="006B7E32"/>
    <w:rsid w:val="006B7E43"/>
    <w:rsid w:val="006B7E51"/>
    <w:rsid w:val="006B7F1E"/>
    <w:rsid w:val="006B7F26"/>
    <w:rsid w:val="006B7F37"/>
    <w:rsid w:val="006B7F5B"/>
    <w:rsid w:val="006B7F72"/>
    <w:rsid w:val="006B7F9C"/>
    <w:rsid w:val="006C0005"/>
    <w:rsid w:val="006C0018"/>
    <w:rsid w:val="006C002A"/>
    <w:rsid w:val="006C002E"/>
    <w:rsid w:val="006C0086"/>
    <w:rsid w:val="006C009F"/>
    <w:rsid w:val="006C00CA"/>
    <w:rsid w:val="006C00E7"/>
    <w:rsid w:val="006C0100"/>
    <w:rsid w:val="006C014B"/>
    <w:rsid w:val="006C01E6"/>
    <w:rsid w:val="006C02D3"/>
    <w:rsid w:val="006C0422"/>
    <w:rsid w:val="006C0464"/>
    <w:rsid w:val="006C04A2"/>
    <w:rsid w:val="006C04A7"/>
    <w:rsid w:val="006C051D"/>
    <w:rsid w:val="006C053B"/>
    <w:rsid w:val="006C0550"/>
    <w:rsid w:val="006C055A"/>
    <w:rsid w:val="006C0695"/>
    <w:rsid w:val="006C0696"/>
    <w:rsid w:val="006C0790"/>
    <w:rsid w:val="006C08A3"/>
    <w:rsid w:val="006C08AE"/>
    <w:rsid w:val="006C09B6"/>
    <w:rsid w:val="006C0A59"/>
    <w:rsid w:val="006C0AC3"/>
    <w:rsid w:val="006C0ACF"/>
    <w:rsid w:val="006C0AE7"/>
    <w:rsid w:val="006C0B6A"/>
    <w:rsid w:val="006C0C46"/>
    <w:rsid w:val="006C0D22"/>
    <w:rsid w:val="006C0D32"/>
    <w:rsid w:val="006C0DC1"/>
    <w:rsid w:val="006C0E42"/>
    <w:rsid w:val="006C0E49"/>
    <w:rsid w:val="006C0E66"/>
    <w:rsid w:val="006C0EB3"/>
    <w:rsid w:val="006C0EB5"/>
    <w:rsid w:val="006C0EDE"/>
    <w:rsid w:val="006C0F26"/>
    <w:rsid w:val="006C0F3A"/>
    <w:rsid w:val="006C0F7B"/>
    <w:rsid w:val="006C0FBB"/>
    <w:rsid w:val="006C0FCC"/>
    <w:rsid w:val="006C0FDA"/>
    <w:rsid w:val="006C1062"/>
    <w:rsid w:val="006C106A"/>
    <w:rsid w:val="006C10C7"/>
    <w:rsid w:val="006C10ED"/>
    <w:rsid w:val="006C1121"/>
    <w:rsid w:val="006C1129"/>
    <w:rsid w:val="006C11AC"/>
    <w:rsid w:val="006C11C5"/>
    <w:rsid w:val="006C12BC"/>
    <w:rsid w:val="006C13D2"/>
    <w:rsid w:val="006C13D5"/>
    <w:rsid w:val="006C143E"/>
    <w:rsid w:val="006C147B"/>
    <w:rsid w:val="006C1522"/>
    <w:rsid w:val="006C155E"/>
    <w:rsid w:val="006C15C9"/>
    <w:rsid w:val="006C164D"/>
    <w:rsid w:val="006C166D"/>
    <w:rsid w:val="006C1676"/>
    <w:rsid w:val="006C16B5"/>
    <w:rsid w:val="006C177D"/>
    <w:rsid w:val="006C1801"/>
    <w:rsid w:val="006C1802"/>
    <w:rsid w:val="006C180B"/>
    <w:rsid w:val="006C1812"/>
    <w:rsid w:val="006C18AE"/>
    <w:rsid w:val="006C1929"/>
    <w:rsid w:val="006C1A07"/>
    <w:rsid w:val="006C1A5F"/>
    <w:rsid w:val="006C1AE7"/>
    <w:rsid w:val="006C1AFE"/>
    <w:rsid w:val="006C1B21"/>
    <w:rsid w:val="006C1C26"/>
    <w:rsid w:val="006C1C8F"/>
    <w:rsid w:val="006C1CA3"/>
    <w:rsid w:val="006C1CEC"/>
    <w:rsid w:val="006C1D4E"/>
    <w:rsid w:val="006C1DBB"/>
    <w:rsid w:val="006C1E0B"/>
    <w:rsid w:val="006C1E1C"/>
    <w:rsid w:val="006C1E48"/>
    <w:rsid w:val="006C1E78"/>
    <w:rsid w:val="006C1E82"/>
    <w:rsid w:val="006C1F9F"/>
    <w:rsid w:val="006C2009"/>
    <w:rsid w:val="006C2067"/>
    <w:rsid w:val="006C2085"/>
    <w:rsid w:val="006C2115"/>
    <w:rsid w:val="006C218E"/>
    <w:rsid w:val="006C2248"/>
    <w:rsid w:val="006C2260"/>
    <w:rsid w:val="006C22A7"/>
    <w:rsid w:val="006C22C8"/>
    <w:rsid w:val="006C2408"/>
    <w:rsid w:val="006C24D5"/>
    <w:rsid w:val="006C2533"/>
    <w:rsid w:val="006C2534"/>
    <w:rsid w:val="006C2549"/>
    <w:rsid w:val="006C2675"/>
    <w:rsid w:val="006C27B8"/>
    <w:rsid w:val="006C28BB"/>
    <w:rsid w:val="006C2964"/>
    <w:rsid w:val="006C29CD"/>
    <w:rsid w:val="006C29ED"/>
    <w:rsid w:val="006C2A98"/>
    <w:rsid w:val="006C2B3D"/>
    <w:rsid w:val="006C2B9C"/>
    <w:rsid w:val="006C2C2F"/>
    <w:rsid w:val="006C2C36"/>
    <w:rsid w:val="006C2C3A"/>
    <w:rsid w:val="006C2D31"/>
    <w:rsid w:val="006C2EA2"/>
    <w:rsid w:val="006C2F4D"/>
    <w:rsid w:val="006C2FC0"/>
    <w:rsid w:val="006C2FEF"/>
    <w:rsid w:val="006C303C"/>
    <w:rsid w:val="006C304B"/>
    <w:rsid w:val="006C305D"/>
    <w:rsid w:val="006C3141"/>
    <w:rsid w:val="006C319D"/>
    <w:rsid w:val="006C31E5"/>
    <w:rsid w:val="006C31FA"/>
    <w:rsid w:val="006C3204"/>
    <w:rsid w:val="006C32BE"/>
    <w:rsid w:val="006C330A"/>
    <w:rsid w:val="006C3328"/>
    <w:rsid w:val="006C3373"/>
    <w:rsid w:val="006C33D7"/>
    <w:rsid w:val="006C347B"/>
    <w:rsid w:val="006C3733"/>
    <w:rsid w:val="006C3742"/>
    <w:rsid w:val="006C3789"/>
    <w:rsid w:val="006C384A"/>
    <w:rsid w:val="006C3857"/>
    <w:rsid w:val="006C389F"/>
    <w:rsid w:val="006C38FD"/>
    <w:rsid w:val="006C3961"/>
    <w:rsid w:val="006C39E6"/>
    <w:rsid w:val="006C3A23"/>
    <w:rsid w:val="006C3A82"/>
    <w:rsid w:val="006C3B1F"/>
    <w:rsid w:val="006C3B3B"/>
    <w:rsid w:val="006C3B60"/>
    <w:rsid w:val="006C3B6E"/>
    <w:rsid w:val="006C3B87"/>
    <w:rsid w:val="006C3C1E"/>
    <w:rsid w:val="006C3C28"/>
    <w:rsid w:val="006C3CA6"/>
    <w:rsid w:val="006C3CDD"/>
    <w:rsid w:val="006C3D9B"/>
    <w:rsid w:val="006C3E3B"/>
    <w:rsid w:val="006C3ED2"/>
    <w:rsid w:val="006C3EF9"/>
    <w:rsid w:val="006C3F82"/>
    <w:rsid w:val="006C3F90"/>
    <w:rsid w:val="006C3FB5"/>
    <w:rsid w:val="006C3FDD"/>
    <w:rsid w:val="006C4024"/>
    <w:rsid w:val="006C4066"/>
    <w:rsid w:val="006C4075"/>
    <w:rsid w:val="006C4091"/>
    <w:rsid w:val="006C40A9"/>
    <w:rsid w:val="006C415D"/>
    <w:rsid w:val="006C4224"/>
    <w:rsid w:val="006C42DA"/>
    <w:rsid w:val="006C438F"/>
    <w:rsid w:val="006C43B4"/>
    <w:rsid w:val="006C43B6"/>
    <w:rsid w:val="006C43B9"/>
    <w:rsid w:val="006C44E0"/>
    <w:rsid w:val="006C450D"/>
    <w:rsid w:val="006C46AE"/>
    <w:rsid w:val="006C47E4"/>
    <w:rsid w:val="006C4A3F"/>
    <w:rsid w:val="006C4AE3"/>
    <w:rsid w:val="006C4AE7"/>
    <w:rsid w:val="006C4C5E"/>
    <w:rsid w:val="006C4C6A"/>
    <w:rsid w:val="006C4CC7"/>
    <w:rsid w:val="006C4CE3"/>
    <w:rsid w:val="006C4CF4"/>
    <w:rsid w:val="006C4DDC"/>
    <w:rsid w:val="006C4E37"/>
    <w:rsid w:val="006C4FEC"/>
    <w:rsid w:val="006C5072"/>
    <w:rsid w:val="006C50D1"/>
    <w:rsid w:val="006C517B"/>
    <w:rsid w:val="006C51A9"/>
    <w:rsid w:val="006C5223"/>
    <w:rsid w:val="006C5229"/>
    <w:rsid w:val="006C52C4"/>
    <w:rsid w:val="006C5310"/>
    <w:rsid w:val="006C5348"/>
    <w:rsid w:val="006C53AD"/>
    <w:rsid w:val="006C54B6"/>
    <w:rsid w:val="006C55A9"/>
    <w:rsid w:val="006C55C9"/>
    <w:rsid w:val="006C5651"/>
    <w:rsid w:val="006C5655"/>
    <w:rsid w:val="006C56EF"/>
    <w:rsid w:val="006C5726"/>
    <w:rsid w:val="006C5752"/>
    <w:rsid w:val="006C5764"/>
    <w:rsid w:val="006C5895"/>
    <w:rsid w:val="006C597F"/>
    <w:rsid w:val="006C5980"/>
    <w:rsid w:val="006C5B02"/>
    <w:rsid w:val="006C5B79"/>
    <w:rsid w:val="006C5BA0"/>
    <w:rsid w:val="006C5BAB"/>
    <w:rsid w:val="006C5C24"/>
    <w:rsid w:val="006C5C30"/>
    <w:rsid w:val="006C5C69"/>
    <w:rsid w:val="006C5C7A"/>
    <w:rsid w:val="006C5CA3"/>
    <w:rsid w:val="006C5D69"/>
    <w:rsid w:val="006C5D72"/>
    <w:rsid w:val="006C5DA6"/>
    <w:rsid w:val="006C5DAB"/>
    <w:rsid w:val="006C5DEA"/>
    <w:rsid w:val="006C5E88"/>
    <w:rsid w:val="006C5ED4"/>
    <w:rsid w:val="006C5EF0"/>
    <w:rsid w:val="006C5F00"/>
    <w:rsid w:val="006C5F27"/>
    <w:rsid w:val="006C5FA1"/>
    <w:rsid w:val="006C6017"/>
    <w:rsid w:val="006C606D"/>
    <w:rsid w:val="006C61AE"/>
    <w:rsid w:val="006C6234"/>
    <w:rsid w:val="006C6278"/>
    <w:rsid w:val="006C62A0"/>
    <w:rsid w:val="006C62E6"/>
    <w:rsid w:val="006C633C"/>
    <w:rsid w:val="006C63D7"/>
    <w:rsid w:val="006C6406"/>
    <w:rsid w:val="006C65AC"/>
    <w:rsid w:val="006C65E6"/>
    <w:rsid w:val="006C663B"/>
    <w:rsid w:val="006C6681"/>
    <w:rsid w:val="006C669E"/>
    <w:rsid w:val="006C6705"/>
    <w:rsid w:val="006C675A"/>
    <w:rsid w:val="006C67B3"/>
    <w:rsid w:val="006C67E1"/>
    <w:rsid w:val="006C6848"/>
    <w:rsid w:val="006C688B"/>
    <w:rsid w:val="006C68A2"/>
    <w:rsid w:val="006C69DA"/>
    <w:rsid w:val="006C6A26"/>
    <w:rsid w:val="006C6A6B"/>
    <w:rsid w:val="006C6B70"/>
    <w:rsid w:val="006C6B9F"/>
    <w:rsid w:val="006C6C24"/>
    <w:rsid w:val="006C6C46"/>
    <w:rsid w:val="006C6C8B"/>
    <w:rsid w:val="006C6DDC"/>
    <w:rsid w:val="006C6DEE"/>
    <w:rsid w:val="006C6E87"/>
    <w:rsid w:val="006C6E97"/>
    <w:rsid w:val="006C6ED6"/>
    <w:rsid w:val="006C705F"/>
    <w:rsid w:val="006C70D6"/>
    <w:rsid w:val="006C71BF"/>
    <w:rsid w:val="006C729B"/>
    <w:rsid w:val="006C7497"/>
    <w:rsid w:val="006C754C"/>
    <w:rsid w:val="006C7569"/>
    <w:rsid w:val="006C7571"/>
    <w:rsid w:val="006C7578"/>
    <w:rsid w:val="006C75B7"/>
    <w:rsid w:val="006C75E0"/>
    <w:rsid w:val="006C763C"/>
    <w:rsid w:val="006C7709"/>
    <w:rsid w:val="006C770E"/>
    <w:rsid w:val="006C7807"/>
    <w:rsid w:val="006C7863"/>
    <w:rsid w:val="006C78B8"/>
    <w:rsid w:val="006C7986"/>
    <w:rsid w:val="006C79AF"/>
    <w:rsid w:val="006C79FD"/>
    <w:rsid w:val="006C7A2A"/>
    <w:rsid w:val="006C7A96"/>
    <w:rsid w:val="006C7B48"/>
    <w:rsid w:val="006C7BE6"/>
    <w:rsid w:val="006C7C0D"/>
    <w:rsid w:val="006C7D6C"/>
    <w:rsid w:val="006C7DC8"/>
    <w:rsid w:val="006C7ECC"/>
    <w:rsid w:val="006C7F9E"/>
    <w:rsid w:val="006D0020"/>
    <w:rsid w:val="006D0047"/>
    <w:rsid w:val="006D00B0"/>
    <w:rsid w:val="006D0120"/>
    <w:rsid w:val="006D013D"/>
    <w:rsid w:val="006D0163"/>
    <w:rsid w:val="006D017D"/>
    <w:rsid w:val="006D01BA"/>
    <w:rsid w:val="006D01FA"/>
    <w:rsid w:val="006D022D"/>
    <w:rsid w:val="006D024D"/>
    <w:rsid w:val="006D02FB"/>
    <w:rsid w:val="006D0319"/>
    <w:rsid w:val="006D0320"/>
    <w:rsid w:val="006D0351"/>
    <w:rsid w:val="006D0395"/>
    <w:rsid w:val="006D03F0"/>
    <w:rsid w:val="006D0408"/>
    <w:rsid w:val="006D048C"/>
    <w:rsid w:val="006D04A2"/>
    <w:rsid w:val="006D0539"/>
    <w:rsid w:val="006D05B5"/>
    <w:rsid w:val="006D05CC"/>
    <w:rsid w:val="006D0706"/>
    <w:rsid w:val="006D0782"/>
    <w:rsid w:val="006D08BF"/>
    <w:rsid w:val="006D0949"/>
    <w:rsid w:val="006D09B3"/>
    <w:rsid w:val="006D09D7"/>
    <w:rsid w:val="006D0A48"/>
    <w:rsid w:val="006D0A4E"/>
    <w:rsid w:val="006D0A63"/>
    <w:rsid w:val="006D0A98"/>
    <w:rsid w:val="006D0ADF"/>
    <w:rsid w:val="006D0BC7"/>
    <w:rsid w:val="006D0D75"/>
    <w:rsid w:val="006D0DF3"/>
    <w:rsid w:val="006D0E51"/>
    <w:rsid w:val="006D0E71"/>
    <w:rsid w:val="006D0F7A"/>
    <w:rsid w:val="006D0FF3"/>
    <w:rsid w:val="006D1045"/>
    <w:rsid w:val="006D1131"/>
    <w:rsid w:val="006D1241"/>
    <w:rsid w:val="006D12DA"/>
    <w:rsid w:val="006D12E7"/>
    <w:rsid w:val="006D12EB"/>
    <w:rsid w:val="006D13CE"/>
    <w:rsid w:val="006D14E3"/>
    <w:rsid w:val="006D1538"/>
    <w:rsid w:val="006D161F"/>
    <w:rsid w:val="006D164C"/>
    <w:rsid w:val="006D16ED"/>
    <w:rsid w:val="006D1708"/>
    <w:rsid w:val="006D1715"/>
    <w:rsid w:val="006D17CD"/>
    <w:rsid w:val="006D180F"/>
    <w:rsid w:val="006D18C4"/>
    <w:rsid w:val="006D18EA"/>
    <w:rsid w:val="006D1995"/>
    <w:rsid w:val="006D1A32"/>
    <w:rsid w:val="006D1A6D"/>
    <w:rsid w:val="006D1A82"/>
    <w:rsid w:val="006D1B79"/>
    <w:rsid w:val="006D1B7A"/>
    <w:rsid w:val="006D1C44"/>
    <w:rsid w:val="006D1CB8"/>
    <w:rsid w:val="006D1E2D"/>
    <w:rsid w:val="006D1E44"/>
    <w:rsid w:val="006D1E6D"/>
    <w:rsid w:val="006D1EF4"/>
    <w:rsid w:val="006D201A"/>
    <w:rsid w:val="006D2116"/>
    <w:rsid w:val="006D217F"/>
    <w:rsid w:val="006D21C2"/>
    <w:rsid w:val="006D221D"/>
    <w:rsid w:val="006D22C4"/>
    <w:rsid w:val="006D23F5"/>
    <w:rsid w:val="006D240A"/>
    <w:rsid w:val="006D247C"/>
    <w:rsid w:val="006D2492"/>
    <w:rsid w:val="006D24CF"/>
    <w:rsid w:val="006D254B"/>
    <w:rsid w:val="006D25BF"/>
    <w:rsid w:val="006D2609"/>
    <w:rsid w:val="006D264D"/>
    <w:rsid w:val="006D26F6"/>
    <w:rsid w:val="006D27F5"/>
    <w:rsid w:val="006D2882"/>
    <w:rsid w:val="006D291C"/>
    <w:rsid w:val="006D2938"/>
    <w:rsid w:val="006D29CE"/>
    <w:rsid w:val="006D2AE3"/>
    <w:rsid w:val="006D2B1F"/>
    <w:rsid w:val="006D2BC0"/>
    <w:rsid w:val="006D2D51"/>
    <w:rsid w:val="006D2E09"/>
    <w:rsid w:val="006D2E7F"/>
    <w:rsid w:val="006D2EEC"/>
    <w:rsid w:val="006D2F92"/>
    <w:rsid w:val="006D304F"/>
    <w:rsid w:val="006D306B"/>
    <w:rsid w:val="006D309B"/>
    <w:rsid w:val="006D30B5"/>
    <w:rsid w:val="006D30DC"/>
    <w:rsid w:val="006D30ED"/>
    <w:rsid w:val="006D311D"/>
    <w:rsid w:val="006D314E"/>
    <w:rsid w:val="006D315F"/>
    <w:rsid w:val="006D329A"/>
    <w:rsid w:val="006D32AA"/>
    <w:rsid w:val="006D32AF"/>
    <w:rsid w:val="006D339B"/>
    <w:rsid w:val="006D3435"/>
    <w:rsid w:val="006D3507"/>
    <w:rsid w:val="006D3564"/>
    <w:rsid w:val="006D3565"/>
    <w:rsid w:val="006D357C"/>
    <w:rsid w:val="006D35ED"/>
    <w:rsid w:val="006D36B0"/>
    <w:rsid w:val="006D373D"/>
    <w:rsid w:val="006D3826"/>
    <w:rsid w:val="006D387F"/>
    <w:rsid w:val="006D3895"/>
    <w:rsid w:val="006D389B"/>
    <w:rsid w:val="006D38A6"/>
    <w:rsid w:val="006D39BB"/>
    <w:rsid w:val="006D3A7B"/>
    <w:rsid w:val="006D3A7C"/>
    <w:rsid w:val="006D3AE7"/>
    <w:rsid w:val="006D3AE8"/>
    <w:rsid w:val="006D3C09"/>
    <w:rsid w:val="006D3C35"/>
    <w:rsid w:val="006D3D2E"/>
    <w:rsid w:val="006D3D66"/>
    <w:rsid w:val="006D3DAF"/>
    <w:rsid w:val="006D3E38"/>
    <w:rsid w:val="006D3F43"/>
    <w:rsid w:val="006D3F7B"/>
    <w:rsid w:val="006D3FC8"/>
    <w:rsid w:val="006D3FEA"/>
    <w:rsid w:val="006D4079"/>
    <w:rsid w:val="006D40B2"/>
    <w:rsid w:val="006D40CF"/>
    <w:rsid w:val="006D40E5"/>
    <w:rsid w:val="006D4266"/>
    <w:rsid w:val="006D4284"/>
    <w:rsid w:val="006D42F8"/>
    <w:rsid w:val="006D433D"/>
    <w:rsid w:val="006D4399"/>
    <w:rsid w:val="006D43C7"/>
    <w:rsid w:val="006D4429"/>
    <w:rsid w:val="006D4475"/>
    <w:rsid w:val="006D447B"/>
    <w:rsid w:val="006D44AA"/>
    <w:rsid w:val="006D4523"/>
    <w:rsid w:val="006D4530"/>
    <w:rsid w:val="006D4538"/>
    <w:rsid w:val="006D45CD"/>
    <w:rsid w:val="006D45FA"/>
    <w:rsid w:val="006D4691"/>
    <w:rsid w:val="006D46FB"/>
    <w:rsid w:val="006D46FD"/>
    <w:rsid w:val="006D4706"/>
    <w:rsid w:val="006D4764"/>
    <w:rsid w:val="006D47B9"/>
    <w:rsid w:val="006D4896"/>
    <w:rsid w:val="006D48EC"/>
    <w:rsid w:val="006D491A"/>
    <w:rsid w:val="006D4949"/>
    <w:rsid w:val="006D49EA"/>
    <w:rsid w:val="006D4A00"/>
    <w:rsid w:val="006D4A04"/>
    <w:rsid w:val="006D4A16"/>
    <w:rsid w:val="006D4AA7"/>
    <w:rsid w:val="006D4B63"/>
    <w:rsid w:val="006D4C52"/>
    <w:rsid w:val="006D4C64"/>
    <w:rsid w:val="006D4C7C"/>
    <w:rsid w:val="006D4C8C"/>
    <w:rsid w:val="006D4C8E"/>
    <w:rsid w:val="006D4C8F"/>
    <w:rsid w:val="006D4CB9"/>
    <w:rsid w:val="006D4D0D"/>
    <w:rsid w:val="006D4DBC"/>
    <w:rsid w:val="006D4DBF"/>
    <w:rsid w:val="006D4EF5"/>
    <w:rsid w:val="006D4F0D"/>
    <w:rsid w:val="006D4F33"/>
    <w:rsid w:val="006D4F39"/>
    <w:rsid w:val="006D4F83"/>
    <w:rsid w:val="006D4FC3"/>
    <w:rsid w:val="006D4FEC"/>
    <w:rsid w:val="006D4FED"/>
    <w:rsid w:val="006D511C"/>
    <w:rsid w:val="006D5122"/>
    <w:rsid w:val="006D516B"/>
    <w:rsid w:val="006D517F"/>
    <w:rsid w:val="006D5206"/>
    <w:rsid w:val="006D5216"/>
    <w:rsid w:val="006D5242"/>
    <w:rsid w:val="006D5246"/>
    <w:rsid w:val="006D531F"/>
    <w:rsid w:val="006D535A"/>
    <w:rsid w:val="006D5428"/>
    <w:rsid w:val="006D5431"/>
    <w:rsid w:val="006D54A5"/>
    <w:rsid w:val="006D54B5"/>
    <w:rsid w:val="006D5516"/>
    <w:rsid w:val="006D551B"/>
    <w:rsid w:val="006D554B"/>
    <w:rsid w:val="006D5587"/>
    <w:rsid w:val="006D5591"/>
    <w:rsid w:val="006D5673"/>
    <w:rsid w:val="006D571D"/>
    <w:rsid w:val="006D5801"/>
    <w:rsid w:val="006D588A"/>
    <w:rsid w:val="006D58B4"/>
    <w:rsid w:val="006D58E4"/>
    <w:rsid w:val="006D596B"/>
    <w:rsid w:val="006D5985"/>
    <w:rsid w:val="006D5AD7"/>
    <w:rsid w:val="006D5AE7"/>
    <w:rsid w:val="006D5B35"/>
    <w:rsid w:val="006D5B42"/>
    <w:rsid w:val="006D5B5B"/>
    <w:rsid w:val="006D5C13"/>
    <w:rsid w:val="006D5C18"/>
    <w:rsid w:val="006D5C3C"/>
    <w:rsid w:val="006D5CFF"/>
    <w:rsid w:val="006D5D26"/>
    <w:rsid w:val="006D5DB7"/>
    <w:rsid w:val="006D5E06"/>
    <w:rsid w:val="006D5E56"/>
    <w:rsid w:val="006D5ED1"/>
    <w:rsid w:val="006D5EF8"/>
    <w:rsid w:val="006D6119"/>
    <w:rsid w:val="006D611B"/>
    <w:rsid w:val="006D6171"/>
    <w:rsid w:val="006D61A8"/>
    <w:rsid w:val="006D61CB"/>
    <w:rsid w:val="006D6237"/>
    <w:rsid w:val="006D629C"/>
    <w:rsid w:val="006D62FC"/>
    <w:rsid w:val="006D6345"/>
    <w:rsid w:val="006D641D"/>
    <w:rsid w:val="006D650D"/>
    <w:rsid w:val="006D6563"/>
    <w:rsid w:val="006D6610"/>
    <w:rsid w:val="006D6671"/>
    <w:rsid w:val="006D66CF"/>
    <w:rsid w:val="006D6711"/>
    <w:rsid w:val="006D672B"/>
    <w:rsid w:val="006D676B"/>
    <w:rsid w:val="006D67BD"/>
    <w:rsid w:val="006D68A4"/>
    <w:rsid w:val="006D6905"/>
    <w:rsid w:val="006D697D"/>
    <w:rsid w:val="006D69A2"/>
    <w:rsid w:val="006D69FE"/>
    <w:rsid w:val="006D6A12"/>
    <w:rsid w:val="006D6B5F"/>
    <w:rsid w:val="006D6B7D"/>
    <w:rsid w:val="006D6BDD"/>
    <w:rsid w:val="006D6C3B"/>
    <w:rsid w:val="006D6C4F"/>
    <w:rsid w:val="006D6C70"/>
    <w:rsid w:val="006D6D3A"/>
    <w:rsid w:val="006D6D45"/>
    <w:rsid w:val="006D6D4E"/>
    <w:rsid w:val="006D6D98"/>
    <w:rsid w:val="006D6E71"/>
    <w:rsid w:val="006D6EB4"/>
    <w:rsid w:val="006D6EF2"/>
    <w:rsid w:val="006D700E"/>
    <w:rsid w:val="006D705F"/>
    <w:rsid w:val="006D706B"/>
    <w:rsid w:val="006D7105"/>
    <w:rsid w:val="006D71A4"/>
    <w:rsid w:val="006D71DE"/>
    <w:rsid w:val="006D71F1"/>
    <w:rsid w:val="006D72AA"/>
    <w:rsid w:val="006D7358"/>
    <w:rsid w:val="006D73BE"/>
    <w:rsid w:val="006D73F8"/>
    <w:rsid w:val="006D740A"/>
    <w:rsid w:val="006D740B"/>
    <w:rsid w:val="006D7462"/>
    <w:rsid w:val="006D753E"/>
    <w:rsid w:val="006D7549"/>
    <w:rsid w:val="006D7562"/>
    <w:rsid w:val="006D756D"/>
    <w:rsid w:val="006D7573"/>
    <w:rsid w:val="006D7597"/>
    <w:rsid w:val="006D75D8"/>
    <w:rsid w:val="006D76B1"/>
    <w:rsid w:val="006D76E0"/>
    <w:rsid w:val="006D7730"/>
    <w:rsid w:val="006D773B"/>
    <w:rsid w:val="006D77BE"/>
    <w:rsid w:val="006D77E4"/>
    <w:rsid w:val="006D78F5"/>
    <w:rsid w:val="006D7924"/>
    <w:rsid w:val="006D79D7"/>
    <w:rsid w:val="006D79FC"/>
    <w:rsid w:val="006D7A35"/>
    <w:rsid w:val="006D7ABB"/>
    <w:rsid w:val="006D7AD9"/>
    <w:rsid w:val="006D7AF2"/>
    <w:rsid w:val="006D7BA3"/>
    <w:rsid w:val="006D7C16"/>
    <w:rsid w:val="006D7C19"/>
    <w:rsid w:val="006D7CB0"/>
    <w:rsid w:val="006D7CBF"/>
    <w:rsid w:val="006D7D02"/>
    <w:rsid w:val="006D7D76"/>
    <w:rsid w:val="006D7E1D"/>
    <w:rsid w:val="006D7F00"/>
    <w:rsid w:val="006D7F15"/>
    <w:rsid w:val="006E006C"/>
    <w:rsid w:val="006E015B"/>
    <w:rsid w:val="006E0204"/>
    <w:rsid w:val="006E0251"/>
    <w:rsid w:val="006E02B1"/>
    <w:rsid w:val="006E02D1"/>
    <w:rsid w:val="006E0318"/>
    <w:rsid w:val="006E034D"/>
    <w:rsid w:val="006E03D5"/>
    <w:rsid w:val="006E0410"/>
    <w:rsid w:val="006E042C"/>
    <w:rsid w:val="006E050F"/>
    <w:rsid w:val="006E05EB"/>
    <w:rsid w:val="006E0643"/>
    <w:rsid w:val="006E070C"/>
    <w:rsid w:val="006E0715"/>
    <w:rsid w:val="006E0780"/>
    <w:rsid w:val="006E07CB"/>
    <w:rsid w:val="006E0870"/>
    <w:rsid w:val="006E0885"/>
    <w:rsid w:val="006E08AC"/>
    <w:rsid w:val="006E08E7"/>
    <w:rsid w:val="006E0912"/>
    <w:rsid w:val="006E0921"/>
    <w:rsid w:val="006E093C"/>
    <w:rsid w:val="006E0967"/>
    <w:rsid w:val="006E098E"/>
    <w:rsid w:val="006E09D1"/>
    <w:rsid w:val="006E0A82"/>
    <w:rsid w:val="006E0ADA"/>
    <w:rsid w:val="006E0B36"/>
    <w:rsid w:val="006E0BB6"/>
    <w:rsid w:val="006E0D57"/>
    <w:rsid w:val="006E0DE2"/>
    <w:rsid w:val="006E0E08"/>
    <w:rsid w:val="006E0EFA"/>
    <w:rsid w:val="006E0F3E"/>
    <w:rsid w:val="006E0F5A"/>
    <w:rsid w:val="006E0F6C"/>
    <w:rsid w:val="006E1065"/>
    <w:rsid w:val="006E10ED"/>
    <w:rsid w:val="006E1106"/>
    <w:rsid w:val="006E111F"/>
    <w:rsid w:val="006E115B"/>
    <w:rsid w:val="006E116D"/>
    <w:rsid w:val="006E1221"/>
    <w:rsid w:val="006E1340"/>
    <w:rsid w:val="006E1531"/>
    <w:rsid w:val="006E15FA"/>
    <w:rsid w:val="006E1606"/>
    <w:rsid w:val="006E1672"/>
    <w:rsid w:val="006E169C"/>
    <w:rsid w:val="006E176C"/>
    <w:rsid w:val="006E178E"/>
    <w:rsid w:val="006E17E5"/>
    <w:rsid w:val="006E18B8"/>
    <w:rsid w:val="006E191A"/>
    <w:rsid w:val="006E199E"/>
    <w:rsid w:val="006E19A7"/>
    <w:rsid w:val="006E19B8"/>
    <w:rsid w:val="006E19E6"/>
    <w:rsid w:val="006E1AEF"/>
    <w:rsid w:val="006E1B1B"/>
    <w:rsid w:val="006E1C07"/>
    <w:rsid w:val="006E1C83"/>
    <w:rsid w:val="006E1D38"/>
    <w:rsid w:val="006E1D72"/>
    <w:rsid w:val="006E1D93"/>
    <w:rsid w:val="006E1DD9"/>
    <w:rsid w:val="006E1E49"/>
    <w:rsid w:val="006E1F52"/>
    <w:rsid w:val="006E1F6E"/>
    <w:rsid w:val="006E1FC1"/>
    <w:rsid w:val="006E2016"/>
    <w:rsid w:val="006E204F"/>
    <w:rsid w:val="006E20D1"/>
    <w:rsid w:val="006E20F0"/>
    <w:rsid w:val="006E20F6"/>
    <w:rsid w:val="006E20FA"/>
    <w:rsid w:val="006E2151"/>
    <w:rsid w:val="006E2165"/>
    <w:rsid w:val="006E227C"/>
    <w:rsid w:val="006E2283"/>
    <w:rsid w:val="006E22EF"/>
    <w:rsid w:val="006E2336"/>
    <w:rsid w:val="006E2427"/>
    <w:rsid w:val="006E243B"/>
    <w:rsid w:val="006E2488"/>
    <w:rsid w:val="006E24B6"/>
    <w:rsid w:val="006E24C9"/>
    <w:rsid w:val="006E24D8"/>
    <w:rsid w:val="006E2500"/>
    <w:rsid w:val="006E25EA"/>
    <w:rsid w:val="006E2659"/>
    <w:rsid w:val="006E26A8"/>
    <w:rsid w:val="006E26B4"/>
    <w:rsid w:val="006E2709"/>
    <w:rsid w:val="006E27B8"/>
    <w:rsid w:val="006E284D"/>
    <w:rsid w:val="006E290C"/>
    <w:rsid w:val="006E29C1"/>
    <w:rsid w:val="006E2AB2"/>
    <w:rsid w:val="006E2BB1"/>
    <w:rsid w:val="006E2DB4"/>
    <w:rsid w:val="006E2DDC"/>
    <w:rsid w:val="006E2ECD"/>
    <w:rsid w:val="006E2F29"/>
    <w:rsid w:val="006E2F30"/>
    <w:rsid w:val="006E2F31"/>
    <w:rsid w:val="006E2FC7"/>
    <w:rsid w:val="006E3034"/>
    <w:rsid w:val="006E309C"/>
    <w:rsid w:val="006E30D4"/>
    <w:rsid w:val="006E310B"/>
    <w:rsid w:val="006E318E"/>
    <w:rsid w:val="006E31AB"/>
    <w:rsid w:val="006E31BC"/>
    <w:rsid w:val="006E31F3"/>
    <w:rsid w:val="006E32C7"/>
    <w:rsid w:val="006E3312"/>
    <w:rsid w:val="006E33DC"/>
    <w:rsid w:val="006E3560"/>
    <w:rsid w:val="006E3576"/>
    <w:rsid w:val="006E357E"/>
    <w:rsid w:val="006E3628"/>
    <w:rsid w:val="006E3790"/>
    <w:rsid w:val="006E3796"/>
    <w:rsid w:val="006E37EA"/>
    <w:rsid w:val="006E3966"/>
    <w:rsid w:val="006E3A9D"/>
    <w:rsid w:val="006E3AB4"/>
    <w:rsid w:val="006E3ADB"/>
    <w:rsid w:val="006E3B59"/>
    <w:rsid w:val="006E3BA6"/>
    <w:rsid w:val="006E3BA7"/>
    <w:rsid w:val="006E3C62"/>
    <w:rsid w:val="006E3CD7"/>
    <w:rsid w:val="006E3D5C"/>
    <w:rsid w:val="006E3D85"/>
    <w:rsid w:val="006E3E17"/>
    <w:rsid w:val="006E3E24"/>
    <w:rsid w:val="006E3E49"/>
    <w:rsid w:val="006E3F66"/>
    <w:rsid w:val="006E3FFD"/>
    <w:rsid w:val="006E4099"/>
    <w:rsid w:val="006E40F5"/>
    <w:rsid w:val="006E423F"/>
    <w:rsid w:val="006E424A"/>
    <w:rsid w:val="006E426C"/>
    <w:rsid w:val="006E4280"/>
    <w:rsid w:val="006E42DB"/>
    <w:rsid w:val="006E437E"/>
    <w:rsid w:val="006E43BA"/>
    <w:rsid w:val="006E43D4"/>
    <w:rsid w:val="006E440C"/>
    <w:rsid w:val="006E440D"/>
    <w:rsid w:val="006E4427"/>
    <w:rsid w:val="006E447E"/>
    <w:rsid w:val="006E44B4"/>
    <w:rsid w:val="006E4502"/>
    <w:rsid w:val="006E459F"/>
    <w:rsid w:val="006E45DC"/>
    <w:rsid w:val="006E465B"/>
    <w:rsid w:val="006E4721"/>
    <w:rsid w:val="006E4750"/>
    <w:rsid w:val="006E4783"/>
    <w:rsid w:val="006E4819"/>
    <w:rsid w:val="006E48CA"/>
    <w:rsid w:val="006E48F0"/>
    <w:rsid w:val="006E490A"/>
    <w:rsid w:val="006E4952"/>
    <w:rsid w:val="006E497B"/>
    <w:rsid w:val="006E4990"/>
    <w:rsid w:val="006E4A46"/>
    <w:rsid w:val="006E4A5D"/>
    <w:rsid w:val="006E4AB9"/>
    <w:rsid w:val="006E4B82"/>
    <w:rsid w:val="006E4B94"/>
    <w:rsid w:val="006E4BFC"/>
    <w:rsid w:val="006E4CD2"/>
    <w:rsid w:val="006E4D49"/>
    <w:rsid w:val="006E4E2A"/>
    <w:rsid w:val="006E4EC3"/>
    <w:rsid w:val="006E4F21"/>
    <w:rsid w:val="006E4F66"/>
    <w:rsid w:val="006E4FF4"/>
    <w:rsid w:val="006E504F"/>
    <w:rsid w:val="006E511B"/>
    <w:rsid w:val="006E513F"/>
    <w:rsid w:val="006E51F6"/>
    <w:rsid w:val="006E521E"/>
    <w:rsid w:val="006E5318"/>
    <w:rsid w:val="006E536F"/>
    <w:rsid w:val="006E5449"/>
    <w:rsid w:val="006E54C8"/>
    <w:rsid w:val="006E54CF"/>
    <w:rsid w:val="006E54EF"/>
    <w:rsid w:val="006E5507"/>
    <w:rsid w:val="006E557D"/>
    <w:rsid w:val="006E5586"/>
    <w:rsid w:val="006E5652"/>
    <w:rsid w:val="006E56EB"/>
    <w:rsid w:val="006E571C"/>
    <w:rsid w:val="006E5782"/>
    <w:rsid w:val="006E57CA"/>
    <w:rsid w:val="006E584B"/>
    <w:rsid w:val="006E585F"/>
    <w:rsid w:val="006E5867"/>
    <w:rsid w:val="006E5873"/>
    <w:rsid w:val="006E5885"/>
    <w:rsid w:val="006E58C0"/>
    <w:rsid w:val="006E5917"/>
    <w:rsid w:val="006E5938"/>
    <w:rsid w:val="006E59CB"/>
    <w:rsid w:val="006E59D9"/>
    <w:rsid w:val="006E59EC"/>
    <w:rsid w:val="006E5AB6"/>
    <w:rsid w:val="006E5AD1"/>
    <w:rsid w:val="006E5B19"/>
    <w:rsid w:val="006E5C19"/>
    <w:rsid w:val="006E5C63"/>
    <w:rsid w:val="006E5CCF"/>
    <w:rsid w:val="006E5D19"/>
    <w:rsid w:val="006E5D23"/>
    <w:rsid w:val="006E5E80"/>
    <w:rsid w:val="006E5E96"/>
    <w:rsid w:val="006E5F01"/>
    <w:rsid w:val="006E5F61"/>
    <w:rsid w:val="006E5FBB"/>
    <w:rsid w:val="006E5FF6"/>
    <w:rsid w:val="006E60AF"/>
    <w:rsid w:val="006E60F3"/>
    <w:rsid w:val="006E614D"/>
    <w:rsid w:val="006E61D9"/>
    <w:rsid w:val="006E6201"/>
    <w:rsid w:val="006E62EF"/>
    <w:rsid w:val="006E63B4"/>
    <w:rsid w:val="006E6409"/>
    <w:rsid w:val="006E6446"/>
    <w:rsid w:val="006E64C6"/>
    <w:rsid w:val="006E6512"/>
    <w:rsid w:val="006E65E3"/>
    <w:rsid w:val="006E6686"/>
    <w:rsid w:val="006E678B"/>
    <w:rsid w:val="006E6794"/>
    <w:rsid w:val="006E67FF"/>
    <w:rsid w:val="006E6824"/>
    <w:rsid w:val="006E6833"/>
    <w:rsid w:val="006E6913"/>
    <w:rsid w:val="006E691A"/>
    <w:rsid w:val="006E6949"/>
    <w:rsid w:val="006E69B2"/>
    <w:rsid w:val="006E69CD"/>
    <w:rsid w:val="006E6A3B"/>
    <w:rsid w:val="006E6A72"/>
    <w:rsid w:val="006E6AC7"/>
    <w:rsid w:val="006E6B89"/>
    <w:rsid w:val="006E6C22"/>
    <w:rsid w:val="006E6C61"/>
    <w:rsid w:val="006E6CF6"/>
    <w:rsid w:val="006E6CFC"/>
    <w:rsid w:val="006E6DA7"/>
    <w:rsid w:val="006E6E0E"/>
    <w:rsid w:val="006E6E81"/>
    <w:rsid w:val="006E6E96"/>
    <w:rsid w:val="006E6E9E"/>
    <w:rsid w:val="006E6EC6"/>
    <w:rsid w:val="006E6ED6"/>
    <w:rsid w:val="006E6F4C"/>
    <w:rsid w:val="006E6FF3"/>
    <w:rsid w:val="006E703A"/>
    <w:rsid w:val="006E7040"/>
    <w:rsid w:val="006E70C2"/>
    <w:rsid w:val="006E70C4"/>
    <w:rsid w:val="006E7113"/>
    <w:rsid w:val="006E7125"/>
    <w:rsid w:val="006E716F"/>
    <w:rsid w:val="006E718A"/>
    <w:rsid w:val="006E7390"/>
    <w:rsid w:val="006E7425"/>
    <w:rsid w:val="006E7441"/>
    <w:rsid w:val="006E74C6"/>
    <w:rsid w:val="006E7516"/>
    <w:rsid w:val="006E7602"/>
    <w:rsid w:val="006E765F"/>
    <w:rsid w:val="006E76CC"/>
    <w:rsid w:val="006E7700"/>
    <w:rsid w:val="006E77EE"/>
    <w:rsid w:val="006E7877"/>
    <w:rsid w:val="006E7A42"/>
    <w:rsid w:val="006E7B51"/>
    <w:rsid w:val="006E7B86"/>
    <w:rsid w:val="006E7BD6"/>
    <w:rsid w:val="006E7D1B"/>
    <w:rsid w:val="006E7D49"/>
    <w:rsid w:val="006E7DAB"/>
    <w:rsid w:val="006E7DCD"/>
    <w:rsid w:val="006E7DFE"/>
    <w:rsid w:val="006E7E5A"/>
    <w:rsid w:val="006E7EF2"/>
    <w:rsid w:val="006E7F23"/>
    <w:rsid w:val="006F00C4"/>
    <w:rsid w:val="006F01FB"/>
    <w:rsid w:val="006F02AC"/>
    <w:rsid w:val="006F02ED"/>
    <w:rsid w:val="006F032D"/>
    <w:rsid w:val="006F0337"/>
    <w:rsid w:val="006F0376"/>
    <w:rsid w:val="006F041E"/>
    <w:rsid w:val="006F042D"/>
    <w:rsid w:val="006F049C"/>
    <w:rsid w:val="006F052E"/>
    <w:rsid w:val="006F052F"/>
    <w:rsid w:val="006F05D1"/>
    <w:rsid w:val="006F06C5"/>
    <w:rsid w:val="006F06C9"/>
    <w:rsid w:val="006F06D0"/>
    <w:rsid w:val="006F06FE"/>
    <w:rsid w:val="006F0747"/>
    <w:rsid w:val="006F0753"/>
    <w:rsid w:val="006F081E"/>
    <w:rsid w:val="006F085A"/>
    <w:rsid w:val="006F08CA"/>
    <w:rsid w:val="006F08D5"/>
    <w:rsid w:val="006F0914"/>
    <w:rsid w:val="006F0968"/>
    <w:rsid w:val="006F0977"/>
    <w:rsid w:val="006F09ED"/>
    <w:rsid w:val="006F0A42"/>
    <w:rsid w:val="006F0B1C"/>
    <w:rsid w:val="006F0C12"/>
    <w:rsid w:val="006F0D21"/>
    <w:rsid w:val="006F0D33"/>
    <w:rsid w:val="006F0D3D"/>
    <w:rsid w:val="006F0D58"/>
    <w:rsid w:val="006F0DF0"/>
    <w:rsid w:val="006F0F2C"/>
    <w:rsid w:val="006F0F70"/>
    <w:rsid w:val="006F0F78"/>
    <w:rsid w:val="006F0FBE"/>
    <w:rsid w:val="006F1011"/>
    <w:rsid w:val="006F1045"/>
    <w:rsid w:val="006F1068"/>
    <w:rsid w:val="006F115C"/>
    <w:rsid w:val="006F121E"/>
    <w:rsid w:val="006F124F"/>
    <w:rsid w:val="006F129E"/>
    <w:rsid w:val="006F12D2"/>
    <w:rsid w:val="006F1367"/>
    <w:rsid w:val="006F1386"/>
    <w:rsid w:val="006F1409"/>
    <w:rsid w:val="006F1477"/>
    <w:rsid w:val="006F14CA"/>
    <w:rsid w:val="006F1548"/>
    <w:rsid w:val="006F1568"/>
    <w:rsid w:val="006F1702"/>
    <w:rsid w:val="006F1705"/>
    <w:rsid w:val="006F1774"/>
    <w:rsid w:val="006F182F"/>
    <w:rsid w:val="006F18AC"/>
    <w:rsid w:val="006F18AE"/>
    <w:rsid w:val="006F18DA"/>
    <w:rsid w:val="006F18DF"/>
    <w:rsid w:val="006F18EF"/>
    <w:rsid w:val="006F194B"/>
    <w:rsid w:val="006F1A02"/>
    <w:rsid w:val="006F1A3D"/>
    <w:rsid w:val="006F1B49"/>
    <w:rsid w:val="006F1B5C"/>
    <w:rsid w:val="006F1BC0"/>
    <w:rsid w:val="006F1C03"/>
    <w:rsid w:val="006F1C36"/>
    <w:rsid w:val="006F1C3E"/>
    <w:rsid w:val="006F1CEE"/>
    <w:rsid w:val="006F1D2C"/>
    <w:rsid w:val="006F1D30"/>
    <w:rsid w:val="006F1D5A"/>
    <w:rsid w:val="006F1DAF"/>
    <w:rsid w:val="006F1F65"/>
    <w:rsid w:val="006F1F8A"/>
    <w:rsid w:val="006F1FCC"/>
    <w:rsid w:val="006F1FF9"/>
    <w:rsid w:val="006F202A"/>
    <w:rsid w:val="006F2041"/>
    <w:rsid w:val="006F2065"/>
    <w:rsid w:val="006F2097"/>
    <w:rsid w:val="006F20A9"/>
    <w:rsid w:val="006F2130"/>
    <w:rsid w:val="006F21AB"/>
    <w:rsid w:val="006F21E2"/>
    <w:rsid w:val="006F2254"/>
    <w:rsid w:val="006F2262"/>
    <w:rsid w:val="006F2371"/>
    <w:rsid w:val="006F2475"/>
    <w:rsid w:val="006F249B"/>
    <w:rsid w:val="006F2504"/>
    <w:rsid w:val="006F2573"/>
    <w:rsid w:val="006F25CC"/>
    <w:rsid w:val="006F276C"/>
    <w:rsid w:val="006F27B7"/>
    <w:rsid w:val="006F27D2"/>
    <w:rsid w:val="006F2841"/>
    <w:rsid w:val="006F285B"/>
    <w:rsid w:val="006F297B"/>
    <w:rsid w:val="006F2988"/>
    <w:rsid w:val="006F2A7D"/>
    <w:rsid w:val="006F2AEF"/>
    <w:rsid w:val="006F2BBB"/>
    <w:rsid w:val="006F2BDC"/>
    <w:rsid w:val="006F2C9F"/>
    <w:rsid w:val="006F2D41"/>
    <w:rsid w:val="006F2E4B"/>
    <w:rsid w:val="006F2EE2"/>
    <w:rsid w:val="006F2F16"/>
    <w:rsid w:val="006F30B1"/>
    <w:rsid w:val="006F30E6"/>
    <w:rsid w:val="006F30EB"/>
    <w:rsid w:val="006F3161"/>
    <w:rsid w:val="006F31D4"/>
    <w:rsid w:val="006F31DE"/>
    <w:rsid w:val="006F3293"/>
    <w:rsid w:val="006F32C1"/>
    <w:rsid w:val="006F32CF"/>
    <w:rsid w:val="006F32F2"/>
    <w:rsid w:val="006F32FC"/>
    <w:rsid w:val="006F3332"/>
    <w:rsid w:val="006F338A"/>
    <w:rsid w:val="006F3429"/>
    <w:rsid w:val="006F3445"/>
    <w:rsid w:val="006F35E2"/>
    <w:rsid w:val="006F3781"/>
    <w:rsid w:val="006F3847"/>
    <w:rsid w:val="006F38B5"/>
    <w:rsid w:val="006F38DB"/>
    <w:rsid w:val="006F399B"/>
    <w:rsid w:val="006F39F5"/>
    <w:rsid w:val="006F3A75"/>
    <w:rsid w:val="006F3B67"/>
    <w:rsid w:val="006F3C78"/>
    <w:rsid w:val="006F3D2A"/>
    <w:rsid w:val="006F3D4D"/>
    <w:rsid w:val="006F3E1E"/>
    <w:rsid w:val="006F3E51"/>
    <w:rsid w:val="006F3EB2"/>
    <w:rsid w:val="006F3EDA"/>
    <w:rsid w:val="006F3F4D"/>
    <w:rsid w:val="006F3FA7"/>
    <w:rsid w:val="006F3FEB"/>
    <w:rsid w:val="006F4159"/>
    <w:rsid w:val="006F41C5"/>
    <w:rsid w:val="006F4281"/>
    <w:rsid w:val="006F429C"/>
    <w:rsid w:val="006F435C"/>
    <w:rsid w:val="006F438A"/>
    <w:rsid w:val="006F43DC"/>
    <w:rsid w:val="006F4416"/>
    <w:rsid w:val="006F4421"/>
    <w:rsid w:val="006F4601"/>
    <w:rsid w:val="006F461D"/>
    <w:rsid w:val="006F465C"/>
    <w:rsid w:val="006F488B"/>
    <w:rsid w:val="006F4A27"/>
    <w:rsid w:val="006F4A4C"/>
    <w:rsid w:val="006F4ABE"/>
    <w:rsid w:val="006F4BEC"/>
    <w:rsid w:val="006F4C19"/>
    <w:rsid w:val="006F4C67"/>
    <w:rsid w:val="006F4CA1"/>
    <w:rsid w:val="006F4CAC"/>
    <w:rsid w:val="006F4CB5"/>
    <w:rsid w:val="006F4D1E"/>
    <w:rsid w:val="006F4D6E"/>
    <w:rsid w:val="006F4E94"/>
    <w:rsid w:val="006F4EAD"/>
    <w:rsid w:val="006F4ED8"/>
    <w:rsid w:val="006F4F44"/>
    <w:rsid w:val="006F505C"/>
    <w:rsid w:val="006F50D3"/>
    <w:rsid w:val="006F514A"/>
    <w:rsid w:val="006F525E"/>
    <w:rsid w:val="006F52E9"/>
    <w:rsid w:val="006F5310"/>
    <w:rsid w:val="006F53AD"/>
    <w:rsid w:val="006F5403"/>
    <w:rsid w:val="006F54B2"/>
    <w:rsid w:val="006F54FB"/>
    <w:rsid w:val="006F5535"/>
    <w:rsid w:val="006F5609"/>
    <w:rsid w:val="006F5647"/>
    <w:rsid w:val="006F56A6"/>
    <w:rsid w:val="006F5820"/>
    <w:rsid w:val="006F5847"/>
    <w:rsid w:val="006F588B"/>
    <w:rsid w:val="006F58FB"/>
    <w:rsid w:val="006F5907"/>
    <w:rsid w:val="006F59ED"/>
    <w:rsid w:val="006F5A70"/>
    <w:rsid w:val="006F5AA4"/>
    <w:rsid w:val="006F5AAB"/>
    <w:rsid w:val="006F5B07"/>
    <w:rsid w:val="006F5B24"/>
    <w:rsid w:val="006F5B45"/>
    <w:rsid w:val="006F5C57"/>
    <w:rsid w:val="006F5DB1"/>
    <w:rsid w:val="006F5F33"/>
    <w:rsid w:val="006F5F62"/>
    <w:rsid w:val="006F5FB0"/>
    <w:rsid w:val="006F5FE9"/>
    <w:rsid w:val="006F6003"/>
    <w:rsid w:val="006F600B"/>
    <w:rsid w:val="006F615B"/>
    <w:rsid w:val="006F6257"/>
    <w:rsid w:val="006F6275"/>
    <w:rsid w:val="006F6323"/>
    <w:rsid w:val="006F64B3"/>
    <w:rsid w:val="006F65AF"/>
    <w:rsid w:val="006F65CC"/>
    <w:rsid w:val="006F6609"/>
    <w:rsid w:val="006F6754"/>
    <w:rsid w:val="006F6773"/>
    <w:rsid w:val="006F6780"/>
    <w:rsid w:val="006F67DA"/>
    <w:rsid w:val="006F6830"/>
    <w:rsid w:val="006F6985"/>
    <w:rsid w:val="006F6997"/>
    <w:rsid w:val="006F6A42"/>
    <w:rsid w:val="006F6A4A"/>
    <w:rsid w:val="006F6AA0"/>
    <w:rsid w:val="006F6AC1"/>
    <w:rsid w:val="006F6B50"/>
    <w:rsid w:val="006F6B78"/>
    <w:rsid w:val="006F6B85"/>
    <w:rsid w:val="006F6B98"/>
    <w:rsid w:val="006F6BAF"/>
    <w:rsid w:val="006F6C1C"/>
    <w:rsid w:val="006F6C65"/>
    <w:rsid w:val="006F6D12"/>
    <w:rsid w:val="006F6D37"/>
    <w:rsid w:val="006F6E00"/>
    <w:rsid w:val="006F6EB4"/>
    <w:rsid w:val="006F6F00"/>
    <w:rsid w:val="006F701A"/>
    <w:rsid w:val="006F707A"/>
    <w:rsid w:val="006F70AA"/>
    <w:rsid w:val="006F70CC"/>
    <w:rsid w:val="006F7101"/>
    <w:rsid w:val="006F7109"/>
    <w:rsid w:val="006F711A"/>
    <w:rsid w:val="006F717B"/>
    <w:rsid w:val="006F721F"/>
    <w:rsid w:val="006F7242"/>
    <w:rsid w:val="006F72F9"/>
    <w:rsid w:val="006F7359"/>
    <w:rsid w:val="006F7456"/>
    <w:rsid w:val="006F745A"/>
    <w:rsid w:val="006F745E"/>
    <w:rsid w:val="006F746E"/>
    <w:rsid w:val="006F74BC"/>
    <w:rsid w:val="006F765A"/>
    <w:rsid w:val="006F766B"/>
    <w:rsid w:val="006F76B4"/>
    <w:rsid w:val="006F76BC"/>
    <w:rsid w:val="006F76E6"/>
    <w:rsid w:val="006F76F0"/>
    <w:rsid w:val="006F76F4"/>
    <w:rsid w:val="006F7820"/>
    <w:rsid w:val="006F783E"/>
    <w:rsid w:val="006F7894"/>
    <w:rsid w:val="006F7A33"/>
    <w:rsid w:val="006F7A76"/>
    <w:rsid w:val="006F7ACF"/>
    <w:rsid w:val="006F7B86"/>
    <w:rsid w:val="006F7BC5"/>
    <w:rsid w:val="006F7C2E"/>
    <w:rsid w:val="006F7C65"/>
    <w:rsid w:val="006F7C9A"/>
    <w:rsid w:val="006F7D2F"/>
    <w:rsid w:val="006F7D98"/>
    <w:rsid w:val="006F7EA7"/>
    <w:rsid w:val="006F7F8A"/>
    <w:rsid w:val="0070005A"/>
    <w:rsid w:val="007000BE"/>
    <w:rsid w:val="00700109"/>
    <w:rsid w:val="0070010F"/>
    <w:rsid w:val="007001C6"/>
    <w:rsid w:val="007001FE"/>
    <w:rsid w:val="007001FF"/>
    <w:rsid w:val="00700250"/>
    <w:rsid w:val="00700288"/>
    <w:rsid w:val="007003C7"/>
    <w:rsid w:val="007003CA"/>
    <w:rsid w:val="00700427"/>
    <w:rsid w:val="007004AE"/>
    <w:rsid w:val="0070050A"/>
    <w:rsid w:val="00700521"/>
    <w:rsid w:val="007005BF"/>
    <w:rsid w:val="00700622"/>
    <w:rsid w:val="007007EE"/>
    <w:rsid w:val="007008C1"/>
    <w:rsid w:val="0070090D"/>
    <w:rsid w:val="0070093B"/>
    <w:rsid w:val="00700949"/>
    <w:rsid w:val="00700A0A"/>
    <w:rsid w:val="00700A8A"/>
    <w:rsid w:val="00700AB4"/>
    <w:rsid w:val="00700AF3"/>
    <w:rsid w:val="00700B4C"/>
    <w:rsid w:val="00700B55"/>
    <w:rsid w:val="00700B6A"/>
    <w:rsid w:val="00700BDC"/>
    <w:rsid w:val="00700C98"/>
    <w:rsid w:val="00700CE2"/>
    <w:rsid w:val="00700CF5"/>
    <w:rsid w:val="00700D63"/>
    <w:rsid w:val="00700D93"/>
    <w:rsid w:val="00700E25"/>
    <w:rsid w:val="00700E4E"/>
    <w:rsid w:val="00700E5B"/>
    <w:rsid w:val="00700E6E"/>
    <w:rsid w:val="00700E8A"/>
    <w:rsid w:val="00700ECA"/>
    <w:rsid w:val="00700FBA"/>
    <w:rsid w:val="00700FC5"/>
    <w:rsid w:val="00701002"/>
    <w:rsid w:val="00701022"/>
    <w:rsid w:val="00701038"/>
    <w:rsid w:val="0070103F"/>
    <w:rsid w:val="0070105F"/>
    <w:rsid w:val="007010E1"/>
    <w:rsid w:val="007010EE"/>
    <w:rsid w:val="00701111"/>
    <w:rsid w:val="007011BF"/>
    <w:rsid w:val="007011C4"/>
    <w:rsid w:val="0070128A"/>
    <w:rsid w:val="007012CF"/>
    <w:rsid w:val="0070135F"/>
    <w:rsid w:val="007013DB"/>
    <w:rsid w:val="007013DE"/>
    <w:rsid w:val="00701456"/>
    <w:rsid w:val="007014AA"/>
    <w:rsid w:val="0070155E"/>
    <w:rsid w:val="0070166A"/>
    <w:rsid w:val="007016BE"/>
    <w:rsid w:val="0070178F"/>
    <w:rsid w:val="007017DA"/>
    <w:rsid w:val="007018AC"/>
    <w:rsid w:val="007018C7"/>
    <w:rsid w:val="00701900"/>
    <w:rsid w:val="0070190E"/>
    <w:rsid w:val="0070192A"/>
    <w:rsid w:val="0070193D"/>
    <w:rsid w:val="007019F9"/>
    <w:rsid w:val="00701A9C"/>
    <w:rsid w:val="00701AE8"/>
    <w:rsid w:val="00701AF8"/>
    <w:rsid w:val="00701BDC"/>
    <w:rsid w:val="00701BF4"/>
    <w:rsid w:val="00701D8D"/>
    <w:rsid w:val="00701D9C"/>
    <w:rsid w:val="00701DA8"/>
    <w:rsid w:val="00701FEF"/>
    <w:rsid w:val="00702035"/>
    <w:rsid w:val="0070218E"/>
    <w:rsid w:val="007021A2"/>
    <w:rsid w:val="00702215"/>
    <w:rsid w:val="007022BA"/>
    <w:rsid w:val="007023AF"/>
    <w:rsid w:val="007023B8"/>
    <w:rsid w:val="00702406"/>
    <w:rsid w:val="00702472"/>
    <w:rsid w:val="007024DE"/>
    <w:rsid w:val="00702528"/>
    <w:rsid w:val="007025F5"/>
    <w:rsid w:val="00702708"/>
    <w:rsid w:val="00702719"/>
    <w:rsid w:val="00702773"/>
    <w:rsid w:val="007027EF"/>
    <w:rsid w:val="00702852"/>
    <w:rsid w:val="00702870"/>
    <w:rsid w:val="0070287F"/>
    <w:rsid w:val="0070293C"/>
    <w:rsid w:val="0070298A"/>
    <w:rsid w:val="007029F3"/>
    <w:rsid w:val="007029F9"/>
    <w:rsid w:val="00702A84"/>
    <w:rsid w:val="00702AF5"/>
    <w:rsid w:val="00702BFA"/>
    <w:rsid w:val="00702C5B"/>
    <w:rsid w:val="00702C6D"/>
    <w:rsid w:val="00702D19"/>
    <w:rsid w:val="00702D4D"/>
    <w:rsid w:val="00702E4D"/>
    <w:rsid w:val="00702E9B"/>
    <w:rsid w:val="00702F53"/>
    <w:rsid w:val="00702FB6"/>
    <w:rsid w:val="00703004"/>
    <w:rsid w:val="0070305E"/>
    <w:rsid w:val="007030CC"/>
    <w:rsid w:val="00703108"/>
    <w:rsid w:val="00703146"/>
    <w:rsid w:val="00703286"/>
    <w:rsid w:val="007032AF"/>
    <w:rsid w:val="007032BF"/>
    <w:rsid w:val="00703396"/>
    <w:rsid w:val="007033BD"/>
    <w:rsid w:val="007034A7"/>
    <w:rsid w:val="0070352D"/>
    <w:rsid w:val="0070352E"/>
    <w:rsid w:val="007036BF"/>
    <w:rsid w:val="00703853"/>
    <w:rsid w:val="00703873"/>
    <w:rsid w:val="00703896"/>
    <w:rsid w:val="007038ED"/>
    <w:rsid w:val="00703933"/>
    <w:rsid w:val="00703940"/>
    <w:rsid w:val="0070394E"/>
    <w:rsid w:val="00703978"/>
    <w:rsid w:val="007039A1"/>
    <w:rsid w:val="007039D7"/>
    <w:rsid w:val="007039E3"/>
    <w:rsid w:val="00703A9B"/>
    <w:rsid w:val="00703B46"/>
    <w:rsid w:val="00703D9E"/>
    <w:rsid w:val="00703DC4"/>
    <w:rsid w:val="00703DCB"/>
    <w:rsid w:val="00703F29"/>
    <w:rsid w:val="00703F37"/>
    <w:rsid w:val="00703F52"/>
    <w:rsid w:val="00703F54"/>
    <w:rsid w:val="00703FFF"/>
    <w:rsid w:val="0070400B"/>
    <w:rsid w:val="007040BC"/>
    <w:rsid w:val="00704134"/>
    <w:rsid w:val="00704162"/>
    <w:rsid w:val="0070418D"/>
    <w:rsid w:val="00704276"/>
    <w:rsid w:val="00704385"/>
    <w:rsid w:val="00704387"/>
    <w:rsid w:val="00704499"/>
    <w:rsid w:val="007044FB"/>
    <w:rsid w:val="00704555"/>
    <w:rsid w:val="00704576"/>
    <w:rsid w:val="007045C4"/>
    <w:rsid w:val="007045EC"/>
    <w:rsid w:val="00704682"/>
    <w:rsid w:val="00704700"/>
    <w:rsid w:val="007047A1"/>
    <w:rsid w:val="00704835"/>
    <w:rsid w:val="007048E7"/>
    <w:rsid w:val="0070499E"/>
    <w:rsid w:val="007049A9"/>
    <w:rsid w:val="00704A01"/>
    <w:rsid w:val="00704A17"/>
    <w:rsid w:val="00704A79"/>
    <w:rsid w:val="00704ADD"/>
    <w:rsid w:val="00704B5F"/>
    <w:rsid w:val="00704B79"/>
    <w:rsid w:val="00704BAA"/>
    <w:rsid w:val="00704C5E"/>
    <w:rsid w:val="00704C88"/>
    <w:rsid w:val="00704CED"/>
    <w:rsid w:val="00704D0A"/>
    <w:rsid w:val="00704D13"/>
    <w:rsid w:val="00704D7F"/>
    <w:rsid w:val="00704DB3"/>
    <w:rsid w:val="00704DEE"/>
    <w:rsid w:val="00704E37"/>
    <w:rsid w:val="00704E3E"/>
    <w:rsid w:val="00704E76"/>
    <w:rsid w:val="00704E9D"/>
    <w:rsid w:val="00704F37"/>
    <w:rsid w:val="00704FC8"/>
    <w:rsid w:val="00704FE0"/>
    <w:rsid w:val="00704FE4"/>
    <w:rsid w:val="00704FEC"/>
    <w:rsid w:val="00705036"/>
    <w:rsid w:val="00705044"/>
    <w:rsid w:val="00705112"/>
    <w:rsid w:val="007051C9"/>
    <w:rsid w:val="007051E6"/>
    <w:rsid w:val="00705241"/>
    <w:rsid w:val="007052B1"/>
    <w:rsid w:val="0070530B"/>
    <w:rsid w:val="00705358"/>
    <w:rsid w:val="007053D6"/>
    <w:rsid w:val="007054AC"/>
    <w:rsid w:val="007054B5"/>
    <w:rsid w:val="0070559C"/>
    <w:rsid w:val="007055A9"/>
    <w:rsid w:val="007055F7"/>
    <w:rsid w:val="0070566F"/>
    <w:rsid w:val="007056FA"/>
    <w:rsid w:val="0070574F"/>
    <w:rsid w:val="0070577C"/>
    <w:rsid w:val="007057FE"/>
    <w:rsid w:val="007058A8"/>
    <w:rsid w:val="007058B5"/>
    <w:rsid w:val="0070590D"/>
    <w:rsid w:val="007059F5"/>
    <w:rsid w:val="007059FD"/>
    <w:rsid w:val="00705A47"/>
    <w:rsid w:val="00705A70"/>
    <w:rsid w:val="00705C66"/>
    <w:rsid w:val="00705D3B"/>
    <w:rsid w:val="00705E05"/>
    <w:rsid w:val="00705E24"/>
    <w:rsid w:val="00705FE9"/>
    <w:rsid w:val="0070603E"/>
    <w:rsid w:val="00706049"/>
    <w:rsid w:val="0070610D"/>
    <w:rsid w:val="0070616A"/>
    <w:rsid w:val="00706304"/>
    <w:rsid w:val="007063EC"/>
    <w:rsid w:val="007064AF"/>
    <w:rsid w:val="0070655A"/>
    <w:rsid w:val="0070666A"/>
    <w:rsid w:val="00706686"/>
    <w:rsid w:val="007066E3"/>
    <w:rsid w:val="007066FD"/>
    <w:rsid w:val="0070673C"/>
    <w:rsid w:val="0070676B"/>
    <w:rsid w:val="007068C6"/>
    <w:rsid w:val="00706969"/>
    <w:rsid w:val="00706A31"/>
    <w:rsid w:val="00706A4E"/>
    <w:rsid w:val="00706A9A"/>
    <w:rsid w:val="00706B38"/>
    <w:rsid w:val="00706B72"/>
    <w:rsid w:val="00706BB5"/>
    <w:rsid w:val="00706BDB"/>
    <w:rsid w:val="00706C2B"/>
    <w:rsid w:val="00706C5A"/>
    <w:rsid w:val="00706F0F"/>
    <w:rsid w:val="00706F26"/>
    <w:rsid w:val="00706F59"/>
    <w:rsid w:val="00706F69"/>
    <w:rsid w:val="00707001"/>
    <w:rsid w:val="007070F5"/>
    <w:rsid w:val="0070710C"/>
    <w:rsid w:val="007071F6"/>
    <w:rsid w:val="007071F8"/>
    <w:rsid w:val="00707203"/>
    <w:rsid w:val="00707271"/>
    <w:rsid w:val="007072B8"/>
    <w:rsid w:val="00707303"/>
    <w:rsid w:val="00707376"/>
    <w:rsid w:val="007073DB"/>
    <w:rsid w:val="0070745A"/>
    <w:rsid w:val="007074AA"/>
    <w:rsid w:val="00707511"/>
    <w:rsid w:val="00707634"/>
    <w:rsid w:val="0070764E"/>
    <w:rsid w:val="00707650"/>
    <w:rsid w:val="0070768C"/>
    <w:rsid w:val="0070769B"/>
    <w:rsid w:val="007076BA"/>
    <w:rsid w:val="00707720"/>
    <w:rsid w:val="00707750"/>
    <w:rsid w:val="00707775"/>
    <w:rsid w:val="00707832"/>
    <w:rsid w:val="007078C2"/>
    <w:rsid w:val="007078D9"/>
    <w:rsid w:val="00707932"/>
    <w:rsid w:val="0070793C"/>
    <w:rsid w:val="0070796F"/>
    <w:rsid w:val="00707995"/>
    <w:rsid w:val="00707A08"/>
    <w:rsid w:val="00707A33"/>
    <w:rsid w:val="00707A3B"/>
    <w:rsid w:val="00707A4B"/>
    <w:rsid w:val="00707A57"/>
    <w:rsid w:val="00707ABA"/>
    <w:rsid w:val="00707AC0"/>
    <w:rsid w:val="00707B33"/>
    <w:rsid w:val="00707BEA"/>
    <w:rsid w:val="00707C3B"/>
    <w:rsid w:val="00707C43"/>
    <w:rsid w:val="00707E1A"/>
    <w:rsid w:val="00707E1E"/>
    <w:rsid w:val="00707E81"/>
    <w:rsid w:val="00707F75"/>
    <w:rsid w:val="00707F7E"/>
    <w:rsid w:val="00707FB8"/>
    <w:rsid w:val="0071007B"/>
    <w:rsid w:val="00710144"/>
    <w:rsid w:val="00710164"/>
    <w:rsid w:val="007101A2"/>
    <w:rsid w:val="007102A5"/>
    <w:rsid w:val="007102F6"/>
    <w:rsid w:val="0071033B"/>
    <w:rsid w:val="007103F2"/>
    <w:rsid w:val="0071047D"/>
    <w:rsid w:val="0071048D"/>
    <w:rsid w:val="007104DB"/>
    <w:rsid w:val="007104EE"/>
    <w:rsid w:val="00710513"/>
    <w:rsid w:val="00710636"/>
    <w:rsid w:val="007106E4"/>
    <w:rsid w:val="007106E8"/>
    <w:rsid w:val="007107A2"/>
    <w:rsid w:val="007107C4"/>
    <w:rsid w:val="00710871"/>
    <w:rsid w:val="0071087A"/>
    <w:rsid w:val="00710889"/>
    <w:rsid w:val="00710899"/>
    <w:rsid w:val="00710950"/>
    <w:rsid w:val="007109A6"/>
    <w:rsid w:val="007109E7"/>
    <w:rsid w:val="007109FA"/>
    <w:rsid w:val="00710A9E"/>
    <w:rsid w:val="00710AF4"/>
    <w:rsid w:val="00710AFD"/>
    <w:rsid w:val="00710B9B"/>
    <w:rsid w:val="00710BAB"/>
    <w:rsid w:val="00710C18"/>
    <w:rsid w:val="00710C6C"/>
    <w:rsid w:val="00710D13"/>
    <w:rsid w:val="00710D26"/>
    <w:rsid w:val="00710D6F"/>
    <w:rsid w:val="00710E88"/>
    <w:rsid w:val="00710F45"/>
    <w:rsid w:val="00710F8B"/>
    <w:rsid w:val="00710FDE"/>
    <w:rsid w:val="00711064"/>
    <w:rsid w:val="0071109B"/>
    <w:rsid w:val="0071112A"/>
    <w:rsid w:val="00711162"/>
    <w:rsid w:val="007111D1"/>
    <w:rsid w:val="0071125B"/>
    <w:rsid w:val="00711301"/>
    <w:rsid w:val="00711315"/>
    <w:rsid w:val="00711373"/>
    <w:rsid w:val="007114AA"/>
    <w:rsid w:val="007114FB"/>
    <w:rsid w:val="007115C2"/>
    <w:rsid w:val="007115E7"/>
    <w:rsid w:val="007116A5"/>
    <w:rsid w:val="007116A7"/>
    <w:rsid w:val="007116AE"/>
    <w:rsid w:val="00711804"/>
    <w:rsid w:val="0071186B"/>
    <w:rsid w:val="007118D6"/>
    <w:rsid w:val="007118F4"/>
    <w:rsid w:val="00711981"/>
    <w:rsid w:val="007119D6"/>
    <w:rsid w:val="00711AAA"/>
    <w:rsid w:val="00711AC2"/>
    <w:rsid w:val="00711B1C"/>
    <w:rsid w:val="00711B40"/>
    <w:rsid w:val="00711B97"/>
    <w:rsid w:val="00711BD5"/>
    <w:rsid w:val="00711C36"/>
    <w:rsid w:val="00711C4C"/>
    <w:rsid w:val="00711C9D"/>
    <w:rsid w:val="00711CC5"/>
    <w:rsid w:val="00711D36"/>
    <w:rsid w:val="00711D4B"/>
    <w:rsid w:val="00711D88"/>
    <w:rsid w:val="00711D89"/>
    <w:rsid w:val="00711E34"/>
    <w:rsid w:val="00711E59"/>
    <w:rsid w:val="00711F99"/>
    <w:rsid w:val="00712017"/>
    <w:rsid w:val="0071203F"/>
    <w:rsid w:val="00712095"/>
    <w:rsid w:val="00712171"/>
    <w:rsid w:val="007121AB"/>
    <w:rsid w:val="007121B0"/>
    <w:rsid w:val="00712203"/>
    <w:rsid w:val="0071221A"/>
    <w:rsid w:val="007122C4"/>
    <w:rsid w:val="007122E3"/>
    <w:rsid w:val="0071231A"/>
    <w:rsid w:val="00712356"/>
    <w:rsid w:val="007123DA"/>
    <w:rsid w:val="007124BA"/>
    <w:rsid w:val="00712544"/>
    <w:rsid w:val="007126A2"/>
    <w:rsid w:val="007126B4"/>
    <w:rsid w:val="00712771"/>
    <w:rsid w:val="007127B1"/>
    <w:rsid w:val="007128AE"/>
    <w:rsid w:val="0071294C"/>
    <w:rsid w:val="007129A7"/>
    <w:rsid w:val="007129B2"/>
    <w:rsid w:val="007129CB"/>
    <w:rsid w:val="00712A05"/>
    <w:rsid w:val="00712A1A"/>
    <w:rsid w:val="00712A20"/>
    <w:rsid w:val="00712A32"/>
    <w:rsid w:val="00712ABD"/>
    <w:rsid w:val="00712E91"/>
    <w:rsid w:val="00712EDA"/>
    <w:rsid w:val="00712EEC"/>
    <w:rsid w:val="00712FC0"/>
    <w:rsid w:val="00713005"/>
    <w:rsid w:val="0071302A"/>
    <w:rsid w:val="00713074"/>
    <w:rsid w:val="007130DB"/>
    <w:rsid w:val="007130DF"/>
    <w:rsid w:val="00713156"/>
    <w:rsid w:val="00713191"/>
    <w:rsid w:val="007131E4"/>
    <w:rsid w:val="0071321E"/>
    <w:rsid w:val="0071322B"/>
    <w:rsid w:val="0071323C"/>
    <w:rsid w:val="007133B2"/>
    <w:rsid w:val="00713468"/>
    <w:rsid w:val="007134B4"/>
    <w:rsid w:val="007134C2"/>
    <w:rsid w:val="007134C9"/>
    <w:rsid w:val="007134F6"/>
    <w:rsid w:val="0071355D"/>
    <w:rsid w:val="007135EC"/>
    <w:rsid w:val="007136B1"/>
    <w:rsid w:val="007136C0"/>
    <w:rsid w:val="007136CC"/>
    <w:rsid w:val="007136EE"/>
    <w:rsid w:val="00713709"/>
    <w:rsid w:val="0071370D"/>
    <w:rsid w:val="00713797"/>
    <w:rsid w:val="007137A1"/>
    <w:rsid w:val="007137B2"/>
    <w:rsid w:val="007137ED"/>
    <w:rsid w:val="007138E4"/>
    <w:rsid w:val="007138F6"/>
    <w:rsid w:val="007139E1"/>
    <w:rsid w:val="00713A29"/>
    <w:rsid w:val="00713A32"/>
    <w:rsid w:val="00713A86"/>
    <w:rsid w:val="00713AAA"/>
    <w:rsid w:val="00713B14"/>
    <w:rsid w:val="00713B18"/>
    <w:rsid w:val="00713C03"/>
    <w:rsid w:val="00713C7B"/>
    <w:rsid w:val="00713CEC"/>
    <w:rsid w:val="00713CF5"/>
    <w:rsid w:val="00713D22"/>
    <w:rsid w:val="00713DC2"/>
    <w:rsid w:val="00713DCE"/>
    <w:rsid w:val="00713FAA"/>
    <w:rsid w:val="0071401E"/>
    <w:rsid w:val="00714072"/>
    <w:rsid w:val="0071410D"/>
    <w:rsid w:val="0071423C"/>
    <w:rsid w:val="00714261"/>
    <w:rsid w:val="007142AF"/>
    <w:rsid w:val="007142B8"/>
    <w:rsid w:val="007142DA"/>
    <w:rsid w:val="00714345"/>
    <w:rsid w:val="0071434A"/>
    <w:rsid w:val="007143A7"/>
    <w:rsid w:val="00714442"/>
    <w:rsid w:val="00714471"/>
    <w:rsid w:val="00714554"/>
    <w:rsid w:val="007145D6"/>
    <w:rsid w:val="0071469B"/>
    <w:rsid w:val="00714715"/>
    <w:rsid w:val="0071471B"/>
    <w:rsid w:val="0071471F"/>
    <w:rsid w:val="0071475D"/>
    <w:rsid w:val="007147D0"/>
    <w:rsid w:val="007147F7"/>
    <w:rsid w:val="0071490E"/>
    <w:rsid w:val="007149FA"/>
    <w:rsid w:val="00714A14"/>
    <w:rsid w:val="00714A2D"/>
    <w:rsid w:val="00714A35"/>
    <w:rsid w:val="00714BA2"/>
    <w:rsid w:val="00714C7E"/>
    <w:rsid w:val="00714CBE"/>
    <w:rsid w:val="00714CDE"/>
    <w:rsid w:val="00714D72"/>
    <w:rsid w:val="00714EAE"/>
    <w:rsid w:val="00714F0E"/>
    <w:rsid w:val="00714F4E"/>
    <w:rsid w:val="00714FFB"/>
    <w:rsid w:val="00715008"/>
    <w:rsid w:val="0071506C"/>
    <w:rsid w:val="00715128"/>
    <w:rsid w:val="007151F2"/>
    <w:rsid w:val="007151F5"/>
    <w:rsid w:val="00715236"/>
    <w:rsid w:val="00715259"/>
    <w:rsid w:val="007152FF"/>
    <w:rsid w:val="00715362"/>
    <w:rsid w:val="00715391"/>
    <w:rsid w:val="007153C4"/>
    <w:rsid w:val="00715404"/>
    <w:rsid w:val="0071543E"/>
    <w:rsid w:val="0071546B"/>
    <w:rsid w:val="00715494"/>
    <w:rsid w:val="007155A2"/>
    <w:rsid w:val="007155E0"/>
    <w:rsid w:val="007155E2"/>
    <w:rsid w:val="007155F4"/>
    <w:rsid w:val="0071568D"/>
    <w:rsid w:val="00715690"/>
    <w:rsid w:val="007156B3"/>
    <w:rsid w:val="00715711"/>
    <w:rsid w:val="00715724"/>
    <w:rsid w:val="00715746"/>
    <w:rsid w:val="0071576C"/>
    <w:rsid w:val="0071577F"/>
    <w:rsid w:val="00715788"/>
    <w:rsid w:val="007157F6"/>
    <w:rsid w:val="00715834"/>
    <w:rsid w:val="00715980"/>
    <w:rsid w:val="007159A4"/>
    <w:rsid w:val="00715A41"/>
    <w:rsid w:val="00715A43"/>
    <w:rsid w:val="00715ADE"/>
    <w:rsid w:val="00715C58"/>
    <w:rsid w:val="00715D1E"/>
    <w:rsid w:val="00715DE0"/>
    <w:rsid w:val="00715F31"/>
    <w:rsid w:val="00715F90"/>
    <w:rsid w:val="0071601C"/>
    <w:rsid w:val="0071602D"/>
    <w:rsid w:val="007160D4"/>
    <w:rsid w:val="007160F2"/>
    <w:rsid w:val="00716106"/>
    <w:rsid w:val="0071612F"/>
    <w:rsid w:val="00716208"/>
    <w:rsid w:val="0071638B"/>
    <w:rsid w:val="007163E0"/>
    <w:rsid w:val="007163EA"/>
    <w:rsid w:val="00716525"/>
    <w:rsid w:val="00716558"/>
    <w:rsid w:val="007166AD"/>
    <w:rsid w:val="007167E0"/>
    <w:rsid w:val="007167E9"/>
    <w:rsid w:val="0071682C"/>
    <w:rsid w:val="0071689A"/>
    <w:rsid w:val="00716962"/>
    <w:rsid w:val="00716982"/>
    <w:rsid w:val="00716AA2"/>
    <w:rsid w:val="00716AB5"/>
    <w:rsid w:val="00716AC8"/>
    <w:rsid w:val="00716B13"/>
    <w:rsid w:val="00716C44"/>
    <w:rsid w:val="00716C6F"/>
    <w:rsid w:val="00716C99"/>
    <w:rsid w:val="00716DFA"/>
    <w:rsid w:val="00716EBD"/>
    <w:rsid w:val="00716ED4"/>
    <w:rsid w:val="00716F78"/>
    <w:rsid w:val="00717047"/>
    <w:rsid w:val="007170B7"/>
    <w:rsid w:val="007170DA"/>
    <w:rsid w:val="0071711C"/>
    <w:rsid w:val="00717123"/>
    <w:rsid w:val="00717149"/>
    <w:rsid w:val="00717189"/>
    <w:rsid w:val="00717204"/>
    <w:rsid w:val="0071727B"/>
    <w:rsid w:val="007172E8"/>
    <w:rsid w:val="0071730E"/>
    <w:rsid w:val="00717355"/>
    <w:rsid w:val="00717395"/>
    <w:rsid w:val="007173A2"/>
    <w:rsid w:val="007174A2"/>
    <w:rsid w:val="007174AC"/>
    <w:rsid w:val="0071755D"/>
    <w:rsid w:val="00717582"/>
    <w:rsid w:val="007175D5"/>
    <w:rsid w:val="00717693"/>
    <w:rsid w:val="007176A4"/>
    <w:rsid w:val="007176DA"/>
    <w:rsid w:val="0071773D"/>
    <w:rsid w:val="0071779A"/>
    <w:rsid w:val="007177A3"/>
    <w:rsid w:val="007177BC"/>
    <w:rsid w:val="007177D7"/>
    <w:rsid w:val="007178BA"/>
    <w:rsid w:val="00717989"/>
    <w:rsid w:val="007179B2"/>
    <w:rsid w:val="007179E2"/>
    <w:rsid w:val="00717AC5"/>
    <w:rsid w:val="00717C03"/>
    <w:rsid w:val="00717C26"/>
    <w:rsid w:val="00717C6E"/>
    <w:rsid w:val="00717C86"/>
    <w:rsid w:val="00717CA9"/>
    <w:rsid w:val="00717CDB"/>
    <w:rsid w:val="00717D00"/>
    <w:rsid w:val="00717DD3"/>
    <w:rsid w:val="00717DF0"/>
    <w:rsid w:val="00717E32"/>
    <w:rsid w:val="00717E48"/>
    <w:rsid w:val="00717E6F"/>
    <w:rsid w:val="00717F1D"/>
    <w:rsid w:val="00717FB6"/>
    <w:rsid w:val="00717FBE"/>
    <w:rsid w:val="00720033"/>
    <w:rsid w:val="00720049"/>
    <w:rsid w:val="00720069"/>
    <w:rsid w:val="00720094"/>
    <w:rsid w:val="0072009D"/>
    <w:rsid w:val="007200C3"/>
    <w:rsid w:val="0072010D"/>
    <w:rsid w:val="00720113"/>
    <w:rsid w:val="00720167"/>
    <w:rsid w:val="007201EA"/>
    <w:rsid w:val="007202FF"/>
    <w:rsid w:val="00720358"/>
    <w:rsid w:val="007203AF"/>
    <w:rsid w:val="00720438"/>
    <w:rsid w:val="0072044A"/>
    <w:rsid w:val="007204F0"/>
    <w:rsid w:val="00720510"/>
    <w:rsid w:val="00720595"/>
    <w:rsid w:val="00720676"/>
    <w:rsid w:val="007206A4"/>
    <w:rsid w:val="0072077B"/>
    <w:rsid w:val="00720844"/>
    <w:rsid w:val="00720870"/>
    <w:rsid w:val="0072093D"/>
    <w:rsid w:val="00720946"/>
    <w:rsid w:val="00720A05"/>
    <w:rsid w:val="00720A0D"/>
    <w:rsid w:val="00720AA1"/>
    <w:rsid w:val="00720AFB"/>
    <w:rsid w:val="00720C18"/>
    <w:rsid w:val="00720C1A"/>
    <w:rsid w:val="00720C74"/>
    <w:rsid w:val="00720D89"/>
    <w:rsid w:val="00720DE6"/>
    <w:rsid w:val="00720DF0"/>
    <w:rsid w:val="00720E08"/>
    <w:rsid w:val="00720E78"/>
    <w:rsid w:val="00720EAC"/>
    <w:rsid w:val="00720F20"/>
    <w:rsid w:val="00720F24"/>
    <w:rsid w:val="00720F48"/>
    <w:rsid w:val="00721024"/>
    <w:rsid w:val="00721046"/>
    <w:rsid w:val="00721177"/>
    <w:rsid w:val="00721183"/>
    <w:rsid w:val="0072119B"/>
    <w:rsid w:val="007211BD"/>
    <w:rsid w:val="00721211"/>
    <w:rsid w:val="00721284"/>
    <w:rsid w:val="0072128C"/>
    <w:rsid w:val="007212AD"/>
    <w:rsid w:val="007212F1"/>
    <w:rsid w:val="00721338"/>
    <w:rsid w:val="00721376"/>
    <w:rsid w:val="0072150A"/>
    <w:rsid w:val="00721627"/>
    <w:rsid w:val="00721831"/>
    <w:rsid w:val="00721A5A"/>
    <w:rsid w:val="00721A62"/>
    <w:rsid w:val="00721AD3"/>
    <w:rsid w:val="00721AE9"/>
    <w:rsid w:val="00721B12"/>
    <w:rsid w:val="00721BA1"/>
    <w:rsid w:val="00721C2C"/>
    <w:rsid w:val="00721C59"/>
    <w:rsid w:val="00721C8F"/>
    <w:rsid w:val="00721CE2"/>
    <w:rsid w:val="00721D03"/>
    <w:rsid w:val="00721D37"/>
    <w:rsid w:val="00721D5F"/>
    <w:rsid w:val="00721DF0"/>
    <w:rsid w:val="00721EF7"/>
    <w:rsid w:val="00721F84"/>
    <w:rsid w:val="00721FDD"/>
    <w:rsid w:val="00721FF8"/>
    <w:rsid w:val="00722152"/>
    <w:rsid w:val="00722166"/>
    <w:rsid w:val="00722188"/>
    <w:rsid w:val="0072220F"/>
    <w:rsid w:val="0072221E"/>
    <w:rsid w:val="00722264"/>
    <w:rsid w:val="0072226D"/>
    <w:rsid w:val="0072234A"/>
    <w:rsid w:val="007223F9"/>
    <w:rsid w:val="0072240D"/>
    <w:rsid w:val="00722441"/>
    <w:rsid w:val="00722481"/>
    <w:rsid w:val="00722517"/>
    <w:rsid w:val="0072252B"/>
    <w:rsid w:val="00722532"/>
    <w:rsid w:val="00722542"/>
    <w:rsid w:val="00722653"/>
    <w:rsid w:val="0072267B"/>
    <w:rsid w:val="007226EC"/>
    <w:rsid w:val="00722736"/>
    <w:rsid w:val="0072278D"/>
    <w:rsid w:val="007227C1"/>
    <w:rsid w:val="00722883"/>
    <w:rsid w:val="00722A02"/>
    <w:rsid w:val="00722A1E"/>
    <w:rsid w:val="00722A6E"/>
    <w:rsid w:val="00722AA3"/>
    <w:rsid w:val="00722AB1"/>
    <w:rsid w:val="00722B57"/>
    <w:rsid w:val="00722B78"/>
    <w:rsid w:val="00722C91"/>
    <w:rsid w:val="00722C9B"/>
    <w:rsid w:val="00722D15"/>
    <w:rsid w:val="00722D44"/>
    <w:rsid w:val="00722D65"/>
    <w:rsid w:val="00722D71"/>
    <w:rsid w:val="00722D73"/>
    <w:rsid w:val="00722D9B"/>
    <w:rsid w:val="00722DAF"/>
    <w:rsid w:val="00722EBE"/>
    <w:rsid w:val="00722F0A"/>
    <w:rsid w:val="00722F6A"/>
    <w:rsid w:val="00722FDA"/>
    <w:rsid w:val="00723022"/>
    <w:rsid w:val="0072303D"/>
    <w:rsid w:val="00723100"/>
    <w:rsid w:val="00723232"/>
    <w:rsid w:val="00723243"/>
    <w:rsid w:val="00723268"/>
    <w:rsid w:val="00723277"/>
    <w:rsid w:val="00723380"/>
    <w:rsid w:val="00723392"/>
    <w:rsid w:val="007233B7"/>
    <w:rsid w:val="007233EF"/>
    <w:rsid w:val="0072340C"/>
    <w:rsid w:val="0072343F"/>
    <w:rsid w:val="0072356F"/>
    <w:rsid w:val="007235A0"/>
    <w:rsid w:val="007236D4"/>
    <w:rsid w:val="007236FB"/>
    <w:rsid w:val="0072376E"/>
    <w:rsid w:val="00723790"/>
    <w:rsid w:val="007238A1"/>
    <w:rsid w:val="007238A7"/>
    <w:rsid w:val="00723997"/>
    <w:rsid w:val="00723A85"/>
    <w:rsid w:val="00723B51"/>
    <w:rsid w:val="00723B60"/>
    <w:rsid w:val="00723B70"/>
    <w:rsid w:val="00723B7E"/>
    <w:rsid w:val="00723B9B"/>
    <w:rsid w:val="00723BAC"/>
    <w:rsid w:val="00723C3F"/>
    <w:rsid w:val="00723D01"/>
    <w:rsid w:val="00723D3D"/>
    <w:rsid w:val="00723DA8"/>
    <w:rsid w:val="00723DCC"/>
    <w:rsid w:val="00723DD2"/>
    <w:rsid w:val="00723DF1"/>
    <w:rsid w:val="00723EF0"/>
    <w:rsid w:val="00723F25"/>
    <w:rsid w:val="00723F29"/>
    <w:rsid w:val="00723FB4"/>
    <w:rsid w:val="00723FCE"/>
    <w:rsid w:val="00723FE8"/>
    <w:rsid w:val="00724069"/>
    <w:rsid w:val="007240A4"/>
    <w:rsid w:val="0072414F"/>
    <w:rsid w:val="007241EF"/>
    <w:rsid w:val="00724341"/>
    <w:rsid w:val="007243B4"/>
    <w:rsid w:val="007243CE"/>
    <w:rsid w:val="00724440"/>
    <w:rsid w:val="00724463"/>
    <w:rsid w:val="00724499"/>
    <w:rsid w:val="00724517"/>
    <w:rsid w:val="007245C2"/>
    <w:rsid w:val="00724799"/>
    <w:rsid w:val="00724838"/>
    <w:rsid w:val="00724877"/>
    <w:rsid w:val="007248CE"/>
    <w:rsid w:val="007248FB"/>
    <w:rsid w:val="0072498E"/>
    <w:rsid w:val="00724A0E"/>
    <w:rsid w:val="00724A0F"/>
    <w:rsid w:val="00724A22"/>
    <w:rsid w:val="00724A78"/>
    <w:rsid w:val="00724A81"/>
    <w:rsid w:val="00724B38"/>
    <w:rsid w:val="00724BAD"/>
    <w:rsid w:val="00724BD5"/>
    <w:rsid w:val="00724D0B"/>
    <w:rsid w:val="00724D0D"/>
    <w:rsid w:val="00724DEC"/>
    <w:rsid w:val="00724E0D"/>
    <w:rsid w:val="00724F43"/>
    <w:rsid w:val="00725016"/>
    <w:rsid w:val="0072507E"/>
    <w:rsid w:val="007250B1"/>
    <w:rsid w:val="0072512E"/>
    <w:rsid w:val="00725172"/>
    <w:rsid w:val="00725198"/>
    <w:rsid w:val="007251A8"/>
    <w:rsid w:val="007251BE"/>
    <w:rsid w:val="0072522F"/>
    <w:rsid w:val="00725252"/>
    <w:rsid w:val="00725295"/>
    <w:rsid w:val="0072529C"/>
    <w:rsid w:val="007253EC"/>
    <w:rsid w:val="007254A6"/>
    <w:rsid w:val="00725500"/>
    <w:rsid w:val="00725507"/>
    <w:rsid w:val="0072564E"/>
    <w:rsid w:val="007256C9"/>
    <w:rsid w:val="00725705"/>
    <w:rsid w:val="0072574E"/>
    <w:rsid w:val="00725763"/>
    <w:rsid w:val="007257E0"/>
    <w:rsid w:val="007257E1"/>
    <w:rsid w:val="00725809"/>
    <w:rsid w:val="0072596F"/>
    <w:rsid w:val="00725A2F"/>
    <w:rsid w:val="00725B4F"/>
    <w:rsid w:val="00725B5B"/>
    <w:rsid w:val="00725BA1"/>
    <w:rsid w:val="00725BA5"/>
    <w:rsid w:val="00725BD1"/>
    <w:rsid w:val="00725BEC"/>
    <w:rsid w:val="00725BF3"/>
    <w:rsid w:val="00725C52"/>
    <w:rsid w:val="00725D66"/>
    <w:rsid w:val="00725DA0"/>
    <w:rsid w:val="00725E20"/>
    <w:rsid w:val="00725E68"/>
    <w:rsid w:val="00725E84"/>
    <w:rsid w:val="00725EB2"/>
    <w:rsid w:val="00725FE3"/>
    <w:rsid w:val="00725FE9"/>
    <w:rsid w:val="00726016"/>
    <w:rsid w:val="0072608A"/>
    <w:rsid w:val="0072609B"/>
    <w:rsid w:val="007260F6"/>
    <w:rsid w:val="0072616C"/>
    <w:rsid w:val="007262A4"/>
    <w:rsid w:val="007262A5"/>
    <w:rsid w:val="007262E8"/>
    <w:rsid w:val="0072635F"/>
    <w:rsid w:val="0072636B"/>
    <w:rsid w:val="007264E4"/>
    <w:rsid w:val="00726558"/>
    <w:rsid w:val="00726588"/>
    <w:rsid w:val="007265C4"/>
    <w:rsid w:val="007265DA"/>
    <w:rsid w:val="007265E9"/>
    <w:rsid w:val="0072663F"/>
    <w:rsid w:val="00726666"/>
    <w:rsid w:val="00726674"/>
    <w:rsid w:val="00726714"/>
    <w:rsid w:val="0072689D"/>
    <w:rsid w:val="007268D0"/>
    <w:rsid w:val="007269A4"/>
    <w:rsid w:val="00726AB1"/>
    <w:rsid w:val="00726B10"/>
    <w:rsid w:val="00726B2D"/>
    <w:rsid w:val="00726B2E"/>
    <w:rsid w:val="00726B44"/>
    <w:rsid w:val="00726BC4"/>
    <w:rsid w:val="00726BCF"/>
    <w:rsid w:val="00726C6E"/>
    <w:rsid w:val="00726D10"/>
    <w:rsid w:val="00726E1D"/>
    <w:rsid w:val="00726E53"/>
    <w:rsid w:val="00726EB1"/>
    <w:rsid w:val="00726ED2"/>
    <w:rsid w:val="00726EDB"/>
    <w:rsid w:val="00726FCD"/>
    <w:rsid w:val="00726FEB"/>
    <w:rsid w:val="00727032"/>
    <w:rsid w:val="007271DC"/>
    <w:rsid w:val="007272A9"/>
    <w:rsid w:val="0072732D"/>
    <w:rsid w:val="00727335"/>
    <w:rsid w:val="00727346"/>
    <w:rsid w:val="00727355"/>
    <w:rsid w:val="00727361"/>
    <w:rsid w:val="007273AE"/>
    <w:rsid w:val="007273BE"/>
    <w:rsid w:val="0072745D"/>
    <w:rsid w:val="007274A6"/>
    <w:rsid w:val="007274A8"/>
    <w:rsid w:val="007274BC"/>
    <w:rsid w:val="007274F3"/>
    <w:rsid w:val="007274F8"/>
    <w:rsid w:val="0072751D"/>
    <w:rsid w:val="0072755B"/>
    <w:rsid w:val="0072762F"/>
    <w:rsid w:val="00727637"/>
    <w:rsid w:val="0072768E"/>
    <w:rsid w:val="007276C1"/>
    <w:rsid w:val="007276DD"/>
    <w:rsid w:val="0072770F"/>
    <w:rsid w:val="0072774A"/>
    <w:rsid w:val="0072779F"/>
    <w:rsid w:val="007277BE"/>
    <w:rsid w:val="00727846"/>
    <w:rsid w:val="00727886"/>
    <w:rsid w:val="00727890"/>
    <w:rsid w:val="007278B8"/>
    <w:rsid w:val="0072792F"/>
    <w:rsid w:val="007279AE"/>
    <w:rsid w:val="00727A14"/>
    <w:rsid w:val="00727A9C"/>
    <w:rsid w:val="00727B27"/>
    <w:rsid w:val="00727B62"/>
    <w:rsid w:val="00727B6D"/>
    <w:rsid w:val="00727C19"/>
    <w:rsid w:val="00727D0E"/>
    <w:rsid w:val="00727D15"/>
    <w:rsid w:val="00727D42"/>
    <w:rsid w:val="00727D59"/>
    <w:rsid w:val="00727E1C"/>
    <w:rsid w:val="00727E2B"/>
    <w:rsid w:val="00727E72"/>
    <w:rsid w:val="00727E79"/>
    <w:rsid w:val="00730048"/>
    <w:rsid w:val="007300D8"/>
    <w:rsid w:val="00730201"/>
    <w:rsid w:val="00730259"/>
    <w:rsid w:val="007302EF"/>
    <w:rsid w:val="00730355"/>
    <w:rsid w:val="007303EB"/>
    <w:rsid w:val="00730441"/>
    <w:rsid w:val="007304C1"/>
    <w:rsid w:val="007304C9"/>
    <w:rsid w:val="00730505"/>
    <w:rsid w:val="0073055B"/>
    <w:rsid w:val="007305A0"/>
    <w:rsid w:val="0073073F"/>
    <w:rsid w:val="00730750"/>
    <w:rsid w:val="007307A4"/>
    <w:rsid w:val="007307DB"/>
    <w:rsid w:val="00730838"/>
    <w:rsid w:val="0073086A"/>
    <w:rsid w:val="00730980"/>
    <w:rsid w:val="007309A1"/>
    <w:rsid w:val="007309D7"/>
    <w:rsid w:val="00730A00"/>
    <w:rsid w:val="00730A9F"/>
    <w:rsid w:val="00730C2A"/>
    <w:rsid w:val="00730D26"/>
    <w:rsid w:val="00730D62"/>
    <w:rsid w:val="00730DE7"/>
    <w:rsid w:val="00730DF8"/>
    <w:rsid w:val="00730E4C"/>
    <w:rsid w:val="00730E81"/>
    <w:rsid w:val="00730EDF"/>
    <w:rsid w:val="00730EE4"/>
    <w:rsid w:val="00730EF7"/>
    <w:rsid w:val="00730F29"/>
    <w:rsid w:val="00730FB6"/>
    <w:rsid w:val="0073103F"/>
    <w:rsid w:val="00731075"/>
    <w:rsid w:val="007310DF"/>
    <w:rsid w:val="00731139"/>
    <w:rsid w:val="00731184"/>
    <w:rsid w:val="0073127D"/>
    <w:rsid w:val="007312F0"/>
    <w:rsid w:val="00731303"/>
    <w:rsid w:val="007313CD"/>
    <w:rsid w:val="007313E2"/>
    <w:rsid w:val="00731490"/>
    <w:rsid w:val="007314A8"/>
    <w:rsid w:val="0073153E"/>
    <w:rsid w:val="0073155C"/>
    <w:rsid w:val="00731568"/>
    <w:rsid w:val="00731590"/>
    <w:rsid w:val="00731668"/>
    <w:rsid w:val="00731759"/>
    <w:rsid w:val="0073178B"/>
    <w:rsid w:val="007317A7"/>
    <w:rsid w:val="007317B6"/>
    <w:rsid w:val="00731813"/>
    <w:rsid w:val="00731879"/>
    <w:rsid w:val="007318AF"/>
    <w:rsid w:val="00731ABC"/>
    <w:rsid w:val="00731B48"/>
    <w:rsid w:val="00731D67"/>
    <w:rsid w:val="00731D6E"/>
    <w:rsid w:val="00731D83"/>
    <w:rsid w:val="00731E5C"/>
    <w:rsid w:val="00731E68"/>
    <w:rsid w:val="00731E79"/>
    <w:rsid w:val="00731E84"/>
    <w:rsid w:val="00731E8F"/>
    <w:rsid w:val="00731EEE"/>
    <w:rsid w:val="00731F69"/>
    <w:rsid w:val="00731F8C"/>
    <w:rsid w:val="007320F7"/>
    <w:rsid w:val="0073212D"/>
    <w:rsid w:val="00732151"/>
    <w:rsid w:val="00732255"/>
    <w:rsid w:val="0073225C"/>
    <w:rsid w:val="00732268"/>
    <w:rsid w:val="007322A7"/>
    <w:rsid w:val="007322A8"/>
    <w:rsid w:val="007323DC"/>
    <w:rsid w:val="007324AE"/>
    <w:rsid w:val="007325CB"/>
    <w:rsid w:val="007325F4"/>
    <w:rsid w:val="007327BF"/>
    <w:rsid w:val="007327ED"/>
    <w:rsid w:val="00732849"/>
    <w:rsid w:val="00732852"/>
    <w:rsid w:val="00732873"/>
    <w:rsid w:val="0073288B"/>
    <w:rsid w:val="00732894"/>
    <w:rsid w:val="0073289F"/>
    <w:rsid w:val="007328BB"/>
    <w:rsid w:val="00732913"/>
    <w:rsid w:val="0073295B"/>
    <w:rsid w:val="007329BE"/>
    <w:rsid w:val="007329D3"/>
    <w:rsid w:val="00732A7C"/>
    <w:rsid w:val="00732B13"/>
    <w:rsid w:val="00732B18"/>
    <w:rsid w:val="00732BE7"/>
    <w:rsid w:val="00732CD2"/>
    <w:rsid w:val="00732D39"/>
    <w:rsid w:val="00732E73"/>
    <w:rsid w:val="00732E9F"/>
    <w:rsid w:val="00732EA0"/>
    <w:rsid w:val="00732F3A"/>
    <w:rsid w:val="00733031"/>
    <w:rsid w:val="0073303C"/>
    <w:rsid w:val="00733054"/>
    <w:rsid w:val="00733099"/>
    <w:rsid w:val="00733112"/>
    <w:rsid w:val="00733182"/>
    <w:rsid w:val="0073323D"/>
    <w:rsid w:val="007332AF"/>
    <w:rsid w:val="007332C8"/>
    <w:rsid w:val="007332CA"/>
    <w:rsid w:val="00733315"/>
    <w:rsid w:val="007333BE"/>
    <w:rsid w:val="00733559"/>
    <w:rsid w:val="00733562"/>
    <w:rsid w:val="00733665"/>
    <w:rsid w:val="0073369C"/>
    <w:rsid w:val="00733781"/>
    <w:rsid w:val="00733819"/>
    <w:rsid w:val="0073381D"/>
    <w:rsid w:val="007338A1"/>
    <w:rsid w:val="007338DF"/>
    <w:rsid w:val="007339BE"/>
    <w:rsid w:val="007339C2"/>
    <w:rsid w:val="00733A63"/>
    <w:rsid w:val="00733A6D"/>
    <w:rsid w:val="00733A79"/>
    <w:rsid w:val="00733AC2"/>
    <w:rsid w:val="00733AFB"/>
    <w:rsid w:val="00733B02"/>
    <w:rsid w:val="00733B63"/>
    <w:rsid w:val="00733B75"/>
    <w:rsid w:val="00733C27"/>
    <w:rsid w:val="00733C2E"/>
    <w:rsid w:val="00733D2A"/>
    <w:rsid w:val="00733D49"/>
    <w:rsid w:val="00733E66"/>
    <w:rsid w:val="00733F03"/>
    <w:rsid w:val="00733F07"/>
    <w:rsid w:val="00733F0B"/>
    <w:rsid w:val="00733F1E"/>
    <w:rsid w:val="00733F25"/>
    <w:rsid w:val="0073404C"/>
    <w:rsid w:val="007340A1"/>
    <w:rsid w:val="007341D0"/>
    <w:rsid w:val="0073424A"/>
    <w:rsid w:val="007342CC"/>
    <w:rsid w:val="00734369"/>
    <w:rsid w:val="0073440E"/>
    <w:rsid w:val="0073445D"/>
    <w:rsid w:val="0073447D"/>
    <w:rsid w:val="007344D5"/>
    <w:rsid w:val="0073450D"/>
    <w:rsid w:val="00734568"/>
    <w:rsid w:val="007345B2"/>
    <w:rsid w:val="007345F6"/>
    <w:rsid w:val="00734692"/>
    <w:rsid w:val="0073469A"/>
    <w:rsid w:val="00734731"/>
    <w:rsid w:val="00734765"/>
    <w:rsid w:val="007347B0"/>
    <w:rsid w:val="007347FF"/>
    <w:rsid w:val="00734823"/>
    <w:rsid w:val="00734A18"/>
    <w:rsid w:val="00734A27"/>
    <w:rsid w:val="00734A52"/>
    <w:rsid w:val="00734A53"/>
    <w:rsid w:val="00734A9D"/>
    <w:rsid w:val="00734AAD"/>
    <w:rsid w:val="00734B35"/>
    <w:rsid w:val="00734B65"/>
    <w:rsid w:val="00734C53"/>
    <w:rsid w:val="00734CB0"/>
    <w:rsid w:val="00734DA4"/>
    <w:rsid w:val="00734DA9"/>
    <w:rsid w:val="00734DF0"/>
    <w:rsid w:val="00734E1E"/>
    <w:rsid w:val="00734E52"/>
    <w:rsid w:val="00734E6D"/>
    <w:rsid w:val="00734F21"/>
    <w:rsid w:val="00734F63"/>
    <w:rsid w:val="00734F7C"/>
    <w:rsid w:val="00734F8B"/>
    <w:rsid w:val="00734FC0"/>
    <w:rsid w:val="00735043"/>
    <w:rsid w:val="0073504F"/>
    <w:rsid w:val="00735073"/>
    <w:rsid w:val="007350E6"/>
    <w:rsid w:val="007350EE"/>
    <w:rsid w:val="00735148"/>
    <w:rsid w:val="0073514A"/>
    <w:rsid w:val="00735159"/>
    <w:rsid w:val="00735169"/>
    <w:rsid w:val="0073517B"/>
    <w:rsid w:val="007351DF"/>
    <w:rsid w:val="0073521E"/>
    <w:rsid w:val="0073527A"/>
    <w:rsid w:val="00735298"/>
    <w:rsid w:val="007353A9"/>
    <w:rsid w:val="007353B4"/>
    <w:rsid w:val="0073540E"/>
    <w:rsid w:val="00735426"/>
    <w:rsid w:val="00735493"/>
    <w:rsid w:val="007354DA"/>
    <w:rsid w:val="0073553D"/>
    <w:rsid w:val="0073557F"/>
    <w:rsid w:val="00735666"/>
    <w:rsid w:val="00735693"/>
    <w:rsid w:val="007356E4"/>
    <w:rsid w:val="00735783"/>
    <w:rsid w:val="007357AD"/>
    <w:rsid w:val="007357D5"/>
    <w:rsid w:val="007357FE"/>
    <w:rsid w:val="00735806"/>
    <w:rsid w:val="00735A1D"/>
    <w:rsid w:val="00735A39"/>
    <w:rsid w:val="00735A41"/>
    <w:rsid w:val="00735AA4"/>
    <w:rsid w:val="00735B9B"/>
    <w:rsid w:val="00735BA4"/>
    <w:rsid w:val="00735BA8"/>
    <w:rsid w:val="00735BC5"/>
    <w:rsid w:val="00735CD0"/>
    <w:rsid w:val="00735D76"/>
    <w:rsid w:val="00735E4D"/>
    <w:rsid w:val="00735F5F"/>
    <w:rsid w:val="00735FC9"/>
    <w:rsid w:val="00736076"/>
    <w:rsid w:val="007360E1"/>
    <w:rsid w:val="00736195"/>
    <w:rsid w:val="007361BC"/>
    <w:rsid w:val="0073623E"/>
    <w:rsid w:val="00736258"/>
    <w:rsid w:val="007363AB"/>
    <w:rsid w:val="007364BE"/>
    <w:rsid w:val="007365DA"/>
    <w:rsid w:val="007365FB"/>
    <w:rsid w:val="00736600"/>
    <w:rsid w:val="00736689"/>
    <w:rsid w:val="007366FE"/>
    <w:rsid w:val="00736756"/>
    <w:rsid w:val="00736782"/>
    <w:rsid w:val="007367F4"/>
    <w:rsid w:val="00736815"/>
    <w:rsid w:val="0073681B"/>
    <w:rsid w:val="0073684E"/>
    <w:rsid w:val="007368A7"/>
    <w:rsid w:val="0073692D"/>
    <w:rsid w:val="00736AED"/>
    <w:rsid w:val="00736B9C"/>
    <w:rsid w:val="00736BF9"/>
    <w:rsid w:val="00736BFE"/>
    <w:rsid w:val="00736C77"/>
    <w:rsid w:val="00736D74"/>
    <w:rsid w:val="00736DBF"/>
    <w:rsid w:val="00736DDB"/>
    <w:rsid w:val="00736DF5"/>
    <w:rsid w:val="00736E5B"/>
    <w:rsid w:val="00736E5C"/>
    <w:rsid w:val="00736E78"/>
    <w:rsid w:val="00736EAE"/>
    <w:rsid w:val="00736EF4"/>
    <w:rsid w:val="00736F2F"/>
    <w:rsid w:val="00736F57"/>
    <w:rsid w:val="00736FB2"/>
    <w:rsid w:val="007370B8"/>
    <w:rsid w:val="007370C3"/>
    <w:rsid w:val="00737102"/>
    <w:rsid w:val="00737156"/>
    <w:rsid w:val="00737271"/>
    <w:rsid w:val="007372C3"/>
    <w:rsid w:val="007372D3"/>
    <w:rsid w:val="007372DA"/>
    <w:rsid w:val="00737399"/>
    <w:rsid w:val="007373AD"/>
    <w:rsid w:val="007373B0"/>
    <w:rsid w:val="007374F8"/>
    <w:rsid w:val="00737559"/>
    <w:rsid w:val="00737560"/>
    <w:rsid w:val="00737644"/>
    <w:rsid w:val="0073764B"/>
    <w:rsid w:val="007376A5"/>
    <w:rsid w:val="007376DB"/>
    <w:rsid w:val="00737731"/>
    <w:rsid w:val="00737739"/>
    <w:rsid w:val="007378E6"/>
    <w:rsid w:val="00737934"/>
    <w:rsid w:val="00737950"/>
    <w:rsid w:val="0073797B"/>
    <w:rsid w:val="00737A17"/>
    <w:rsid w:val="00737A8B"/>
    <w:rsid w:val="00737AF4"/>
    <w:rsid w:val="00737B3B"/>
    <w:rsid w:val="00737B3E"/>
    <w:rsid w:val="00737D19"/>
    <w:rsid w:val="00737DA7"/>
    <w:rsid w:val="00737FB1"/>
    <w:rsid w:val="0074009C"/>
    <w:rsid w:val="007400B7"/>
    <w:rsid w:val="007400E6"/>
    <w:rsid w:val="0074010F"/>
    <w:rsid w:val="0074013A"/>
    <w:rsid w:val="007401F3"/>
    <w:rsid w:val="00740218"/>
    <w:rsid w:val="00740243"/>
    <w:rsid w:val="00740284"/>
    <w:rsid w:val="00740391"/>
    <w:rsid w:val="007403B6"/>
    <w:rsid w:val="00740406"/>
    <w:rsid w:val="00740424"/>
    <w:rsid w:val="00740452"/>
    <w:rsid w:val="007405A2"/>
    <w:rsid w:val="0074060E"/>
    <w:rsid w:val="0074064F"/>
    <w:rsid w:val="007406AE"/>
    <w:rsid w:val="007407D1"/>
    <w:rsid w:val="007407F9"/>
    <w:rsid w:val="00740834"/>
    <w:rsid w:val="007408BB"/>
    <w:rsid w:val="007408FC"/>
    <w:rsid w:val="00740973"/>
    <w:rsid w:val="00740ADD"/>
    <w:rsid w:val="00740B22"/>
    <w:rsid w:val="00740BCB"/>
    <w:rsid w:val="00740C21"/>
    <w:rsid w:val="00740CE0"/>
    <w:rsid w:val="00740D1C"/>
    <w:rsid w:val="00740D25"/>
    <w:rsid w:val="00740D7B"/>
    <w:rsid w:val="00740DA6"/>
    <w:rsid w:val="00740E05"/>
    <w:rsid w:val="00740E1C"/>
    <w:rsid w:val="00740E85"/>
    <w:rsid w:val="00740ED6"/>
    <w:rsid w:val="00740ED7"/>
    <w:rsid w:val="00740FF4"/>
    <w:rsid w:val="00741012"/>
    <w:rsid w:val="007410EB"/>
    <w:rsid w:val="00741154"/>
    <w:rsid w:val="00741242"/>
    <w:rsid w:val="00741251"/>
    <w:rsid w:val="00741364"/>
    <w:rsid w:val="007413DC"/>
    <w:rsid w:val="007414D7"/>
    <w:rsid w:val="0074155A"/>
    <w:rsid w:val="00741570"/>
    <w:rsid w:val="007415D9"/>
    <w:rsid w:val="007415DC"/>
    <w:rsid w:val="0074160B"/>
    <w:rsid w:val="00741641"/>
    <w:rsid w:val="00741668"/>
    <w:rsid w:val="00741676"/>
    <w:rsid w:val="00741757"/>
    <w:rsid w:val="0074182F"/>
    <w:rsid w:val="00741A94"/>
    <w:rsid w:val="00741B45"/>
    <w:rsid w:val="00741B47"/>
    <w:rsid w:val="00741B59"/>
    <w:rsid w:val="00741BD6"/>
    <w:rsid w:val="00741C18"/>
    <w:rsid w:val="00741E14"/>
    <w:rsid w:val="00741E64"/>
    <w:rsid w:val="00741F0C"/>
    <w:rsid w:val="00741FAE"/>
    <w:rsid w:val="00742083"/>
    <w:rsid w:val="00742182"/>
    <w:rsid w:val="00742268"/>
    <w:rsid w:val="007422A2"/>
    <w:rsid w:val="00742376"/>
    <w:rsid w:val="0074240E"/>
    <w:rsid w:val="00742440"/>
    <w:rsid w:val="0074246D"/>
    <w:rsid w:val="00742487"/>
    <w:rsid w:val="007424CC"/>
    <w:rsid w:val="00742612"/>
    <w:rsid w:val="0074262E"/>
    <w:rsid w:val="007426C0"/>
    <w:rsid w:val="007426DC"/>
    <w:rsid w:val="0074275D"/>
    <w:rsid w:val="007427FD"/>
    <w:rsid w:val="0074289B"/>
    <w:rsid w:val="0074291F"/>
    <w:rsid w:val="0074295D"/>
    <w:rsid w:val="0074297F"/>
    <w:rsid w:val="0074299B"/>
    <w:rsid w:val="007429C5"/>
    <w:rsid w:val="007429CB"/>
    <w:rsid w:val="00742AAA"/>
    <w:rsid w:val="00742ADB"/>
    <w:rsid w:val="00742C23"/>
    <w:rsid w:val="00742C38"/>
    <w:rsid w:val="00742C50"/>
    <w:rsid w:val="00742CD9"/>
    <w:rsid w:val="00742CF1"/>
    <w:rsid w:val="00742E80"/>
    <w:rsid w:val="00742ED0"/>
    <w:rsid w:val="00742F16"/>
    <w:rsid w:val="00742F8B"/>
    <w:rsid w:val="0074302B"/>
    <w:rsid w:val="00743112"/>
    <w:rsid w:val="00743141"/>
    <w:rsid w:val="0074314C"/>
    <w:rsid w:val="0074323E"/>
    <w:rsid w:val="007432A9"/>
    <w:rsid w:val="007432E9"/>
    <w:rsid w:val="00743301"/>
    <w:rsid w:val="007433C7"/>
    <w:rsid w:val="0074362F"/>
    <w:rsid w:val="00743642"/>
    <w:rsid w:val="0074384E"/>
    <w:rsid w:val="007438BC"/>
    <w:rsid w:val="00743901"/>
    <w:rsid w:val="007439C7"/>
    <w:rsid w:val="007439D2"/>
    <w:rsid w:val="007439E9"/>
    <w:rsid w:val="00743A40"/>
    <w:rsid w:val="00743A54"/>
    <w:rsid w:val="00743AB0"/>
    <w:rsid w:val="00743AC1"/>
    <w:rsid w:val="00743B88"/>
    <w:rsid w:val="00743C02"/>
    <w:rsid w:val="00743C7C"/>
    <w:rsid w:val="00743C9C"/>
    <w:rsid w:val="00743CE8"/>
    <w:rsid w:val="00743DA1"/>
    <w:rsid w:val="00743E3C"/>
    <w:rsid w:val="00743EC9"/>
    <w:rsid w:val="00743F0B"/>
    <w:rsid w:val="00743F4E"/>
    <w:rsid w:val="00743F81"/>
    <w:rsid w:val="00743FA0"/>
    <w:rsid w:val="00743FE5"/>
    <w:rsid w:val="007440C9"/>
    <w:rsid w:val="0074411F"/>
    <w:rsid w:val="007441A0"/>
    <w:rsid w:val="007441A9"/>
    <w:rsid w:val="007441FA"/>
    <w:rsid w:val="007442DA"/>
    <w:rsid w:val="007442FF"/>
    <w:rsid w:val="00744340"/>
    <w:rsid w:val="00744395"/>
    <w:rsid w:val="00744565"/>
    <w:rsid w:val="0074464F"/>
    <w:rsid w:val="007446D0"/>
    <w:rsid w:val="007446DF"/>
    <w:rsid w:val="00744707"/>
    <w:rsid w:val="00744811"/>
    <w:rsid w:val="007448BD"/>
    <w:rsid w:val="0074491F"/>
    <w:rsid w:val="007449B4"/>
    <w:rsid w:val="007449B5"/>
    <w:rsid w:val="007449BB"/>
    <w:rsid w:val="00744A66"/>
    <w:rsid w:val="00744A6E"/>
    <w:rsid w:val="00744ABC"/>
    <w:rsid w:val="00744B4F"/>
    <w:rsid w:val="00744B53"/>
    <w:rsid w:val="00744B77"/>
    <w:rsid w:val="00744B7F"/>
    <w:rsid w:val="00744BB5"/>
    <w:rsid w:val="00744BD0"/>
    <w:rsid w:val="00744E4F"/>
    <w:rsid w:val="00744EB5"/>
    <w:rsid w:val="00744EEC"/>
    <w:rsid w:val="00744F06"/>
    <w:rsid w:val="00744FB6"/>
    <w:rsid w:val="00744FBC"/>
    <w:rsid w:val="00745007"/>
    <w:rsid w:val="0074509B"/>
    <w:rsid w:val="007450FF"/>
    <w:rsid w:val="0074526B"/>
    <w:rsid w:val="00745275"/>
    <w:rsid w:val="00745298"/>
    <w:rsid w:val="007452BA"/>
    <w:rsid w:val="00745380"/>
    <w:rsid w:val="0074538E"/>
    <w:rsid w:val="0074539F"/>
    <w:rsid w:val="007453AF"/>
    <w:rsid w:val="00745441"/>
    <w:rsid w:val="00745453"/>
    <w:rsid w:val="007454C4"/>
    <w:rsid w:val="007455A9"/>
    <w:rsid w:val="00745609"/>
    <w:rsid w:val="007456B5"/>
    <w:rsid w:val="0074571D"/>
    <w:rsid w:val="007457D7"/>
    <w:rsid w:val="0074585A"/>
    <w:rsid w:val="0074585D"/>
    <w:rsid w:val="007458D0"/>
    <w:rsid w:val="007458EA"/>
    <w:rsid w:val="007459AC"/>
    <w:rsid w:val="00745A1E"/>
    <w:rsid w:val="00745A55"/>
    <w:rsid w:val="00745A63"/>
    <w:rsid w:val="00745A9E"/>
    <w:rsid w:val="00745AB6"/>
    <w:rsid w:val="00745ADF"/>
    <w:rsid w:val="00745B35"/>
    <w:rsid w:val="00745B4C"/>
    <w:rsid w:val="00745B91"/>
    <w:rsid w:val="00745B9B"/>
    <w:rsid w:val="00745BA5"/>
    <w:rsid w:val="00745C28"/>
    <w:rsid w:val="00745C29"/>
    <w:rsid w:val="00745C4B"/>
    <w:rsid w:val="00745C8C"/>
    <w:rsid w:val="00745CD5"/>
    <w:rsid w:val="00745D29"/>
    <w:rsid w:val="00745D58"/>
    <w:rsid w:val="00745DC2"/>
    <w:rsid w:val="00745DE7"/>
    <w:rsid w:val="00745DEE"/>
    <w:rsid w:val="00745E26"/>
    <w:rsid w:val="00745E4A"/>
    <w:rsid w:val="00745F37"/>
    <w:rsid w:val="0074602C"/>
    <w:rsid w:val="007460B5"/>
    <w:rsid w:val="007460B6"/>
    <w:rsid w:val="0074610E"/>
    <w:rsid w:val="00746161"/>
    <w:rsid w:val="0074617C"/>
    <w:rsid w:val="00746203"/>
    <w:rsid w:val="00746213"/>
    <w:rsid w:val="007462B3"/>
    <w:rsid w:val="007462C2"/>
    <w:rsid w:val="007463A6"/>
    <w:rsid w:val="00746413"/>
    <w:rsid w:val="00746474"/>
    <w:rsid w:val="00746481"/>
    <w:rsid w:val="00746503"/>
    <w:rsid w:val="00746619"/>
    <w:rsid w:val="00746627"/>
    <w:rsid w:val="007466F3"/>
    <w:rsid w:val="0074677D"/>
    <w:rsid w:val="0074677E"/>
    <w:rsid w:val="007467BF"/>
    <w:rsid w:val="007467D6"/>
    <w:rsid w:val="007467EC"/>
    <w:rsid w:val="007467F9"/>
    <w:rsid w:val="00746838"/>
    <w:rsid w:val="00746871"/>
    <w:rsid w:val="007468BC"/>
    <w:rsid w:val="00746980"/>
    <w:rsid w:val="00746A40"/>
    <w:rsid w:val="00746ADA"/>
    <w:rsid w:val="00746BBD"/>
    <w:rsid w:val="00746C3A"/>
    <w:rsid w:val="00746D5C"/>
    <w:rsid w:val="00746D74"/>
    <w:rsid w:val="00746DD8"/>
    <w:rsid w:val="00746DE6"/>
    <w:rsid w:val="00746E13"/>
    <w:rsid w:val="00746E7F"/>
    <w:rsid w:val="00746EF8"/>
    <w:rsid w:val="00746F17"/>
    <w:rsid w:val="00746F70"/>
    <w:rsid w:val="00746F87"/>
    <w:rsid w:val="00746FDF"/>
    <w:rsid w:val="0074706B"/>
    <w:rsid w:val="007470E1"/>
    <w:rsid w:val="0074712B"/>
    <w:rsid w:val="00747145"/>
    <w:rsid w:val="007471B8"/>
    <w:rsid w:val="007471F7"/>
    <w:rsid w:val="00747276"/>
    <w:rsid w:val="0074727D"/>
    <w:rsid w:val="007472A1"/>
    <w:rsid w:val="007472D3"/>
    <w:rsid w:val="007473DA"/>
    <w:rsid w:val="00747401"/>
    <w:rsid w:val="00747447"/>
    <w:rsid w:val="0074748B"/>
    <w:rsid w:val="00747504"/>
    <w:rsid w:val="0074752E"/>
    <w:rsid w:val="007475C9"/>
    <w:rsid w:val="007475D5"/>
    <w:rsid w:val="00747650"/>
    <w:rsid w:val="007476C3"/>
    <w:rsid w:val="00747714"/>
    <w:rsid w:val="0074775D"/>
    <w:rsid w:val="0074777D"/>
    <w:rsid w:val="00747857"/>
    <w:rsid w:val="007478C1"/>
    <w:rsid w:val="00747904"/>
    <w:rsid w:val="00747986"/>
    <w:rsid w:val="007479AC"/>
    <w:rsid w:val="007479DE"/>
    <w:rsid w:val="007479E8"/>
    <w:rsid w:val="00747A61"/>
    <w:rsid w:val="00747B2C"/>
    <w:rsid w:val="00747B74"/>
    <w:rsid w:val="00747B96"/>
    <w:rsid w:val="00747C77"/>
    <w:rsid w:val="00747C8B"/>
    <w:rsid w:val="00747C8C"/>
    <w:rsid w:val="00747D03"/>
    <w:rsid w:val="00747E18"/>
    <w:rsid w:val="00747E26"/>
    <w:rsid w:val="00747F49"/>
    <w:rsid w:val="00747F61"/>
    <w:rsid w:val="00747FCF"/>
    <w:rsid w:val="0075003B"/>
    <w:rsid w:val="00750052"/>
    <w:rsid w:val="0075005A"/>
    <w:rsid w:val="00750065"/>
    <w:rsid w:val="00750188"/>
    <w:rsid w:val="0075025C"/>
    <w:rsid w:val="00750279"/>
    <w:rsid w:val="00750287"/>
    <w:rsid w:val="007502A6"/>
    <w:rsid w:val="00750308"/>
    <w:rsid w:val="007503A9"/>
    <w:rsid w:val="0075041D"/>
    <w:rsid w:val="00750465"/>
    <w:rsid w:val="007504D1"/>
    <w:rsid w:val="0075054E"/>
    <w:rsid w:val="00750585"/>
    <w:rsid w:val="007505E6"/>
    <w:rsid w:val="00750627"/>
    <w:rsid w:val="00750653"/>
    <w:rsid w:val="00750682"/>
    <w:rsid w:val="007506A1"/>
    <w:rsid w:val="0075078C"/>
    <w:rsid w:val="007508BE"/>
    <w:rsid w:val="0075090D"/>
    <w:rsid w:val="0075090E"/>
    <w:rsid w:val="00750939"/>
    <w:rsid w:val="00750949"/>
    <w:rsid w:val="00750978"/>
    <w:rsid w:val="0075097E"/>
    <w:rsid w:val="00750A4E"/>
    <w:rsid w:val="00750A5B"/>
    <w:rsid w:val="00750AB4"/>
    <w:rsid w:val="00750AE0"/>
    <w:rsid w:val="00750B7F"/>
    <w:rsid w:val="00750BB1"/>
    <w:rsid w:val="00750C2D"/>
    <w:rsid w:val="00750C36"/>
    <w:rsid w:val="00750C3C"/>
    <w:rsid w:val="00750C45"/>
    <w:rsid w:val="00750C46"/>
    <w:rsid w:val="00750C49"/>
    <w:rsid w:val="00750C6E"/>
    <w:rsid w:val="00750C85"/>
    <w:rsid w:val="00750CF3"/>
    <w:rsid w:val="00750CF9"/>
    <w:rsid w:val="00750D29"/>
    <w:rsid w:val="00750DF2"/>
    <w:rsid w:val="00750E25"/>
    <w:rsid w:val="00750E42"/>
    <w:rsid w:val="00750E69"/>
    <w:rsid w:val="00750E75"/>
    <w:rsid w:val="00750ED9"/>
    <w:rsid w:val="00750F12"/>
    <w:rsid w:val="00750F44"/>
    <w:rsid w:val="00750FBA"/>
    <w:rsid w:val="00751013"/>
    <w:rsid w:val="00751057"/>
    <w:rsid w:val="007510C7"/>
    <w:rsid w:val="007510F8"/>
    <w:rsid w:val="0075115E"/>
    <w:rsid w:val="0075118D"/>
    <w:rsid w:val="00751192"/>
    <w:rsid w:val="007511AC"/>
    <w:rsid w:val="007511D8"/>
    <w:rsid w:val="0075123B"/>
    <w:rsid w:val="0075125C"/>
    <w:rsid w:val="0075128B"/>
    <w:rsid w:val="007512AC"/>
    <w:rsid w:val="007512DA"/>
    <w:rsid w:val="007513AB"/>
    <w:rsid w:val="007514CF"/>
    <w:rsid w:val="00751508"/>
    <w:rsid w:val="0075153D"/>
    <w:rsid w:val="0075159A"/>
    <w:rsid w:val="0075160B"/>
    <w:rsid w:val="00751684"/>
    <w:rsid w:val="00751687"/>
    <w:rsid w:val="00751845"/>
    <w:rsid w:val="00751867"/>
    <w:rsid w:val="007518CE"/>
    <w:rsid w:val="0075190B"/>
    <w:rsid w:val="0075194C"/>
    <w:rsid w:val="0075197E"/>
    <w:rsid w:val="00751B20"/>
    <w:rsid w:val="00751BB6"/>
    <w:rsid w:val="00751BF4"/>
    <w:rsid w:val="00751C27"/>
    <w:rsid w:val="00751C4F"/>
    <w:rsid w:val="00751D11"/>
    <w:rsid w:val="00751D68"/>
    <w:rsid w:val="00751DBE"/>
    <w:rsid w:val="00751E32"/>
    <w:rsid w:val="00751E6F"/>
    <w:rsid w:val="00751EF8"/>
    <w:rsid w:val="00751F03"/>
    <w:rsid w:val="0075202F"/>
    <w:rsid w:val="0075208B"/>
    <w:rsid w:val="0075210D"/>
    <w:rsid w:val="00752135"/>
    <w:rsid w:val="00752205"/>
    <w:rsid w:val="00752222"/>
    <w:rsid w:val="00752275"/>
    <w:rsid w:val="007522CC"/>
    <w:rsid w:val="007522E9"/>
    <w:rsid w:val="00752325"/>
    <w:rsid w:val="0075244F"/>
    <w:rsid w:val="00752509"/>
    <w:rsid w:val="00752553"/>
    <w:rsid w:val="007525FC"/>
    <w:rsid w:val="007526D2"/>
    <w:rsid w:val="00752768"/>
    <w:rsid w:val="00752866"/>
    <w:rsid w:val="007528CA"/>
    <w:rsid w:val="007528E7"/>
    <w:rsid w:val="00752909"/>
    <w:rsid w:val="00752A39"/>
    <w:rsid w:val="00752B1E"/>
    <w:rsid w:val="00752B8A"/>
    <w:rsid w:val="00752CFB"/>
    <w:rsid w:val="00752EBA"/>
    <w:rsid w:val="00752FD7"/>
    <w:rsid w:val="0075302A"/>
    <w:rsid w:val="00753065"/>
    <w:rsid w:val="00753236"/>
    <w:rsid w:val="007532A6"/>
    <w:rsid w:val="00753315"/>
    <w:rsid w:val="0075338D"/>
    <w:rsid w:val="007534A4"/>
    <w:rsid w:val="007534A7"/>
    <w:rsid w:val="007534E6"/>
    <w:rsid w:val="00753573"/>
    <w:rsid w:val="00753580"/>
    <w:rsid w:val="0075358B"/>
    <w:rsid w:val="007535C8"/>
    <w:rsid w:val="00753673"/>
    <w:rsid w:val="007536A6"/>
    <w:rsid w:val="007536D2"/>
    <w:rsid w:val="00753714"/>
    <w:rsid w:val="00753788"/>
    <w:rsid w:val="0075378D"/>
    <w:rsid w:val="007537AC"/>
    <w:rsid w:val="007537FA"/>
    <w:rsid w:val="0075383D"/>
    <w:rsid w:val="007538A8"/>
    <w:rsid w:val="007538EC"/>
    <w:rsid w:val="007538ED"/>
    <w:rsid w:val="00753942"/>
    <w:rsid w:val="00753A53"/>
    <w:rsid w:val="00753A93"/>
    <w:rsid w:val="00753B7C"/>
    <w:rsid w:val="00753B98"/>
    <w:rsid w:val="00753C4D"/>
    <w:rsid w:val="00753C5E"/>
    <w:rsid w:val="00753C6B"/>
    <w:rsid w:val="00753C72"/>
    <w:rsid w:val="00753C9E"/>
    <w:rsid w:val="00753CAF"/>
    <w:rsid w:val="00753D2D"/>
    <w:rsid w:val="00753D80"/>
    <w:rsid w:val="00753ED1"/>
    <w:rsid w:val="00753EFD"/>
    <w:rsid w:val="00753F4A"/>
    <w:rsid w:val="00753F94"/>
    <w:rsid w:val="00754145"/>
    <w:rsid w:val="007541FF"/>
    <w:rsid w:val="0075425A"/>
    <w:rsid w:val="00754265"/>
    <w:rsid w:val="0075432E"/>
    <w:rsid w:val="0075433B"/>
    <w:rsid w:val="00754370"/>
    <w:rsid w:val="007543BC"/>
    <w:rsid w:val="007543C7"/>
    <w:rsid w:val="0075443E"/>
    <w:rsid w:val="00754450"/>
    <w:rsid w:val="0075445C"/>
    <w:rsid w:val="00754462"/>
    <w:rsid w:val="007544E9"/>
    <w:rsid w:val="0075458D"/>
    <w:rsid w:val="007545F4"/>
    <w:rsid w:val="0075466A"/>
    <w:rsid w:val="00754686"/>
    <w:rsid w:val="007546BE"/>
    <w:rsid w:val="00754834"/>
    <w:rsid w:val="0075485A"/>
    <w:rsid w:val="0075486F"/>
    <w:rsid w:val="007549D7"/>
    <w:rsid w:val="007549F0"/>
    <w:rsid w:val="007549FD"/>
    <w:rsid w:val="00754A6E"/>
    <w:rsid w:val="00754AA0"/>
    <w:rsid w:val="00754B14"/>
    <w:rsid w:val="00754B4E"/>
    <w:rsid w:val="00754BA9"/>
    <w:rsid w:val="00754C1A"/>
    <w:rsid w:val="00754C5F"/>
    <w:rsid w:val="00754CAD"/>
    <w:rsid w:val="00754CE4"/>
    <w:rsid w:val="00754D46"/>
    <w:rsid w:val="00754D6A"/>
    <w:rsid w:val="00754DBE"/>
    <w:rsid w:val="00754E6C"/>
    <w:rsid w:val="00754F21"/>
    <w:rsid w:val="00754FE9"/>
    <w:rsid w:val="00755012"/>
    <w:rsid w:val="00755096"/>
    <w:rsid w:val="007550CB"/>
    <w:rsid w:val="007551FA"/>
    <w:rsid w:val="00755252"/>
    <w:rsid w:val="00755275"/>
    <w:rsid w:val="0075538D"/>
    <w:rsid w:val="00755451"/>
    <w:rsid w:val="00755477"/>
    <w:rsid w:val="007554E5"/>
    <w:rsid w:val="0075558E"/>
    <w:rsid w:val="00755663"/>
    <w:rsid w:val="00755684"/>
    <w:rsid w:val="007556E8"/>
    <w:rsid w:val="00755748"/>
    <w:rsid w:val="00755762"/>
    <w:rsid w:val="00755778"/>
    <w:rsid w:val="00755791"/>
    <w:rsid w:val="007557BE"/>
    <w:rsid w:val="007557CB"/>
    <w:rsid w:val="00755817"/>
    <w:rsid w:val="0075587C"/>
    <w:rsid w:val="00755961"/>
    <w:rsid w:val="00755963"/>
    <w:rsid w:val="0075597C"/>
    <w:rsid w:val="007559B8"/>
    <w:rsid w:val="00755B6E"/>
    <w:rsid w:val="00755BD5"/>
    <w:rsid w:val="00755C27"/>
    <w:rsid w:val="00755C6A"/>
    <w:rsid w:val="00755DF4"/>
    <w:rsid w:val="00755E03"/>
    <w:rsid w:val="00755E85"/>
    <w:rsid w:val="00755F5F"/>
    <w:rsid w:val="00755FDE"/>
    <w:rsid w:val="0075605D"/>
    <w:rsid w:val="0075606B"/>
    <w:rsid w:val="0075613E"/>
    <w:rsid w:val="007561AE"/>
    <w:rsid w:val="007561D5"/>
    <w:rsid w:val="0075624F"/>
    <w:rsid w:val="00756274"/>
    <w:rsid w:val="00756384"/>
    <w:rsid w:val="007563A6"/>
    <w:rsid w:val="00756444"/>
    <w:rsid w:val="007564B0"/>
    <w:rsid w:val="007564E6"/>
    <w:rsid w:val="00756542"/>
    <w:rsid w:val="0075655E"/>
    <w:rsid w:val="007565C4"/>
    <w:rsid w:val="00756648"/>
    <w:rsid w:val="0075665D"/>
    <w:rsid w:val="00756667"/>
    <w:rsid w:val="007566DA"/>
    <w:rsid w:val="007566DC"/>
    <w:rsid w:val="00756763"/>
    <w:rsid w:val="0075680D"/>
    <w:rsid w:val="00756882"/>
    <w:rsid w:val="00756896"/>
    <w:rsid w:val="007568B2"/>
    <w:rsid w:val="00756919"/>
    <w:rsid w:val="0075693F"/>
    <w:rsid w:val="00756A3A"/>
    <w:rsid w:val="00756A84"/>
    <w:rsid w:val="00756B81"/>
    <w:rsid w:val="00756C78"/>
    <w:rsid w:val="00756CA2"/>
    <w:rsid w:val="00756CA9"/>
    <w:rsid w:val="00756DBE"/>
    <w:rsid w:val="00756DC3"/>
    <w:rsid w:val="00756DC9"/>
    <w:rsid w:val="00756E2F"/>
    <w:rsid w:val="00756E44"/>
    <w:rsid w:val="00756E54"/>
    <w:rsid w:val="00756E68"/>
    <w:rsid w:val="00756EE4"/>
    <w:rsid w:val="00756EEE"/>
    <w:rsid w:val="00756F5F"/>
    <w:rsid w:val="00756F9C"/>
    <w:rsid w:val="00756FEE"/>
    <w:rsid w:val="0075706A"/>
    <w:rsid w:val="007570D3"/>
    <w:rsid w:val="0075717B"/>
    <w:rsid w:val="007571AE"/>
    <w:rsid w:val="007571D0"/>
    <w:rsid w:val="00757295"/>
    <w:rsid w:val="0075735A"/>
    <w:rsid w:val="007573B7"/>
    <w:rsid w:val="007573C1"/>
    <w:rsid w:val="0075753D"/>
    <w:rsid w:val="0075758D"/>
    <w:rsid w:val="007576DD"/>
    <w:rsid w:val="00757774"/>
    <w:rsid w:val="00757803"/>
    <w:rsid w:val="0075783D"/>
    <w:rsid w:val="0075788E"/>
    <w:rsid w:val="007578C7"/>
    <w:rsid w:val="007578E5"/>
    <w:rsid w:val="00757953"/>
    <w:rsid w:val="00757A40"/>
    <w:rsid w:val="00757A41"/>
    <w:rsid w:val="00757A6E"/>
    <w:rsid w:val="00757B30"/>
    <w:rsid w:val="00757B7E"/>
    <w:rsid w:val="00757BA2"/>
    <w:rsid w:val="00757BD5"/>
    <w:rsid w:val="00757C1B"/>
    <w:rsid w:val="00757C47"/>
    <w:rsid w:val="00757C61"/>
    <w:rsid w:val="00757C6B"/>
    <w:rsid w:val="00757CB2"/>
    <w:rsid w:val="00757CF6"/>
    <w:rsid w:val="00757D54"/>
    <w:rsid w:val="00757D90"/>
    <w:rsid w:val="00757DD3"/>
    <w:rsid w:val="00757DFE"/>
    <w:rsid w:val="00757E08"/>
    <w:rsid w:val="00757E18"/>
    <w:rsid w:val="00757E2D"/>
    <w:rsid w:val="00757E72"/>
    <w:rsid w:val="00757E7D"/>
    <w:rsid w:val="00757F99"/>
    <w:rsid w:val="00760041"/>
    <w:rsid w:val="00760106"/>
    <w:rsid w:val="007601AA"/>
    <w:rsid w:val="0076020F"/>
    <w:rsid w:val="00760284"/>
    <w:rsid w:val="0076035F"/>
    <w:rsid w:val="00760379"/>
    <w:rsid w:val="007603D4"/>
    <w:rsid w:val="007604BC"/>
    <w:rsid w:val="0076050D"/>
    <w:rsid w:val="00760550"/>
    <w:rsid w:val="007605A1"/>
    <w:rsid w:val="007605D2"/>
    <w:rsid w:val="0076061E"/>
    <w:rsid w:val="0076063F"/>
    <w:rsid w:val="00760683"/>
    <w:rsid w:val="00760746"/>
    <w:rsid w:val="007607AE"/>
    <w:rsid w:val="0076083F"/>
    <w:rsid w:val="00760860"/>
    <w:rsid w:val="00760915"/>
    <w:rsid w:val="0076098C"/>
    <w:rsid w:val="007609A4"/>
    <w:rsid w:val="007609E9"/>
    <w:rsid w:val="00760A15"/>
    <w:rsid w:val="00760A2D"/>
    <w:rsid w:val="00760AC3"/>
    <w:rsid w:val="00760ADA"/>
    <w:rsid w:val="00760AF4"/>
    <w:rsid w:val="00760B2C"/>
    <w:rsid w:val="00760B2F"/>
    <w:rsid w:val="00760C0A"/>
    <w:rsid w:val="00760C9E"/>
    <w:rsid w:val="00760D70"/>
    <w:rsid w:val="00760DA3"/>
    <w:rsid w:val="00760E3F"/>
    <w:rsid w:val="00760F30"/>
    <w:rsid w:val="00761020"/>
    <w:rsid w:val="00761027"/>
    <w:rsid w:val="007610BA"/>
    <w:rsid w:val="00761155"/>
    <w:rsid w:val="00761168"/>
    <w:rsid w:val="00761296"/>
    <w:rsid w:val="0076130E"/>
    <w:rsid w:val="00761320"/>
    <w:rsid w:val="00761398"/>
    <w:rsid w:val="007613DA"/>
    <w:rsid w:val="00761403"/>
    <w:rsid w:val="0076145E"/>
    <w:rsid w:val="00761492"/>
    <w:rsid w:val="00761498"/>
    <w:rsid w:val="007614BA"/>
    <w:rsid w:val="007615F3"/>
    <w:rsid w:val="00761680"/>
    <w:rsid w:val="00761696"/>
    <w:rsid w:val="007616D2"/>
    <w:rsid w:val="00761707"/>
    <w:rsid w:val="007617ED"/>
    <w:rsid w:val="0076181A"/>
    <w:rsid w:val="00761862"/>
    <w:rsid w:val="00761874"/>
    <w:rsid w:val="007618EF"/>
    <w:rsid w:val="0076197E"/>
    <w:rsid w:val="007619C1"/>
    <w:rsid w:val="007619D0"/>
    <w:rsid w:val="007619DD"/>
    <w:rsid w:val="007619E3"/>
    <w:rsid w:val="007619E6"/>
    <w:rsid w:val="007619EB"/>
    <w:rsid w:val="00761AD3"/>
    <w:rsid w:val="00761AF8"/>
    <w:rsid w:val="00761C29"/>
    <w:rsid w:val="00761C37"/>
    <w:rsid w:val="00761CC5"/>
    <w:rsid w:val="00761D16"/>
    <w:rsid w:val="00761D3A"/>
    <w:rsid w:val="00761D7F"/>
    <w:rsid w:val="00761DD7"/>
    <w:rsid w:val="00761DFF"/>
    <w:rsid w:val="00761E3B"/>
    <w:rsid w:val="00761E4C"/>
    <w:rsid w:val="00761E85"/>
    <w:rsid w:val="00761ED3"/>
    <w:rsid w:val="00761EEA"/>
    <w:rsid w:val="00761F1C"/>
    <w:rsid w:val="00761F76"/>
    <w:rsid w:val="00761F7F"/>
    <w:rsid w:val="00761FF4"/>
    <w:rsid w:val="0076200D"/>
    <w:rsid w:val="00762037"/>
    <w:rsid w:val="00762040"/>
    <w:rsid w:val="00762042"/>
    <w:rsid w:val="007620BE"/>
    <w:rsid w:val="0076212B"/>
    <w:rsid w:val="00762254"/>
    <w:rsid w:val="007622E7"/>
    <w:rsid w:val="00762341"/>
    <w:rsid w:val="00762398"/>
    <w:rsid w:val="00762450"/>
    <w:rsid w:val="00762463"/>
    <w:rsid w:val="0076251F"/>
    <w:rsid w:val="00762594"/>
    <w:rsid w:val="007625ED"/>
    <w:rsid w:val="00762605"/>
    <w:rsid w:val="0076260F"/>
    <w:rsid w:val="0076264E"/>
    <w:rsid w:val="00762670"/>
    <w:rsid w:val="00762691"/>
    <w:rsid w:val="007627BE"/>
    <w:rsid w:val="0076282C"/>
    <w:rsid w:val="00762839"/>
    <w:rsid w:val="007628A6"/>
    <w:rsid w:val="00762982"/>
    <w:rsid w:val="007629AD"/>
    <w:rsid w:val="007629C2"/>
    <w:rsid w:val="007629D7"/>
    <w:rsid w:val="007629FB"/>
    <w:rsid w:val="00762C1A"/>
    <w:rsid w:val="00762D39"/>
    <w:rsid w:val="00762D44"/>
    <w:rsid w:val="00762D6F"/>
    <w:rsid w:val="00762EFE"/>
    <w:rsid w:val="00762F44"/>
    <w:rsid w:val="00762F9E"/>
    <w:rsid w:val="00762FCF"/>
    <w:rsid w:val="00763066"/>
    <w:rsid w:val="0076309A"/>
    <w:rsid w:val="007630E9"/>
    <w:rsid w:val="0076315E"/>
    <w:rsid w:val="007631A6"/>
    <w:rsid w:val="00763212"/>
    <w:rsid w:val="0076325A"/>
    <w:rsid w:val="007632B3"/>
    <w:rsid w:val="007632FE"/>
    <w:rsid w:val="00763304"/>
    <w:rsid w:val="00763310"/>
    <w:rsid w:val="00763364"/>
    <w:rsid w:val="00763414"/>
    <w:rsid w:val="0076341E"/>
    <w:rsid w:val="0076347C"/>
    <w:rsid w:val="007634AE"/>
    <w:rsid w:val="00763634"/>
    <w:rsid w:val="007636A9"/>
    <w:rsid w:val="007636BA"/>
    <w:rsid w:val="00763793"/>
    <w:rsid w:val="00763821"/>
    <w:rsid w:val="00763849"/>
    <w:rsid w:val="00763859"/>
    <w:rsid w:val="00763901"/>
    <w:rsid w:val="00763961"/>
    <w:rsid w:val="00763971"/>
    <w:rsid w:val="007639B7"/>
    <w:rsid w:val="00763A4B"/>
    <w:rsid w:val="00763A9F"/>
    <w:rsid w:val="00763AA4"/>
    <w:rsid w:val="00763AC3"/>
    <w:rsid w:val="00763BA1"/>
    <w:rsid w:val="00763BAC"/>
    <w:rsid w:val="00763C14"/>
    <w:rsid w:val="00763D32"/>
    <w:rsid w:val="00763DBA"/>
    <w:rsid w:val="00763DC7"/>
    <w:rsid w:val="00763E52"/>
    <w:rsid w:val="00763E64"/>
    <w:rsid w:val="00763EA8"/>
    <w:rsid w:val="00763F04"/>
    <w:rsid w:val="00763F84"/>
    <w:rsid w:val="00763FB0"/>
    <w:rsid w:val="00763FB3"/>
    <w:rsid w:val="00763FD6"/>
    <w:rsid w:val="00763FF3"/>
    <w:rsid w:val="00764035"/>
    <w:rsid w:val="0076414C"/>
    <w:rsid w:val="00764190"/>
    <w:rsid w:val="00764196"/>
    <w:rsid w:val="007642A2"/>
    <w:rsid w:val="007642B1"/>
    <w:rsid w:val="007642E4"/>
    <w:rsid w:val="0076435C"/>
    <w:rsid w:val="00764373"/>
    <w:rsid w:val="0076439B"/>
    <w:rsid w:val="007643D1"/>
    <w:rsid w:val="007643E1"/>
    <w:rsid w:val="00764571"/>
    <w:rsid w:val="0076460B"/>
    <w:rsid w:val="00764623"/>
    <w:rsid w:val="0076465D"/>
    <w:rsid w:val="00764689"/>
    <w:rsid w:val="0076468F"/>
    <w:rsid w:val="007646A7"/>
    <w:rsid w:val="007646CC"/>
    <w:rsid w:val="00764747"/>
    <w:rsid w:val="00764789"/>
    <w:rsid w:val="007647F9"/>
    <w:rsid w:val="007648B3"/>
    <w:rsid w:val="007648B5"/>
    <w:rsid w:val="007649B1"/>
    <w:rsid w:val="007649E6"/>
    <w:rsid w:val="00764A94"/>
    <w:rsid w:val="00764AE9"/>
    <w:rsid w:val="00764BA5"/>
    <w:rsid w:val="00764BEC"/>
    <w:rsid w:val="00764C78"/>
    <w:rsid w:val="00764CEF"/>
    <w:rsid w:val="00764D37"/>
    <w:rsid w:val="00764D5A"/>
    <w:rsid w:val="00764D92"/>
    <w:rsid w:val="00764E0B"/>
    <w:rsid w:val="00764EBF"/>
    <w:rsid w:val="00764F11"/>
    <w:rsid w:val="00764F1B"/>
    <w:rsid w:val="00764FA1"/>
    <w:rsid w:val="00764FD9"/>
    <w:rsid w:val="00765067"/>
    <w:rsid w:val="0076507D"/>
    <w:rsid w:val="007651E4"/>
    <w:rsid w:val="007651F0"/>
    <w:rsid w:val="00765234"/>
    <w:rsid w:val="007652CC"/>
    <w:rsid w:val="00765323"/>
    <w:rsid w:val="00765362"/>
    <w:rsid w:val="00765397"/>
    <w:rsid w:val="00765406"/>
    <w:rsid w:val="00765470"/>
    <w:rsid w:val="00765493"/>
    <w:rsid w:val="0076549B"/>
    <w:rsid w:val="007654BE"/>
    <w:rsid w:val="0076550D"/>
    <w:rsid w:val="00765544"/>
    <w:rsid w:val="007655F7"/>
    <w:rsid w:val="0076560A"/>
    <w:rsid w:val="00765653"/>
    <w:rsid w:val="007656A0"/>
    <w:rsid w:val="007656A9"/>
    <w:rsid w:val="00765738"/>
    <w:rsid w:val="00765833"/>
    <w:rsid w:val="00765963"/>
    <w:rsid w:val="007659AD"/>
    <w:rsid w:val="00765A16"/>
    <w:rsid w:val="00765AF7"/>
    <w:rsid w:val="00765AF9"/>
    <w:rsid w:val="00765B05"/>
    <w:rsid w:val="00765B1C"/>
    <w:rsid w:val="00765BEB"/>
    <w:rsid w:val="00765C3D"/>
    <w:rsid w:val="00765C69"/>
    <w:rsid w:val="00765E7A"/>
    <w:rsid w:val="00765EC1"/>
    <w:rsid w:val="00765FFD"/>
    <w:rsid w:val="0076605A"/>
    <w:rsid w:val="0076609F"/>
    <w:rsid w:val="00766120"/>
    <w:rsid w:val="0076612F"/>
    <w:rsid w:val="0076621C"/>
    <w:rsid w:val="00766278"/>
    <w:rsid w:val="007662C4"/>
    <w:rsid w:val="007662D9"/>
    <w:rsid w:val="007662E5"/>
    <w:rsid w:val="007663B6"/>
    <w:rsid w:val="007663C6"/>
    <w:rsid w:val="007663F5"/>
    <w:rsid w:val="00766530"/>
    <w:rsid w:val="00766586"/>
    <w:rsid w:val="007665B7"/>
    <w:rsid w:val="007665F6"/>
    <w:rsid w:val="00766692"/>
    <w:rsid w:val="00766771"/>
    <w:rsid w:val="007667C5"/>
    <w:rsid w:val="007667E6"/>
    <w:rsid w:val="0076688E"/>
    <w:rsid w:val="007668AD"/>
    <w:rsid w:val="00766900"/>
    <w:rsid w:val="00766914"/>
    <w:rsid w:val="007669D1"/>
    <w:rsid w:val="00766A7D"/>
    <w:rsid w:val="00766ABF"/>
    <w:rsid w:val="00766ADF"/>
    <w:rsid w:val="00766B70"/>
    <w:rsid w:val="00766B84"/>
    <w:rsid w:val="00766C00"/>
    <w:rsid w:val="00766C30"/>
    <w:rsid w:val="00766D07"/>
    <w:rsid w:val="00766D4F"/>
    <w:rsid w:val="00766DC5"/>
    <w:rsid w:val="00766E2A"/>
    <w:rsid w:val="00766E8F"/>
    <w:rsid w:val="00766EE1"/>
    <w:rsid w:val="00766F33"/>
    <w:rsid w:val="00766F8E"/>
    <w:rsid w:val="00766FB1"/>
    <w:rsid w:val="00766FC2"/>
    <w:rsid w:val="00767087"/>
    <w:rsid w:val="007670A2"/>
    <w:rsid w:val="0076710A"/>
    <w:rsid w:val="007671E5"/>
    <w:rsid w:val="00767224"/>
    <w:rsid w:val="0076726B"/>
    <w:rsid w:val="00767346"/>
    <w:rsid w:val="00767466"/>
    <w:rsid w:val="00767515"/>
    <w:rsid w:val="00767521"/>
    <w:rsid w:val="00767528"/>
    <w:rsid w:val="0076759D"/>
    <w:rsid w:val="00767847"/>
    <w:rsid w:val="0076785B"/>
    <w:rsid w:val="0076787C"/>
    <w:rsid w:val="007678A1"/>
    <w:rsid w:val="007678DE"/>
    <w:rsid w:val="00767946"/>
    <w:rsid w:val="007679A2"/>
    <w:rsid w:val="007679BD"/>
    <w:rsid w:val="007679F8"/>
    <w:rsid w:val="00767A5F"/>
    <w:rsid w:val="00767AB6"/>
    <w:rsid w:val="00767AD0"/>
    <w:rsid w:val="00767AE5"/>
    <w:rsid w:val="00767AF6"/>
    <w:rsid w:val="00767B6F"/>
    <w:rsid w:val="00767BCD"/>
    <w:rsid w:val="00767BD9"/>
    <w:rsid w:val="00767C5B"/>
    <w:rsid w:val="00767CB7"/>
    <w:rsid w:val="00767CE6"/>
    <w:rsid w:val="00767D50"/>
    <w:rsid w:val="00767E0A"/>
    <w:rsid w:val="00767ED9"/>
    <w:rsid w:val="00767F38"/>
    <w:rsid w:val="00767F70"/>
    <w:rsid w:val="00770056"/>
    <w:rsid w:val="0077005C"/>
    <w:rsid w:val="007700A0"/>
    <w:rsid w:val="007700C1"/>
    <w:rsid w:val="007700D0"/>
    <w:rsid w:val="00770122"/>
    <w:rsid w:val="00770123"/>
    <w:rsid w:val="0077013A"/>
    <w:rsid w:val="007701BA"/>
    <w:rsid w:val="00770256"/>
    <w:rsid w:val="00770276"/>
    <w:rsid w:val="007702C5"/>
    <w:rsid w:val="0077035B"/>
    <w:rsid w:val="007703C2"/>
    <w:rsid w:val="007703CA"/>
    <w:rsid w:val="007703D8"/>
    <w:rsid w:val="00770408"/>
    <w:rsid w:val="0077047F"/>
    <w:rsid w:val="0077049A"/>
    <w:rsid w:val="0077053F"/>
    <w:rsid w:val="0077055F"/>
    <w:rsid w:val="00770605"/>
    <w:rsid w:val="0077061E"/>
    <w:rsid w:val="00770641"/>
    <w:rsid w:val="007706DF"/>
    <w:rsid w:val="0077072C"/>
    <w:rsid w:val="007707B0"/>
    <w:rsid w:val="007707DA"/>
    <w:rsid w:val="007707EF"/>
    <w:rsid w:val="00770903"/>
    <w:rsid w:val="0077090D"/>
    <w:rsid w:val="007709B8"/>
    <w:rsid w:val="007709C2"/>
    <w:rsid w:val="007709F5"/>
    <w:rsid w:val="00770A11"/>
    <w:rsid w:val="00770A14"/>
    <w:rsid w:val="00770A46"/>
    <w:rsid w:val="00770BC6"/>
    <w:rsid w:val="00770BD2"/>
    <w:rsid w:val="00770BEC"/>
    <w:rsid w:val="00770C09"/>
    <w:rsid w:val="00770C86"/>
    <w:rsid w:val="00770CAA"/>
    <w:rsid w:val="00770CAD"/>
    <w:rsid w:val="00770D19"/>
    <w:rsid w:val="00770D20"/>
    <w:rsid w:val="00770DCC"/>
    <w:rsid w:val="00770DE5"/>
    <w:rsid w:val="00770EE2"/>
    <w:rsid w:val="00770EFE"/>
    <w:rsid w:val="00770F2A"/>
    <w:rsid w:val="00770F35"/>
    <w:rsid w:val="00770F72"/>
    <w:rsid w:val="00771066"/>
    <w:rsid w:val="007710F4"/>
    <w:rsid w:val="007710F5"/>
    <w:rsid w:val="00771118"/>
    <w:rsid w:val="007711A4"/>
    <w:rsid w:val="007712BC"/>
    <w:rsid w:val="007712F0"/>
    <w:rsid w:val="007712F3"/>
    <w:rsid w:val="007712F4"/>
    <w:rsid w:val="007713C0"/>
    <w:rsid w:val="007713F7"/>
    <w:rsid w:val="00771464"/>
    <w:rsid w:val="0077149C"/>
    <w:rsid w:val="007715B1"/>
    <w:rsid w:val="0077162F"/>
    <w:rsid w:val="0077168E"/>
    <w:rsid w:val="007716F4"/>
    <w:rsid w:val="00771715"/>
    <w:rsid w:val="007717E7"/>
    <w:rsid w:val="007718B7"/>
    <w:rsid w:val="007718E5"/>
    <w:rsid w:val="007718F4"/>
    <w:rsid w:val="00771962"/>
    <w:rsid w:val="00771A06"/>
    <w:rsid w:val="00771A38"/>
    <w:rsid w:val="00771A7E"/>
    <w:rsid w:val="00771AFD"/>
    <w:rsid w:val="00771B17"/>
    <w:rsid w:val="00771B22"/>
    <w:rsid w:val="00771B86"/>
    <w:rsid w:val="00771B91"/>
    <w:rsid w:val="00771BE4"/>
    <w:rsid w:val="00771BE8"/>
    <w:rsid w:val="00771BF9"/>
    <w:rsid w:val="00771D8E"/>
    <w:rsid w:val="00771E04"/>
    <w:rsid w:val="00771E0C"/>
    <w:rsid w:val="00771EBC"/>
    <w:rsid w:val="00771ED2"/>
    <w:rsid w:val="00771F3B"/>
    <w:rsid w:val="00771FA1"/>
    <w:rsid w:val="00771FDE"/>
    <w:rsid w:val="0077200C"/>
    <w:rsid w:val="00772089"/>
    <w:rsid w:val="00772098"/>
    <w:rsid w:val="00772267"/>
    <w:rsid w:val="007722C1"/>
    <w:rsid w:val="00772372"/>
    <w:rsid w:val="00772382"/>
    <w:rsid w:val="0077239F"/>
    <w:rsid w:val="007723AC"/>
    <w:rsid w:val="007723F4"/>
    <w:rsid w:val="0077245B"/>
    <w:rsid w:val="007724BA"/>
    <w:rsid w:val="007724CC"/>
    <w:rsid w:val="007725BF"/>
    <w:rsid w:val="007725FC"/>
    <w:rsid w:val="0077267E"/>
    <w:rsid w:val="007726AB"/>
    <w:rsid w:val="007726E0"/>
    <w:rsid w:val="00772728"/>
    <w:rsid w:val="00772760"/>
    <w:rsid w:val="00772782"/>
    <w:rsid w:val="007727FF"/>
    <w:rsid w:val="00772859"/>
    <w:rsid w:val="00772867"/>
    <w:rsid w:val="007728D2"/>
    <w:rsid w:val="007728EE"/>
    <w:rsid w:val="0077291E"/>
    <w:rsid w:val="00772A28"/>
    <w:rsid w:val="00772A77"/>
    <w:rsid w:val="00772AAF"/>
    <w:rsid w:val="00772AB6"/>
    <w:rsid w:val="00772B41"/>
    <w:rsid w:val="00772BCF"/>
    <w:rsid w:val="00772D28"/>
    <w:rsid w:val="00772E30"/>
    <w:rsid w:val="00772E57"/>
    <w:rsid w:val="00772EA6"/>
    <w:rsid w:val="00772EC2"/>
    <w:rsid w:val="00772F15"/>
    <w:rsid w:val="00772F62"/>
    <w:rsid w:val="00772F7A"/>
    <w:rsid w:val="00772FDB"/>
    <w:rsid w:val="00773015"/>
    <w:rsid w:val="00773090"/>
    <w:rsid w:val="0077312A"/>
    <w:rsid w:val="00773188"/>
    <w:rsid w:val="0077323E"/>
    <w:rsid w:val="00773250"/>
    <w:rsid w:val="0077335F"/>
    <w:rsid w:val="0077337B"/>
    <w:rsid w:val="007733FC"/>
    <w:rsid w:val="00773484"/>
    <w:rsid w:val="00773546"/>
    <w:rsid w:val="00773547"/>
    <w:rsid w:val="00773559"/>
    <w:rsid w:val="007735EC"/>
    <w:rsid w:val="007735EF"/>
    <w:rsid w:val="0077368D"/>
    <w:rsid w:val="00773742"/>
    <w:rsid w:val="00773767"/>
    <w:rsid w:val="007737A5"/>
    <w:rsid w:val="0077386D"/>
    <w:rsid w:val="007738D3"/>
    <w:rsid w:val="007739D8"/>
    <w:rsid w:val="007739F4"/>
    <w:rsid w:val="00773AC7"/>
    <w:rsid w:val="00773ADA"/>
    <w:rsid w:val="00773ADF"/>
    <w:rsid w:val="00773B13"/>
    <w:rsid w:val="00773B1E"/>
    <w:rsid w:val="00773B7A"/>
    <w:rsid w:val="00773B9B"/>
    <w:rsid w:val="00773BBF"/>
    <w:rsid w:val="00773C40"/>
    <w:rsid w:val="00773C56"/>
    <w:rsid w:val="00773CA9"/>
    <w:rsid w:val="00773CC7"/>
    <w:rsid w:val="00773DC0"/>
    <w:rsid w:val="00773DCA"/>
    <w:rsid w:val="00773E43"/>
    <w:rsid w:val="00773E7F"/>
    <w:rsid w:val="00773E88"/>
    <w:rsid w:val="00773F04"/>
    <w:rsid w:val="00773F70"/>
    <w:rsid w:val="00773FB7"/>
    <w:rsid w:val="00774210"/>
    <w:rsid w:val="0077425F"/>
    <w:rsid w:val="007743E7"/>
    <w:rsid w:val="00774414"/>
    <w:rsid w:val="00774473"/>
    <w:rsid w:val="007744FD"/>
    <w:rsid w:val="0077459A"/>
    <w:rsid w:val="00774641"/>
    <w:rsid w:val="00774654"/>
    <w:rsid w:val="007746E7"/>
    <w:rsid w:val="00774760"/>
    <w:rsid w:val="00774765"/>
    <w:rsid w:val="007747B0"/>
    <w:rsid w:val="00774812"/>
    <w:rsid w:val="00774900"/>
    <w:rsid w:val="00774922"/>
    <w:rsid w:val="00774947"/>
    <w:rsid w:val="0077495C"/>
    <w:rsid w:val="007749C7"/>
    <w:rsid w:val="007749D2"/>
    <w:rsid w:val="00774A03"/>
    <w:rsid w:val="00774A40"/>
    <w:rsid w:val="00774A6A"/>
    <w:rsid w:val="00774A9E"/>
    <w:rsid w:val="00774AD2"/>
    <w:rsid w:val="00774ADD"/>
    <w:rsid w:val="00774CAF"/>
    <w:rsid w:val="00774D3E"/>
    <w:rsid w:val="00774D78"/>
    <w:rsid w:val="00774DA6"/>
    <w:rsid w:val="00774DD6"/>
    <w:rsid w:val="00774E3D"/>
    <w:rsid w:val="00774E71"/>
    <w:rsid w:val="00774E7E"/>
    <w:rsid w:val="00774EC3"/>
    <w:rsid w:val="00774EFD"/>
    <w:rsid w:val="00774FFC"/>
    <w:rsid w:val="00775035"/>
    <w:rsid w:val="007750DE"/>
    <w:rsid w:val="00775266"/>
    <w:rsid w:val="007752AC"/>
    <w:rsid w:val="0077531A"/>
    <w:rsid w:val="00775322"/>
    <w:rsid w:val="007753A9"/>
    <w:rsid w:val="007753FC"/>
    <w:rsid w:val="0077543D"/>
    <w:rsid w:val="00775485"/>
    <w:rsid w:val="007754CC"/>
    <w:rsid w:val="00775504"/>
    <w:rsid w:val="00775542"/>
    <w:rsid w:val="0077554E"/>
    <w:rsid w:val="00775571"/>
    <w:rsid w:val="007755C5"/>
    <w:rsid w:val="007755E0"/>
    <w:rsid w:val="007755E1"/>
    <w:rsid w:val="0077567C"/>
    <w:rsid w:val="0077569B"/>
    <w:rsid w:val="00775710"/>
    <w:rsid w:val="0077571B"/>
    <w:rsid w:val="00775730"/>
    <w:rsid w:val="007757AD"/>
    <w:rsid w:val="0077582A"/>
    <w:rsid w:val="007758F9"/>
    <w:rsid w:val="0077590E"/>
    <w:rsid w:val="007759D7"/>
    <w:rsid w:val="00775A6C"/>
    <w:rsid w:val="00775ACF"/>
    <w:rsid w:val="00775AD5"/>
    <w:rsid w:val="00775B0A"/>
    <w:rsid w:val="00775B36"/>
    <w:rsid w:val="00775BBC"/>
    <w:rsid w:val="00775BD4"/>
    <w:rsid w:val="00775C84"/>
    <w:rsid w:val="00775D18"/>
    <w:rsid w:val="00775DB8"/>
    <w:rsid w:val="00775DF2"/>
    <w:rsid w:val="00775E2E"/>
    <w:rsid w:val="00775E6F"/>
    <w:rsid w:val="00775F76"/>
    <w:rsid w:val="007760F7"/>
    <w:rsid w:val="00776245"/>
    <w:rsid w:val="00776249"/>
    <w:rsid w:val="007762DD"/>
    <w:rsid w:val="0077633D"/>
    <w:rsid w:val="007763DC"/>
    <w:rsid w:val="0077642D"/>
    <w:rsid w:val="00776433"/>
    <w:rsid w:val="007764BE"/>
    <w:rsid w:val="0077672B"/>
    <w:rsid w:val="0077672C"/>
    <w:rsid w:val="00776775"/>
    <w:rsid w:val="007768CC"/>
    <w:rsid w:val="007768CE"/>
    <w:rsid w:val="0077694E"/>
    <w:rsid w:val="00776966"/>
    <w:rsid w:val="00776988"/>
    <w:rsid w:val="007769B7"/>
    <w:rsid w:val="007769CA"/>
    <w:rsid w:val="00776ADB"/>
    <w:rsid w:val="00776AE9"/>
    <w:rsid w:val="00776B66"/>
    <w:rsid w:val="00776C81"/>
    <w:rsid w:val="00776CD1"/>
    <w:rsid w:val="00776D76"/>
    <w:rsid w:val="00776DEF"/>
    <w:rsid w:val="00776F28"/>
    <w:rsid w:val="00777059"/>
    <w:rsid w:val="00777173"/>
    <w:rsid w:val="007771A1"/>
    <w:rsid w:val="00777251"/>
    <w:rsid w:val="007772E9"/>
    <w:rsid w:val="00777302"/>
    <w:rsid w:val="0077739C"/>
    <w:rsid w:val="00777420"/>
    <w:rsid w:val="00777461"/>
    <w:rsid w:val="007775AC"/>
    <w:rsid w:val="007775C2"/>
    <w:rsid w:val="0077769C"/>
    <w:rsid w:val="00777706"/>
    <w:rsid w:val="0077778C"/>
    <w:rsid w:val="007777D5"/>
    <w:rsid w:val="007777EF"/>
    <w:rsid w:val="007777F1"/>
    <w:rsid w:val="00777869"/>
    <w:rsid w:val="0077789D"/>
    <w:rsid w:val="007778B7"/>
    <w:rsid w:val="00777959"/>
    <w:rsid w:val="00777968"/>
    <w:rsid w:val="00777AC5"/>
    <w:rsid w:val="00777B1C"/>
    <w:rsid w:val="00777B52"/>
    <w:rsid w:val="00777B85"/>
    <w:rsid w:val="00777B87"/>
    <w:rsid w:val="00777CAE"/>
    <w:rsid w:val="00777CDD"/>
    <w:rsid w:val="00777DE6"/>
    <w:rsid w:val="00777E55"/>
    <w:rsid w:val="00777ED0"/>
    <w:rsid w:val="00777F1E"/>
    <w:rsid w:val="00777F21"/>
    <w:rsid w:val="00777F4F"/>
    <w:rsid w:val="00777F86"/>
    <w:rsid w:val="0078011E"/>
    <w:rsid w:val="0078012D"/>
    <w:rsid w:val="007801BB"/>
    <w:rsid w:val="0078021D"/>
    <w:rsid w:val="00780287"/>
    <w:rsid w:val="0078030E"/>
    <w:rsid w:val="00780320"/>
    <w:rsid w:val="0078035C"/>
    <w:rsid w:val="007803BC"/>
    <w:rsid w:val="007803FF"/>
    <w:rsid w:val="00780451"/>
    <w:rsid w:val="00780456"/>
    <w:rsid w:val="007804A8"/>
    <w:rsid w:val="007804E7"/>
    <w:rsid w:val="00780667"/>
    <w:rsid w:val="00780674"/>
    <w:rsid w:val="0078067A"/>
    <w:rsid w:val="0078070E"/>
    <w:rsid w:val="00780761"/>
    <w:rsid w:val="007807A1"/>
    <w:rsid w:val="007807A5"/>
    <w:rsid w:val="0078081D"/>
    <w:rsid w:val="0078084E"/>
    <w:rsid w:val="007808B9"/>
    <w:rsid w:val="007808F3"/>
    <w:rsid w:val="0078091D"/>
    <w:rsid w:val="0078095B"/>
    <w:rsid w:val="00780983"/>
    <w:rsid w:val="00780AAB"/>
    <w:rsid w:val="00780AF1"/>
    <w:rsid w:val="00780B22"/>
    <w:rsid w:val="00780BBF"/>
    <w:rsid w:val="00780BDD"/>
    <w:rsid w:val="00780C56"/>
    <w:rsid w:val="00780C89"/>
    <w:rsid w:val="00780C8E"/>
    <w:rsid w:val="00780CD9"/>
    <w:rsid w:val="00780E6D"/>
    <w:rsid w:val="00780EC3"/>
    <w:rsid w:val="00780ED4"/>
    <w:rsid w:val="00780F4C"/>
    <w:rsid w:val="00780FBB"/>
    <w:rsid w:val="00780FBF"/>
    <w:rsid w:val="00780FD4"/>
    <w:rsid w:val="00781003"/>
    <w:rsid w:val="007810ED"/>
    <w:rsid w:val="007811AE"/>
    <w:rsid w:val="007812B8"/>
    <w:rsid w:val="00781323"/>
    <w:rsid w:val="00781343"/>
    <w:rsid w:val="00781358"/>
    <w:rsid w:val="007813D8"/>
    <w:rsid w:val="007814EB"/>
    <w:rsid w:val="00781525"/>
    <w:rsid w:val="00781526"/>
    <w:rsid w:val="00781548"/>
    <w:rsid w:val="00781672"/>
    <w:rsid w:val="007816BF"/>
    <w:rsid w:val="007817F8"/>
    <w:rsid w:val="00781865"/>
    <w:rsid w:val="00781899"/>
    <w:rsid w:val="00781952"/>
    <w:rsid w:val="00781985"/>
    <w:rsid w:val="00781A83"/>
    <w:rsid w:val="00781A96"/>
    <w:rsid w:val="00781AF9"/>
    <w:rsid w:val="00781BA2"/>
    <w:rsid w:val="00781BE5"/>
    <w:rsid w:val="00781D6C"/>
    <w:rsid w:val="00781EB0"/>
    <w:rsid w:val="00781EE2"/>
    <w:rsid w:val="00781F57"/>
    <w:rsid w:val="00781F7D"/>
    <w:rsid w:val="0078200D"/>
    <w:rsid w:val="00782026"/>
    <w:rsid w:val="007820C4"/>
    <w:rsid w:val="0078212C"/>
    <w:rsid w:val="0078214C"/>
    <w:rsid w:val="007821B1"/>
    <w:rsid w:val="0078222E"/>
    <w:rsid w:val="0078226A"/>
    <w:rsid w:val="007822A2"/>
    <w:rsid w:val="0078235C"/>
    <w:rsid w:val="0078235E"/>
    <w:rsid w:val="00782371"/>
    <w:rsid w:val="00782459"/>
    <w:rsid w:val="007824F2"/>
    <w:rsid w:val="007825D5"/>
    <w:rsid w:val="007826C6"/>
    <w:rsid w:val="00782732"/>
    <w:rsid w:val="007827A2"/>
    <w:rsid w:val="0078288A"/>
    <w:rsid w:val="007828D7"/>
    <w:rsid w:val="00782935"/>
    <w:rsid w:val="0078293E"/>
    <w:rsid w:val="00782A19"/>
    <w:rsid w:val="00782A49"/>
    <w:rsid w:val="00782A99"/>
    <w:rsid w:val="00782AED"/>
    <w:rsid w:val="00782C0E"/>
    <w:rsid w:val="00782C69"/>
    <w:rsid w:val="00782C77"/>
    <w:rsid w:val="00782CF6"/>
    <w:rsid w:val="00782D3B"/>
    <w:rsid w:val="00782D43"/>
    <w:rsid w:val="00782DAE"/>
    <w:rsid w:val="00782DB3"/>
    <w:rsid w:val="00782E25"/>
    <w:rsid w:val="00782E41"/>
    <w:rsid w:val="00782E81"/>
    <w:rsid w:val="00782E9B"/>
    <w:rsid w:val="00782F9F"/>
    <w:rsid w:val="00782FD4"/>
    <w:rsid w:val="007830A5"/>
    <w:rsid w:val="007830F0"/>
    <w:rsid w:val="00783104"/>
    <w:rsid w:val="0078311A"/>
    <w:rsid w:val="00783121"/>
    <w:rsid w:val="0078316D"/>
    <w:rsid w:val="0078321B"/>
    <w:rsid w:val="00783247"/>
    <w:rsid w:val="0078331C"/>
    <w:rsid w:val="0078333A"/>
    <w:rsid w:val="00783419"/>
    <w:rsid w:val="0078350C"/>
    <w:rsid w:val="0078361B"/>
    <w:rsid w:val="00783625"/>
    <w:rsid w:val="007836C3"/>
    <w:rsid w:val="007837D7"/>
    <w:rsid w:val="00783818"/>
    <w:rsid w:val="00783826"/>
    <w:rsid w:val="00783855"/>
    <w:rsid w:val="0078385D"/>
    <w:rsid w:val="007838B4"/>
    <w:rsid w:val="007838F3"/>
    <w:rsid w:val="00783989"/>
    <w:rsid w:val="00783A6C"/>
    <w:rsid w:val="00783A9F"/>
    <w:rsid w:val="00783AD8"/>
    <w:rsid w:val="00783B16"/>
    <w:rsid w:val="00783C90"/>
    <w:rsid w:val="00783CB5"/>
    <w:rsid w:val="00783D4F"/>
    <w:rsid w:val="00783D7B"/>
    <w:rsid w:val="00783E69"/>
    <w:rsid w:val="00783EA5"/>
    <w:rsid w:val="00783EB0"/>
    <w:rsid w:val="00783EBC"/>
    <w:rsid w:val="00783ED7"/>
    <w:rsid w:val="00783FCD"/>
    <w:rsid w:val="00783FD2"/>
    <w:rsid w:val="00784027"/>
    <w:rsid w:val="00784055"/>
    <w:rsid w:val="00784072"/>
    <w:rsid w:val="00784115"/>
    <w:rsid w:val="0078416C"/>
    <w:rsid w:val="0078422C"/>
    <w:rsid w:val="0078435F"/>
    <w:rsid w:val="0078439A"/>
    <w:rsid w:val="007843EC"/>
    <w:rsid w:val="007844F1"/>
    <w:rsid w:val="00784562"/>
    <w:rsid w:val="0078457C"/>
    <w:rsid w:val="007845E8"/>
    <w:rsid w:val="00784611"/>
    <w:rsid w:val="00784667"/>
    <w:rsid w:val="0078473D"/>
    <w:rsid w:val="007847E9"/>
    <w:rsid w:val="0078484C"/>
    <w:rsid w:val="00784967"/>
    <w:rsid w:val="0078496A"/>
    <w:rsid w:val="00784985"/>
    <w:rsid w:val="00784996"/>
    <w:rsid w:val="007849B3"/>
    <w:rsid w:val="007849D6"/>
    <w:rsid w:val="007849E2"/>
    <w:rsid w:val="00784A76"/>
    <w:rsid w:val="00784AE7"/>
    <w:rsid w:val="00784B38"/>
    <w:rsid w:val="00784B8C"/>
    <w:rsid w:val="00784BC9"/>
    <w:rsid w:val="00784C52"/>
    <w:rsid w:val="00784CFC"/>
    <w:rsid w:val="00784D9F"/>
    <w:rsid w:val="00784DF2"/>
    <w:rsid w:val="00784FB2"/>
    <w:rsid w:val="00784FE7"/>
    <w:rsid w:val="00785003"/>
    <w:rsid w:val="00785069"/>
    <w:rsid w:val="0078507D"/>
    <w:rsid w:val="007850B0"/>
    <w:rsid w:val="00785275"/>
    <w:rsid w:val="00785295"/>
    <w:rsid w:val="0078533B"/>
    <w:rsid w:val="00785378"/>
    <w:rsid w:val="0078538E"/>
    <w:rsid w:val="007853E6"/>
    <w:rsid w:val="00785459"/>
    <w:rsid w:val="0078545B"/>
    <w:rsid w:val="00785598"/>
    <w:rsid w:val="007855D0"/>
    <w:rsid w:val="007856C2"/>
    <w:rsid w:val="007857B0"/>
    <w:rsid w:val="007857B6"/>
    <w:rsid w:val="00785834"/>
    <w:rsid w:val="00785840"/>
    <w:rsid w:val="00785854"/>
    <w:rsid w:val="00785867"/>
    <w:rsid w:val="0078588C"/>
    <w:rsid w:val="007858D9"/>
    <w:rsid w:val="007858E2"/>
    <w:rsid w:val="007858E8"/>
    <w:rsid w:val="0078590F"/>
    <w:rsid w:val="00785946"/>
    <w:rsid w:val="007859B0"/>
    <w:rsid w:val="007859BB"/>
    <w:rsid w:val="00785AEC"/>
    <w:rsid w:val="00785B1D"/>
    <w:rsid w:val="00785C13"/>
    <w:rsid w:val="00785C29"/>
    <w:rsid w:val="00785C2F"/>
    <w:rsid w:val="00785C80"/>
    <w:rsid w:val="00785DF8"/>
    <w:rsid w:val="00785E9D"/>
    <w:rsid w:val="00785ED2"/>
    <w:rsid w:val="00785F2B"/>
    <w:rsid w:val="00785FB9"/>
    <w:rsid w:val="0078600A"/>
    <w:rsid w:val="0078604D"/>
    <w:rsid w:val="00786065"/>
    <w:rsid w:val="007860C4"/>
    <w:rsid w:val="0078613B"/>
    <w:rsid w:val="00786158"/>
    <w:rsid w:val="00786174"/>
    <w:rsid w:val="0078619D"/>
    <w:rsid w:val="007861E0"/>
    <w:rsid w:val="007862A2"/>
    <w:rsid w:val="007862DE"/>
    <w:rsid w:val="007862F8"/>
    <w:rsid w:val="00786387"/>
    <w:rsid w:val="007863FC"/>
    <w:rsid w:val="007863FF"/>
    <w:rsid w:val="007864B0"/>
    <w:rsid w:val="007864B3"/>
    <w:rsid w:val="007864C3"/>
    <w:rsid w:val="007864DD"/>
    <w:rsid w:val="0078652B"/>
    <w:rsid w:val="00786554"/>
    <w:rsid w:val="007865EE"/>
    <w:rsid w:val="007865FE"/>
    <w:rsid w:val="00786622"/>
    <w:rsid w:val="00786699"/>
    <w:rsid w:val="00786775"/>
    <w:rsid w:val="007867DB"/>
    <w:rsid w:val="00786823"/>
    <w:rsid w:val="00786897"/>
    <w:rsid w:val="007868A0"/>
    <w:rsid w:val="007868BE"/>
    <w:rsid w:val="0078695C"/>
    <w:rsid w:val="00786973"/>
    <w:rsid w:val="0078698A"/>
    <w:rsid w:val="007869E2"/>
    <w:rsid w:val="00786A57"/>
    <w:rsid w:val="00786B2B"/>
    <w:rsid w:val="00786BBB"/>
    <w:rsid w:val="00786BCA"/>
    <w:rsid w:val="00786BEF"/>
    <w:rsid w:val="00786C06"/>
    <w:rsid w:val="00786C27"/>
    <w:rsid w:val="00786C50"/>
    <w:rsid w:val="00786C52"/>
    <w:rsid w:val="00786D31"/>
    <w:rsid w:val="00786D42"/>
    <w:rsid w:val="00786DC4"/>
    <w:rsid w:val="00786DDD"/>
    <w:rsid w:val="00786E23"/>
    <w:rsid w:val="00786ECA"/>
    <w:rsid w:val="00786ED2"/>
    <w:rsid w:val="00786F04"/>
    <w:rsid w:val="00786F3F"/>
    <w:rsid w:val="00787055"/>
    <w:rsid w:val="00787091"/>
    <w:rsid w:val="00787254"/>
    <w:rsid w:val="0078726D"/>
    <w:rsid w:val="007872F6"/>
    <w:rsid w:val="007872FD"/>
    <w:rsid w:val="0078734D"/>
    <w:rsid w:val="00787390"/>
    <w:rsid w:val="007873E7"/>
    <w:rsid w:val="0078742B"/>
    <w:rsid w:val="0078752E"/>
    <w:rsid w:val="00787588"/>
    <w:rsid w:val="007875F1"/>
    <w:rsid w:val="00787675"/>
    <w:rsid w:val="007876F4"/>
    <w:rsid w:val="007877B5"/>
    <w:rsid w:val="00787833"/>
    <w:rsid w:val="00787906"/>
    <w:rsid w:val="00787951"/>
    <w:rsid w:val="007879A3"/>
    <w:rsid w:val="007879FE"/>
    <w:rsid w:val="00787A5D"/>
    <w:rsid w:val="00787A6E"/>
    <w:rsid w:val="00787AB2"/>
    <w:rsid w:val="00787B10"/>
    <w:rsid w:val="00787B24"/>
    <w:rsid w:val="00787BD6"/>
    <w:rsid w:val="00787BF7"/>
    <w:rsid w:val="00787C12"/>
    <w:rsid w:val="00787C24"/>
    <w:rsid w:val="00787C9E"/>
    <w:rsid w:val="00787CC2"/>
    <w:rsid w:val="00787CD0"/>
    <w:rsid w:val="00787D32"/>
    <w:rsid w:val="00787D62"/>
    <w:rsid w:val="00787DA4"/>
    <w:rsid w:val="00787DC8"/>
    <w:rsid w:val="00787E1A"/>
    <w:rsid w:val="00787E31"/>
    <w:rsid w:val="00787FC0"/>
    <w:rsid w:val="00787FE5"/>
    <w:rsid w:val="0079009A"/>
    <w:rsid w:val="007900BD"/>
    <w:rsid w:val="00790103"/>
    <w:rsid w:val="00790190"/>
    <w:rsid w:val="00790277"/>
    <w:rsid w:val="007902AC"/>
    <w:rsid w:val="00790389"/>
    <w:rsid w:val="007903AB"/>
    <w:rsid w:val="007903CF"/>
    <w:rsid w:val="00790410"/>
    <w:rsid w:val="007904B6"/>
    <w:rsid w:val="007904ED"/>
    <w:rsid w:val="0079052E"/>
    <w:rsid w:val="0079055E"/>
    <w:rsid w:val="00790589"/>
    <w:rsid w:val="007905E2"/>
    <w:rsid w:val="007905FD"/>
    <w:rsid w:val="00790662"/>
    <w:rsid w:val="007906A4"/>
    <w:rsid w:val="007906A5"/>
    <w:rsid w:val="007906F8"/>
    <w:rsid w:val="0079077A"/>
    <w:rsid w:val="0079089E"/>
    <w:rsid w:val="0079093C"/>
    <w:rsid w:val="007909BA"/>
    <w:rsid w:val="00790A22"/>
    <w:rsid w:val="00790A88"/>
    <w:rsid w:val="00790B66"/>
    <w:rsid w:val="00790BDB"/>
    <w:rsid w:val="00790C33"/>
    <w:rsid w:val="00790CD7"/>
    <w:rsid w:val="00790CE5"/>
    <w:rsid w:val="00790DB3"/>
    <w:rsid w:val="00790E23"/>
    <w:rsid w:val="00790E52"/>
    <w:rsid w:val="00790E8F"/>
    <w:rsid w:val="00790E91"/>
    <w:rsid w:val="00790ECF"/>
    <w:rsid w:val="00790F23"/>
    <w:rsid w:val="00790F3E"/>
    <w:rsid w:val="00790F6B"/>
    <w:rsid w:val="00791035"/>
    <w:rsid w:val="007910A2"/>
    <w:rsid w:val="007911B1"/>
    <w:rsid w:val="007911DB"/>
    <w:rsid w:val="0079125C"/>
    <w:rsid w:val="007912AE"/>
    <w:rsid w:val="00791319"/>
    <w:rsid w:val="00791439"/>
    <w:rsid w:val="00791477"/>
    <w:rsid w:val="007914CD"/>
    <w:rsid w:val="007914DB"/>
    <w:rsid w:val="007914EA"/>
    <w:rsid w:val="007915AE"/>
    <w:rsid w:val="007915B0"/>
    <w:rsid w:val="007917D6"/>
    <w:rsid w:val="007918D6"/>
    <w:rsid w:val="007918E8"/>
    <w:rsid w:val="007919F0"/>
    <w:rsid w:val="00791A04"/>
    <w:rsid w:val="00791A2C"/>
    <w:rsid w:val="00791A6D"/>
    <w:rsid w:val="00791A9B"/>
    <w:rsid w:val="00791AC8"/>
    <w:rsid w:val="00791C8E"/>
    <w:rsid w:val="00791C97"/>
    <w:rsid w:val="00791D8B"/>
    <w:rsid w:val="00791E29"/>
    <w:rsid w:val="00791E2C"/>
    <w:rsid w:val="00791ECB"/>
    <w:rsid w:val="00791F5C"/>
    <w:rsid w:val="00791F5F"/>
    <w:rsid w:val="00791F66"/>
    <w:rsid w:val="00791FBB"/>
    <w:rsid w:val="00791FD2"/>
    <w:rsid w:val="007920CB"/>
    <w:rsid w:val="00792161"/>
    <w:rsid w:val="007921E3"/>
    <w:rsid w:val="007921F2"/>
    <w:rsid w:val="00792201"/>
    <w:rsid w:val="0079221B"/>
    <w:rsid w:val="00792262"/>
    <w:rsid w:val="00792286"/>
    <w:rsid w:val="007922E1"/>
    <w:rsid w:val="0079230E"/>
    <w:rsid w:val="00792342"/>
    <w:rsid w:val="0079236F"/>
    <w:rsid w:val="007923B4"/>
    <w:rsid w:val="007923CD"/>
    <w:rsid w:val="007924A1"/>
    <w:rsid w:val="007924D2"/>
    <w:rsid w:val="0079252B"/>
    <w:rsid w:val="00792563"/>
    <w:rsid w:val="007925DF"/>
    <w:rsid w:val="007925E3"/>
    <w:rsid w:val="007925F4"/>
    <w:rsid w:val="00792658"/>
    <w:rsid w:val="007926A2"/>
    <w:rsid w:val="007926C2"/>
    <w:rsid w:val="007926C4"/>
    <w:rsid w:val="007927CC"/>
    <w:rsid w:val="00792826"/>
    <w:rsid w:val="00792889"/>
    <w:rsid w:val="007928EA"/>
    <w:rsid w:val="0079296C"/>
    <w:rsid w:val="0079299E"/>
    <w:rsid w:val="007929E3"/>
    <w:rsid w:val="00792C1A"/>
    <w:rsid w:val="00792CAE"/>
    <w:rsid w:val="00792CE0"/>
    <w:rsid w:val="00792CF5"/>
    <w:rsid w:val="00792D83"/>
    <w:rsid w:val="00792DBD"/>
    <w:rsid w:val="00792F1C"/>
    <w:rsid w:val="00793088"/>
    <w:rsid w:val="007930F3"/>
    <w:rsid w:val="00793192"/>
    <w:rsid w:val="007931CE"/>
    <w:rsid w:val="007931E3"/>
    <w:rsid w:val="007931E5"/>
    <w:rsid w:val="00793206"/>
    <w:rsid w:val="0079320C"/>
    <w:rsid w:val="00793261"/>
    <w:rsid w:val="0079329B"/>
    <w:rsid w:val="00793451"/>
    <w:rsid w:val="00793503"/>
    <w:rsid w:val="00793526"/>
    <w:rsid w:val="0079359A"/>
    <w:rsid w:val="00793630"/>
    <w:rsid w:val="00793686"/>
    <w:rsid w:val="007936DD"/>
    <w:rsid w:val="0079375C"/>
    <w:rsid w:val="0079378E"/>
    <w:rsid w:val="007937C9"/>
    <w:rsid w:val="0079381F"/>
    <w:rsid w:val="00793823"/>
    <w:rsid w:val="00793897"/>
    <w:rsid w:val="007938EB"/>
    <w:rsid w:val="007938F5"/>
    <w:rsid w:val="0079390C"/>
    <w:rsid w:val="007939B4"/>
    <w:rsid w:val="00793A72"/>
    <w:rsid w:val="00793B84"/>
    <w:rsid w:val="00793C23"/>
    <w:rsid w:val="00793C5F"/>
    <w:rsid w:val="00793D55"/>
    <w:rsid w:val="00793DB6"/>
    <w:rsid w:val="00793DD7"/>
    <w:rsid w:val="00793DE0"/>
    <w:rsid w:val="00793DE7"/>
    <w:rsid w:val="00793E20"/>
    <w:rsid w:val="00793EE1"/>
    <w:rsid w:val="00793F1C"/>
    <w:rsid w:val="00793F54"/>
    <w:rsid w:val="0079405B"/>
    <w:rsid w:val="00794074"/>
    <w:rsid w:val="007940E1"/>
    <w:rsid w:val="00794146"/>
    <w:rsid w:val="0079414A"/>
    <w:rsid w:val="00794158"/>
    <w:rsid w:val="00794226"/>
    <w:rsid w:val="007942F7"/>
    <w:rsid w:val="0079432F"/>
    <w:rsid w:val="007943D8"/>
    <w:rsid w:val="0079441F"/>
    <w:rsid w:val="00794495"/>
    <w:rsid w:val="007944D1"/>
    <w:rsid w:val="00794513"/>
    <w:rsid w:val="00794529"/>
    <w:rsid w:val="00794620"/>
    <w:rsid w:val="00794630"/>
    <w:rsid w:val="0079463E"/>
    <w:rsid w:val="007946DD"/>
    <w:rsid w:val="0079485C"/>
    <w:rsid w:val="007948EB"/>
    <w:rsid w:val="007948F2"/>
    <w:rsid w:val="0079499C"/>
    <w:rsid w:val="007949BA"/>
    <w:rsid w:val="00794A69"/>
    <w:rsid w:val="00794A72"/>
    <w:rsid w:val="00794A91"/>
    <w:rsid w:val="00794A9D"/>
    <w:rsid w:val="00794B35"/>
    <w:rsid w:val="00794B60"/>
    <w:rsid w:val="00794B88"/>
    <w:rsid w:val="00794C30"/>
    <w:rsid w:val="00794C77"/>
    <w:rsid w:val="00794D7A"/>
    <w:rsid w:val="00794DB9"/>
    <w:rsid w:val="00794DC5"/>
    <w:rsid w:val="00794DD8"/>
    <w:rsid w:val="00794DF4"/>
    <w:rsid w:val="00794E39"/>
    <w:rsid w:val="00794ED7"/>
    <w:rsid w:val="00794F8F"/>
    <w:rsid w:val="00794FBA"/>
    <w:rsid w:val="00794FF9"/>
    <w:rsid w:val="007950AC"/>
    <w:rsid w:val="00795121"/>
    <w:rsid w:val="0079512E"/>
    <w:rsid w:val="0079514E"/>
    <w:rsid w:val="007951A7"/>
    <w:rsid w:val="00795339"/>
    <w:rsid w:val="00795385"/>
    <w:rsid w:val="007953AF"/>
    <w:rsid w:val="007953CB"/>
    <w:rsid w:val="00795427"/>
    <w:rsid w:val="007954DE"/>
    <w:rsid w:val="007954F5"/>
    <w:rsid w:val="007955F2"/>
    <w:rsid w:val="007956D2"/>
    <w:rsid w:val="0079574E"/>
    <w:rsid w:val="007957CC"/>
    <w:rsid w:val="007957ED"/>
    <w:rsid w:val="00795853"/>
    <w:rsid w:val="00795890"/>
    <w:rsid w:val="007958DC"/>
    <w:rsid w:val="007958E5"/>
    <w:rsid w:val="00795A01"/>
    <w:rsid w:val="00795A03"/>
    <w:rsid w:val="00795BBC"/>
    <w:rsid w:val="00795C85"/>
    <w:rsid w:val="00795CF6"/>
    <w:rsid w:val="00795D03"/>
    <w:rsid w:val="00795ED9"/>
    <w:rsid w:val="00795EEC"/>
    <w:rsid w:val="00795F01"/>
    <w:rsid w:val="00795F8C"/>
    <w:rsid w:val="00795FC5"/>
    <w:rsid w:val="00795FE7"/>
    <w:rsid w:val="00795FF7"/>
    <w:rsid w:val="0079605D"/>
    <w:rsid w:val="00796063"/>
    <w:rsid w:val="00796093"/>
    <w:rsid w:val="007960EC"/>
    <w:rsid w:val="0079629F"/>
    <w:rsid w:val="00796389"/>
    <w:rsid w:val="00796409"/>
    <w:rsid w:val="0079645F"/>
    <w:rsid w:val="00796496"/>
    <w:rsid w:val="007964B4"/>
    <w:rsid w:val="007964BB"/>
    <w:rsid w:val="00796519"/>
    <w:rsid w:val="00796542"/>
    <w:rsid w:val="007965AE"/>
    <w:rsid w:val="007965E9"/>
    <w:rsid w:val="00796745"/>
    <w:rsid w:val="0079677E"/>
    <w:rsid w:val="00796786"/>
    <w:rsid w:val="007967B2"/>
    <w:rsid w:val="00796825"/>
    <w:rsid w:val="0079694D"/>
    <w:rsid w:val="00796998"/>
    <w:rsid w:val="007969B0"/>
    <w:rsid w:val="007969BA"/>
    <w:rsid w:val="00796AB0"/>
    <w:rsid w:val="00796ABD"/>
    <w:rsid w:val="00796B6C"/>
    <w:rsid w:val="00796BD8"/>
    <w:rsid w:val="00796C68"/>
    <w:rsid w:val="00796C71"/>
    <w:rsid w:val="00796D80"/>
    <w:rsid w:val="00796D97"/>
    <w:rsid w:val="00796DA1"/>
    <w:rsid w:val="00796EB7"/>
    <w:rsid w:val="00796ED9"/>
    <w:rsid w:val="00796F1A"/>
    <w:rsid w:val="00796FAE"/>
    <w:rsid w:val="00797020"/>
    <w:rsid w:val="0079705A"/>
    <w:rsid w:val="00797077"/>
    <w:rsid w:val="00797079"/>
    <w:rsid w:val="007970CC"/>
    <w:rsid w:val="00797145"/>
    <w:rsid w:val="007971D6"/>
    <w:rsid w:val="007971ED"/>
    <w:rsid w:val="007971F4"/>
    <w:rsid w:val="00797201"/>
    <w:rsid w:val="0079720C"/>
    <w:rsid w:val="00797265"/>
    <w:rsid w:val="00797280"/>
    <w:rsid w:val="00797291"/>
    <w:rsid w:val="007972B2"/>
    <w:rsid w:val="00797307"/>
    <w:rsid w:val="00797358"/>
    <w:rsid w:val="007974BD"/>
    <w:rsid w:val="007974F5"/>
    <w:rsid w:val="0079755D"/>
    <w:rsid w:val="007975A2"/>
    <w:rsid w:val="007976C6"/>
    <w:rsid w:val="007976FD"/>
    <w:rsid w:val="00797777"/>
    <w:rsid w:val="007977C1"/>
    <w:rsid w:val="007977E9"/>
    <w:rsid w:val="00797810"/>
    <w:rsid w:val="007978F2"/>
    <w:rsid w:val="00797921"/>
    <w:rsid w:val="00797924"/>
    <w:rsid w:val="0079792D"/>
    <w:rsid w:val="00797A56"/>
    <w:rsid w:val="00797AB2"/>
    <w:rsid w:val="00797B1C"/>
    <w:rsid w:val="00797B5E"/>
    <w:rsid w:val="00797BAF"/>
    <w:rsid w:val="00797BEA"/>
    <w:rsid w:val="00797BEE"/>
    <w:rsid w:val="00797CF5"/>
    <w:rsid w:val="00797D0C"/>
    <w:rsid w:val="00797D6D"/>
    <w:rsid w:val="00797DD7"/>
    <w:rsid w:val="00797E6D"/>
    <w:rsid w:val="00797EB3"/>
    <w:rsid w:val="00797ED2"/>
    <w:rsid w:val="00797EEE"/>
    <w:rsid w:val="00797FB2"/>
    <w:rsid w:val="00797FDB"/>
    <w:rsid w:val="007A0036"/>
    <w:rsid w:val="007A006A"/>
    <w:rsid w:val="007A0073"/>
    <w:rsid w:val="007A0120"/>
    <w:rsid w:val="007A012C"/>
    <w:rsid w:val="007A0136"/>
    <w:rsid w:val="007A01AD"/>
    <w:rsid w:val="007A01B3"/>
    <w:rsid w:val="007A02ED"/>
    <w:rsid w:val="007A032F"/>
    <w:rsid w:val="007A035B"/>
    <w:rsid w:val="007A036A"/>
    <w:rsid w:val="007A03DC"/>
    <w:rsid w:val="007A03F2"/>
    <w:rsid w:val="007A0410"/>
    <w:rsid w:val="007A043A"/>
    <w:rsid w:val="007A04B4"/>
    <w:rsid w:val="007A054B"/>
    <w:rsid w:val="007A0588"/>
    <w:rsid w:val="007A0682"/>
    <w:rsid w:val="007A06BA"/>
    <w:rsid w:val="007A06C6"/>
    <w:rsid w:val="007A075F"/>
    <w:rsid w:val="007A0785"/>
    <w:rsid w:val="007A0834"/>
    <w:rsid w:val="007A0B2F"/>
    <w:rsid w:val="007A0B5D"/>
    <w:rsid w:val="007A0BFF"/>
    <w:rsid w:val="007A0C52"/>
    <w:rsid w:val="007A0C76"/>
    <w:rsid w:val="007A0CAD"/>
    <w:rsid w:val="007A0D01"/>
    <w:rsid w:val="007A0D0E"/>
    <w:rsid w:val="007A0DAD"/>
    <w:rsid w:val="007A0F17"/>
    <w:rsid w:val="007A0F47"/>
    <w:rsid w:val="007A0FD2"/>
    <w:rsid w:val="007A1016"/>
    <w:rsid w:val="007A10A0"/>
    <w:rsid w:val="007A1146"/>
    <w:rsid w:val="007A1181"/>
    <w:rsid w:val="007A11E7"/>
    <w:rsid w:val="007A1230"/>
    <w:rsid w:val="007A12A5"/>
    <w:rsid w:val="007A12EC"/>
    <w:rsid w:val="007A1329"/>
    <w:rsid w:val="007A13BC"/>
    <w:rsid w:val="007A1424"/>
    <w:rsid w:val="007A1598"/>
    <w:rsid w:val="007A15A5"/>
    <w:rsid w:val="007A1776"/>
    <w:rsid w:val="007A17AC"/>
    <w:rsid w:val="007A183E"/>
    <w:rsid w:val="007A184D"/>
    <w:rsid w:val="007A187A"/>
    <w:rsid w:val="007A1929"/>
    <w:rsid w:val="007A194A"/>
    <w:rsid w:val="007A1960"/>
    <w:rsid w:val="007A1993"/>
    <w:rsid w:val="007A1A4E"/>
    <w:rsid w:val="007A1AD4"/>
    <w:rsid w:val="007A1B63"/>
    <w:rsid w:val="007A1C23"/>
    <w:rsid w:val="007A1DAE"/>
    <w:rsid w:val="007A1E51"/>
    <w:rsid w:val="007A20B3"/>
    <w:rsid w:val="007A20EC"/>
    <w:rsid w:val="007A215F"/>
    <w:rsid w:val="007A21F7"/>
    <w:rsid w:val="007A221F"/>
    <w:rsid w:val="007A2256"/>
    <w:rsid w:val="007A228C"/>
    <w:rsid w:val="007A22C8"/>
    <w:rsid w:val="007A2333"/>
    <w:rsid w:val="007A2344"/>
    <w:rsid w:val="007A2361"/>
    <w:rsid w:val="007A23AC"/>
    <w:rsid w:val="007A256B"/>
    <w:rsid w:val="007A2623"/>
    <w:rsid w:val="007A267D"/>
    <w:rsid w:val="007A2684"/>
    <w:rsid w:val="007A2685"/>
    <w:rsid w:val="007A26FC"/>
    <w:rsid w:val="007A2732"/>
    <w:rsid w:val="007A2764"/>
    <w:rsid w:val="007A27A6"/>
    <w:rsid w:val="007A27CA"/>
    <w:rsid w:val="007A28DF"/>
    <w:rsid w:val="007A28E9"/>
    <w:rsid w:val="007A2908"/>
    <w:rsid w:val="007A2939"/>
    <w:rsid w:val="007A2963"/>
    <w:rsid w:val="007A297F"/>
    <w:rsid w:val="007A29F7"/>
    <w:rsid w:val="007A2A4A"/>
    <w:rsid w:val="007A2AE6"/>
    <w:rsid w:val="007A2B0D"/>
    <w:rsid w:val="007A2B39"/>
    <w:rsid w:val="007A2B71"/>
    <w:rsid w:val="007A2BBD"/>
    <w:rsid w:val="007A2BCB"/>
    <w:rsid w:val="007A2C04"/>
    <w:rsid w:val="007A2C6F"/>
    <w:rsid w:val="007A2D27"/>
    <w:rsid w:val="007A2D5B"/>
    <w:rsid w:val="007A2DDC"/>
    <w:rsid w:val="007A2E3C"/>
    <w:rsid w:val="007A2E5E"/>
    <w:rsid w:val="007A2EA3"/>
    <w:rsid w:val="007A2ECA"/>
    <w:rsid w:val="007A2F37"/>
    <w:rsid w:val="007A300C"/>
    <w:rsid w:val="007A307F"/>
    <w:rsid w:val="007A3088"/>
    <w:rsid w:val="007A309E"/>
    <w:rsid w:val="007A30F8"/>
    <w:rsid w:val="007A3132"/>
    <w:rsid w:val="007A3141"/>
    <w:rsid w:val="007A3145"/>
    <w:rsid w:val="007A3316"/>
    <w:rsid w:val="007A333D"/>
    <w:rsid w:val="007A33C0"/>
    <w:rsid w:val="007A33EE"/>
    <w:rsid w:val="007A3421"/>
    <w:rsid w:val="007A347B"/>
    <w:rsid w:val="007A3529"/>
    <w:rsid w:val="007A3534"/>
    <w:rsid w:val="007A359F"/>
    <w:rsid w:val="007A35DA"/>
    <w:rsid w:val="007A35F7"/>
    <w:rsid w:val="007A360C"/>
    <w:rsid w:val="007A3629"/>
    <w:rsid w:val="007A36E0"/>
    <w:rsid w:val="007A37DC"/>
    <w:rsid w:val="007A381E"/>
    <w:rsid w:val="007A3887"/>
    <w:rsid w:val="007A3895"/>
    <w:rsid w:val="007A38C4"/>
    <w:rsid w:val="007A3935"/>
    <w:rsid w:val="007A3938"/>
    <w:rsid w:val="007A396E"/>
    <w:rsid w:val="007A39C1"/>
    <w:rsid w:val="007A39DC"/>
    <w:rsid w:val="007A39F9"/>
    <w:rsid w:val="007A3A34"/>
    <w:rsid w:val="007A3AB7"/>
    <w:rsid w:val="007A3AC6"/>
    <w:rsid w:val="007A3ADE"/>
    <w:rsid w:val="007A3B49"/>
    <w:rsid w:val="007A3B92"/>
    <w:rsid w:val="007A3BA6"/>
    <w:rsid w:val="007A3C91"/>
    <w:rsid w:val="007A3CA0"/>
    <w:rsid w:val="007A3CD8"/>
    <w:rsid w:val="007A3CE6"/>
    <w:rsid w:val="007A3D1D"/>
    <w:rsid w:val="007A3D1F"/>
    <w:rsid w:val="007A3DD7"/>
    <w:rsid w:val="007A3E30"/>
    <w:rsid w:val="007A3E45"/>
    <w:rsid w:val="007A3E91"/>
    <w:rsid w:val="007A4043"/>
    <w:rsid w:val="007A405B"/>
    <w:rsid w:val="007A40C6"/>
    <w:rsid w:val="007A40D9"/>
    <w:rsid w:val="007A411B"/>
    <w:rsid w:val="007A4120"/>
    <w:rsid w:val="007A412F"/>
    <w:rsid w:val="007A4143"/>
    <w:rsid w:val="007A421F"/>
    <w:rsid w:val="007A423F"/>
    <w:rsid w:val="007A427D"/>
    <w:rsid w:val="007A42BB"/>
    <w:rsid w:val="007A42C7"/>
    <w:rsid w:val="007A42D0"/>
    <w:rsid w:val="007A42E9"/>
    <w:rsid w:val="007A42EE"/>
    <w:rsid w:val="007A430F"/>
    <w:rsid w:val="007A43AA"/>
    <w:rsid w:val="007A444E"/>
    <w:rsid w:val="007A4473"/>
    <w:rsid w:val="007A44D0"/>
    <w:rsid w:val="007A44F2"/>
    <w:rsid w:val="007A44F6"/>
    <w:rsid w:val="007A44FA"/>
    <w:rsid w:val="007A459A"/>
    <w:rsid w:val="007A45FC"/>
    <w:rsid w:val="007A4615"/>
    <w:rsid w:val="007A4662"/>
    <w:rsid w:val="007A47EE"/>
    <w:rsid w:val="007A482B"/>
    <w:rsid w:val="007A4839"/>
    <w:rsid w:val="007A48A2"/>
    <w:rsid w:val="007A48F0"/>
    <w:rsid w:val="007A4957"/>
    <w:rsid w:val="007A4961"/>
    <w:rsid w:val="007A499F"/>
    <w:rsid w:val="007A49C2"/>
    <w:rsid w:val="007A4AD9"/>
    <w:rsid w:val="007A4B18"/>
    <w:rsid w:val="007A4B4F"/>
    <w:rsid w:val="007A4B52"/>
    <w:rsid w:val="007A4BA6"/>
    <w:rsid w:val="007A4BBB"/>
    <w:rsid w:val="007A4C02"/>
    <w:rsid w:val="007A4C20"/>
    <w:rsid w:val="007A4C4A"/>
    <w:rsid w:val="007A4CE4"/>
    <w:rsid w:val="007A4D11"/>
    <w:rsid w:val="007A4D12"/>
    <w:rsid w:val="007A4D21"/>
    <w:rsid w:val="007A4E07"/>
    <w:rsid w:val="007A4E6A"/>
    <w:rsid w:val="007A4E7E"/>
    <w:rsid w:val="007A4EBA"/>
    <w:rsid w:val="007A4F07"/>
    <w:rsid w:val="007A4F72"/>
    <w:rsid w:val="007A4F7A"/>
    <w:rsid w:val="007A4FDC"/>
    <w:rsid w:val="007A5012"/>
    <w:rsid w:val="007A50CF"/>
    <w:rsid w:val="007A50E8"/>
    <w:rsid w:val="007A51C6"/>
    <w:rsid w:val="007A52A1"/>
    <w:rsid w:val="007A5383"/>
    <w:rsid w:val="007A53DC"/>
    <w:rsid w:val="007A53F1"/>
    <w:rsid w:val="007A5472"/>
    <w:rsid w:val="007A54B5"/>
    <w:rsid w:val="007A5580"/>
    <w:rsid w:val="007A5587"/>
    <w:rsid w:val="007A559B"/>
    <w:rsid w:val="007A564C"/>
    <w:rsid w:val="007A564F"/>
    <w:rsid w:val="007A56DA"/>
    <w:rsid w:val="007A5721"/>
    <w:rsid w:val="007A57CF"/>
    <w:rsid w:val="007A58B7"/>
    <w:rsid w:val="007A5A16"/>
    <w:rsid w:val="007A5A55"/>
    <w:rsid w:val="007A5A7D"/>
    <w:rsid w:val="007A5ADD"/>
    <w:rsid w:val="007A5AE7"/>
    <w:rsid w:val="007A5B1E"/>
    <w:rsid w:val="007A5B62"/>
    <w:rsid w:val="007A5B82"/>
    <w:rsid w:val="007A5BB6"/>
    <w:rsid w:val="007A5C20"/>
    <w:rsid w:val="007A5CEF"/>
    <w:rsid w:val="007A5D6F"/>
    <w:rsid w:val="007A5D82"/>
    <w:rsid w:val="007A5F21"/>
    <w:rsid w:val="007A5F83"/>
    <w:rsid w:val="007A5FEC"/>
    <w:rsid w:val="007A6019"/>
    <w:rsid w:val="007A602A"/>
    <w:rsid w:val="007A6106"/>
    <w:rsid w:val="007A61B3"/>
    <w:rsid w:val="007A625E"/>
    <w:rsid w:val="007A6296"/>
    <w:rsid w:val="007A6367"/>
    <w:rsid w:val="007A6368"/>
    <w:rsid w:val="007A6392"/>
    <w:rsid w:val="007A63E4"/>
    <w:rsid w:val="007A6458"/>
    <w:rsid w:val="007A648F"/>
    <w:rsid w:val="007A64E0"/>
    <w:rsid w:val="007A65AA"/>
    <w:rsid w:val="007A6693"/>
    <w:rsid w:val="007A6695"/>
    <w:rsid w:val="007A66A3"/>
    <w:rsid w:val="007A66F5"/>
    <w:rsid w:val="007A673C"/>
    <w:rsid w:val="007A6764"/>
    <w:rsid w:val="007A678D"/>
    <w:rsid w:val="007A67CB"/>
    <w:rsid w:val="007A67D9"/>
    <w:rsid w:val="007A67EB"/>
    <w:rsid w:val="007A68DA"/>
    <w:rsid w:val="007A68FE"/>
    <w:rsid w:val="007A6998"/>
    <w:rsid w:val="007A69F0"/>
    <w:rsid w:val="007A6A0E"/>
    <w:rsid w:val="007A6A77"/>
    <w:rsid w:val="007A6A9E"/>
    <w:rsid w:val="007A6BEF"/>
    <w:rsid w:val="007A6C7A"/>
    <w:rsid w:val="007A6CCF"/>
    <w:rsid w:val="007A6CDB"/>
    <w:rsid w:val="007A6D14"/>
    <w:rsid w:val="007A6D1E"/>
    <w:rsid w:val="007A6D6F"/>
    <w:rsid w:val="007A6D9D"/>
    <w:rsid w:val="007A6F5E"/>
    <w:rsid w:val="007A7004"/>
    <w:rsid w:val="007A703D"/>
    <w:rsid w:val="007A70C7"/>
    <w:rsid w:val="007A7153"/>
    <w:rsid w:val="007A7290"/>
    <w:rsid w:val="007A72AB"/>
    <w:rsid w:val="007A73B2"/>
    <w:rsid w:val="007A73D1"/>
    <w:rsid w:val="007A73ED"/>
    <w:rsid w:val="007A7492"/>
    <w:rsid w:val="007A7507"/>
    <w:rsid w:val="007A753C"/>
    <w:rsid w:val="007A755D"/>
    <w:rsid w:val="007A7586"/>
    <w:rsid w:val="007A7598"/>
    <w:rsid w:val="007A7647"/>
    <w:rsid w:val="007A7685"/>
    <w:rsid w:val="007A76DE"/>
    <w:rsid w:val="007A76EB"/>
    <w:rsid w:val="007A77BE"/>
    <w:rsid w:val="007A77D5"/>
    <w:rsid w:val="007A7804"/>
    <w:rsid w:val="007A781B"/>
    <w:rsid w:val="007A78B7"/>
    <w:rsid w:val="007A78C0"/>
    <w:rsid w:val="007A7C2F"/>
    <w:rsid w:val="007A7C62"/>
    <w:rsid w:val="007A7C83"/>
    <w:rsid w:val="007A7CD5"/>
    <w:rsid w:val="007A7DE7"/>
    <w:rsid w:val="007A7F68"/>
    <w:rsid w:val="007B0009"/>
    <w:rsid w:val="007B0022"/>
    <w:rsid w:val="007B0041"/>
    <w:rsid w:val="007B0093"/>
    <w:rsid w:val="007B012B"/>
    <w:rsid w:val="007B0132"/>
    <w:rsid w:val="007B014F"/>
    <w:rsid w:val="007B0170"/>
    <w:rsid w:val="007B017C"/>
    <w:rsid w:val="007B01D7"/>
    <w:rsid w:val="007B029E"/>
    <w:rsid w:val="007B02BC"/>
    <w:rsid w:val="007B02D1"/>
    <w:rsid w:val="007B02E9"/>
    <w:rsid w:val="007B02F6"/>
    <w:rsid w:val="007B034F"/>
    <w:rsid w:val="007B035C"/>
    <w:rsid w:val="007B0385"/>
    <w:rsid w:val="007B038E"/>
    <w:rsid w:val="007B052D"/>
    <w:rsid w:val="007B05CA"/>
    <w:rsid w:val="007B061A"/>
    <w:rsid w:val="007B069B"/>
    <w:rsid w:val="007B06D8"/>
    <w:rsid w:val="007B06E8"/>
    <w:rsid w:val="007B087E"/>
    <w:rsid w:val="007B096E"/>
    <w:rsid w:val="007B0A48"/>
    <w:rsid w:val="007B0A90"/>
    <w:rsid w:val="007B0AAA"/>
    <w:rsid w:val="007B0AD8"/>
    <w:rsid w:val="007B0B1F"/>
    <w:rsid w:val="007B0B48"/>
    <w:rsid w:val="007B0BFB"/>
    <w:rsid w:val="007B0C13"/>
    <w:rsid w:val="007B0C1F"/>
    <w:rsid w:val="007B0D2A"/>
    <w:rsid w:val="007B0D8A"/>
    <w:rsid w:val="007B0DFC"/>
    <w:rsid w:val="007B0E53"/>
    <w:rsid w:val="007B0E5D"/>
    <w:rsid w:val="007B0ED2"/>
    <w:rsid w:val="007B0F0B"/>
    <w:rsid w:val="007B0F13"/>
    <w:rsid w:val="007B0FD2"/>
    <w:rsid w:val="007B1000"/>
    <w:rsid w:val="007B1037"/>
    <w:rsid w:val="007B10A3"/>
    <w:rsid w:val="007B10B4"/>
    <w:rsid w:val="007B111B"/>
    <w:rsid w:val="007B1161"/>
    <w:rsid w:val="007B1179"/>
    <w:rsid w:val="007B11CD"/>
    <w:rsid w:val="007B11E5"/>
    <w:rsid w:val="007B12F4"/>
    <w:rsid w:val="007B130E"/>
    <w:rsid w:val="007B1356"/>
    <w:rsid w:val="007B135E"/>
    <w:rsid w:val="007B1370"/>
    <w:rsid w:val="007B1391"/>
    <w:rsid w:val="007B13C7"/>
    <w:rsid w:val="007B1405"/>
    <w:rsid w:val="007B141A"/>
    <w:rsid w:val="007B1456"/>
    <w:rsid w:val="007B153D"/>
    <w:rsid w:val="007B15AA"/>
    <w:rsid w:val="007B166A"/>
    <w:rsid w:val="007B167B"/>
    <w:rsid w:val="007B169F"/>
    <w:rsid w:val="007B16B7"/>
    <w:rsid w:val="007B16DF"/>
    <w:rsid w:val="007B16E3"/>
    <w:rsid w:val="007B1755"/>
    <w:rsid w:val="007B1760"/>
    <w:rsid w:val="007B1776"/>
    <w:rsid w:val="007B1819"/>
    <w:rsid w:val="007B182A"/>
    <w:rsid w:val="007B1857"/>
    <w:rsid w:val="007B18A3"/>
    <w:rsid w:val="007B18DF"/>
    <w:rsid w:val="007B193B"/>
    <w:rsid w:val="007B199A"/>
    <w:rsid w:val="007B1AEA"/>
    <w:rsid w:val="007B1C8D"/>
    <w:rsid w:val="007B1C98"/>
    <w:rsid w:val="007B1D0D"/>
    <w:rsid w:val="007B1DC6"/>
    <w:rsid w:val="007B1DE3"/>
    <w:rsid w:val="007B1E15"/>
    <w:rsid w:val="007B1E3C"/>
    <w:rsid w:val="007B1E56"/>
    <w:rsid w:val="007B1ED6"/>
    <w:rsid w:val="007B1F1C"/>
    <w:rsid w:val="007B1F7F"/>
    <w:rsid w:val="007B1FAD"/>
    <w:rsid w:val="007B2017"/>
    <w:rsid w:val="007B20AE"/>
    <w:rsid w:val="007B20D6"/>
    <w:rsid w:val="007B20FB"/>
    <w:rsid w:val="007B2101"/>
    <w:rsid w:val="007B2184"/>
    <w:rsid w:val="007B223D"/>
    <w:rsid w:val="007B2251"/>
    <w:rsid w:val="007B232E"/>
    <w:rsid w:val="007B2348"/>
    <w:rsid w:val="007B236B"/>
    <w:rsid w:val="007B2372"/>
    <w:rsid w:val="007B2416"/>
    <w:rsid w:val="007B245D"/>
    <w:rsid w:val="007B2553"/>
    <w:rsid w:val="007B2726"/>
    <w:rsid w:val="007B27FF"/>
    <w:rsid w:val="007B280B"/>
    <w:rsid w:val="007B289A"/>
    <w:rsid w:val="007B28BA"/>
    <w:rsid w:val="007B2962"/>
    <w:rsid w:val="007B2972"/>
    <w:rsid w:val="007B29E3"/>
    <w:rsid w:val="007B2B5F"/>
    <w:rsid w:val="007B2B98"/>
    <w:rsid w:val="007B2C67"/>
    <w:rsid w:val="007B2C82"/>
    <w:rsid w:val="007B2DDE"/>
    <w:rsid w:val="007B2DE5"/>
    <w:rsid w:val="007B2E0F"/>
    <w:rsid w:val="007B2E4C"/>
    <w:rsid w:val="007B2E59"/>
    <w:rsid w:val="007B2EC5"/>
    <w:rsid w:val="007B2F82"/>
    <w:rsid w:val="007B2FFF"/>
    <w:rsid w:val="007B3006"/>
    <w:rsid w:val="007B305D"/>
    <w:rsid w:val="007B307F"/>
    <w:rsid w:val="007B3080"/>
    <w:rsid w:val="007B3086"/>
    <w:rsid w:val="007B3087"/>
    <w:rsid w:val="007B309B"/>
    <w:rsid w:val="007B30C2"/>
    <w:rsid w:val="007B30CD"/>
    <w:rsid w:val="007B333C"/>
    <w:rsid w:val="007B33DB"/>
    <w:rsid w:val="007B33EB"/>
    <w:rsid w:val="007B3453"/>
    <w:rsid w:val="007B348E"/>
    <w:rsid w:val="007B354C"/>
    <w:rsid w:val="007B3553"/>
    <w:rsid w:val="007B35A2"/>
    <w:rsid w:val="007B35A7"/>
    <w:rsid w:val="007B35F2"/>
    <w:rsid w:val="007B3637"/>
    <w:rsid w:val="007B377F"/>
    <w:rsid w:val="007B37BC"/>
    <w:rsid w:val="007B37F0"/>
    <w:rsid w:val="007B37F7"/>
    <w:rsid w:val="007B3810"/>
    <w:rsid w:val="007B385D"/>
    <w:rsid w:val="007B3A19"/>
    <w:rsid w:val="007B3A35"/>
    <w:rsid w:val="007B3AF4"/>
    <w:rsid w:val="007B3BC0"/>
    <w:rsid w:val="007B3C70"/>
    <w:rsid w:val="007B3D08"/>
    <w:rsid w:val="007B3D94"/>
    <w:rsid w:val="007B3DAC"/>
    <w:rsid w:val="007B3E9C"/>
    <w:rsid w:val="007B3ED1"/>
    <w:rsid w:val="007B3ED2"/>
    <w:rsid w:val="007B3EE5"/>
    <w:rsid w:val="007B3F21"/>
    <w:rsid w:val="007B3F5C"/>
    <w:rsid w:val="007B404C"/>
    <w:rsid w:val="007B4180"/>
    <w:rsid w:val="007B41A7"/>
    <w:rsid w:val="007B41A9"/>
    <w:rsid w:val="007B41B5"/>
    <w:rsid w:val="007B41F5"/>
    <w:rsid w:val="007B4245"/>
    <w:rsid w:val="007B4285"/>
    <w:rsid w:val="007B42AB"/>
    <w:rsid w:val="007B432B"/>
    <w:rsid w:val="007B457C"/>
    <w:rsid w:val="007B45B8"/>
    <w:rsid w:val="007B45DA"/>
    <w:rsid w:val="007B4619"/>
    <w:rsid w:val="007B4639"/>
    <w:rsid w:val="007B4673"/>
    <w:rsid w:val="007B46B1"/>
    <w:rsid w:val="007B46CA"/>
    <w:rsid w:val="007B4708"/>
    <w:rsid w:val="007B475D"/>
    <w:rsid w:val="007B47A4"/>
    <w:rsid w:val="007B47BD"/>
    <w:rsid w:val="007B47FD"/>
    <w:rsid w:val="007B4928"/>
    <w:rsid w:val="007B49F1"/>
    <w:rsid w:val="007B4BE1"/>
    <w:rsid w:val="007B4C12"/>
    <w:rsid w:val="007B4C55"/>
    <w:rsid w:val="007B4D21"/>
    <w:rsid w:val="007B4DF9"/>
    <w:rsid w:val="007B4E11"/>
    <w:rsid w:val="007B4E12"/>
    <w:rsid w:val="007B4EC3"/>
    <w:rsid w:val="007B4F57"/>
    <w:rsid w:val="007B500C"/>
    <w:rsid w:val="007B509C"/>
    <w:rsid w:val="007B50E9"/>
    <w:rsid w:val="007B51A3"/>
    <w:rsid w:val="007B51BD"/>
    <w:rsid w:val="007B51D4"/>
    <w:rsid w:val="007B5227"/>
    <w:rsid w:val="007B527B"/>
    <w:rsid w:val="007B534B"/>
    <w:rsid w:val="007B5367"/>
    <w:rsid w:val="007B53A1"/>
    <w:rsid w:val="007B54B5"/>
    <w:rsid w:val="007B54DF"/>
    <w:rsid w:val="007B5517"/>
    <w:rsid w:val="007B55E6"/>
    <w:rsid w:val="007B571D"/>
    <w:rsid w:val="007B572E"/>
    <w:rsid w:val="007B5760"/>
    <w:rsid w:val="007B584B"/>
    <w:rsid w:val="007B5866"/>
    <w:rsid w:val="007B5885"/>
    <w:rsid w:val="007B59E7"/>
    <w:rsid w:val="007B59ED"/>
    <w:rsid w:val="007B5A48"/>
    <w:rsid w:val="007B5ABA"/>
    <w:rsid w:val="007B5ADB"/>
    <w:rsid w:val="007B5B69"/>
    <w:rsid w:val="007B5BBE"/>
    <w:rsid w:val="007B5BC6"/>
    <w:rsid w:val="007B5CA5"/>
    <w:rsid w:val="007B5CB5"/>
    <w:rsid w:val="007B5D1B"/>
    <w:rsid w:val="007B5DB1"/>
    <w:rsid w:val="007B5E1C"/>
    <w:rsid w:val="007B5E2F"/>
    <w:rsid w:val="007B5EA4"/>
    <w:rsid w:val="007B5EA5"/>
    <w:rsid w:val="007B5EBC"/>
    <w:rsid w:val="007B5F12"/>
    <w:rsid w:val="007B5F1A"/>
    <w:rsid w:val="007B601D"/>
    <w:rsid w:val="007B6034"/>
    <w:rsid w:val="007B608F"/>
    <w:rsid w:val="007B60A9"/>
    <w:rsid w:val="007B60BD"/>
    <w:rsid w:val="007B6228"/>
    <w:rsid w:val="007B6249"/>
    <w:rsid w:val="007B626C"/>
    <w:rsid w:val="007B630B"/>
    <w:rsid w:val="007B63AE"/>
    <w:rsid w:val="007B6553"/>
    <w:rsid w:val="007B6587"/>
    <w:rsid w:val="007B65B3"/>
    <w:rsid w:val="007B65C4"/>
    <w:rsid w:val="007B65EA"/>
    <w:rsid w:val="007B6604"/>
    <w:rsid w:val="007B677D"/>
    <w:rsid w:val="007B678B"/>
    <w:rsid w:val="007B67F3"/>
    <w:rsid w:val="007B685F"/>
    <w:rsid w:val="007B68BE"/>
    <w:rsid w:val="007B6935"/>
    <w:rsid w:val="007B693E"/>
    <w:rsid w:val="007B69C1"/>
    <w:rsid w:val="007B6A17"/>
    <w:rsid w:val="007B6A6E"/>
    <w:rsid w:val="007B6AAA"/>
    <w:rsid w:val="007B6AF5"/>
    <w:rsid w:val="007B6B31"/>
    <w:rsid w:val="007B6BB5"/>
    <w:rsid w:val="007B6C26"/>
    <w:rsid w:val="007B6CB4"/>
    <w:rsid w:val="007B6D88"/>
    <w:rsid w:val="007B6DB6"/>
    <w:rsid w:val="007B6EA2"/>
    <w:rsid w:val="007B6F61"/>
    <w:rsid w:val="007B6F9E"/>
    <w:rsid w:val="007B6FE2"/>
    <w:rsid w:val="007B70DD"/>
    <w:rsid w:val="007B70EE"/>
    <w:rsid w:val="007B712E"/>
    <w:rsid w:val="007B7155"/>
    <w:rsid w:val="007B71E1"/>
    <w:rsid w:val="007B7221"/>
    <w:rsid w:val="007B724F"/>
    <w:rsid w:val="007B72E0"/>
    <w:rsid w:val="007B73EF"/>
    <w:rsid w:val="007B7421"/>
    <w:rsid w:val="007B75AE"/>
    <w:rsid w:val="007B76AA"/>
    <w:rsid w:val="007B7763"/>
    <w:rsid w:val="007B77BC"/>
    <w:rsid w:val="007B7810"/>
    <w:rsid w:val="007B7856"/>
    <w:rsid w:val="007B787A"/>
    <w:rsid w:val="007B789E"/>
    <w:rsid w:val="007B78BD"/>
    <w:rsid w:val="007B78EB"/>
    <w:rsid w:val="007B7934"/>
    <w:rsid w:val="007B7996"/>
    <w:rsid w:val="007B7A3A"/>
    <w:rsid w:val="007B7A52"/>
    <w:rsid w:val="007B7B56"/>
    <w:rsid w:val="007B7B93"/>
    <w:rsid w:val="007B7C49"/>
    <w:rsid w:val="007B7CE4"/>
    <w:rsid w:val="007B7E17"/>
    <w:rsid w:val="007B7E22"/>
    <w:rsid w:val="007B7E87"/>
    <w:rsid w:val="007B7EB2"/>
    <w:rsid w:val="007B7EBE"/>
    <w:rsid w:val="007B7F6D"/>
    <w:rsid w:val="007B7FB4"/>
    <w:rsid w:val="007C003F"/>
    <w:rsid w:val="007C0132"/>
    <w:rsid w:val="007C019D"/>
    <w:rsid w:val="007C021E"/>
    <w:rsid w:val="007C0287"/>
    <w:rsid w:val="007C029E"/>
    <w:rsid w:val="007C0317"/>
    <w:rsid w:val="007C03D0"/>
    <w:rsid w:val="007C0423"/>
    <w:rsid w:val="007C046E"/>
    <w:rsid w:val="007C0493"/>
    <w:rsid w:val="007C04DA"/>
    <w:rsid w:val="007C04E0"/>
    <w:rsid w:val="007C052D"/>
    <w:rsid w:val="007C0530"/>
    <w:rsid w:val="007C0546"/>
    <w:rsid w:val="007C0575"/>
    <w:rsid w:val="007C05DA"/>
    <w:rsid w:val="007C0648"/>
    <w:rsid w:val="007C0652"/>
    <w:rsid w:val="007C06DB"/>
    <w:rsid w:val="007C07A0"/>
    <w:rsid w:val="007C07EF"/>
    <w:rsid w:val="007C081A"/>
    <w:rsid w:val="007C086B"/>
    <w:rsid w:val="007C09AD"/>
    <w:rsid w:val="007C09B3"/>
    <w:rsid w:val="007C09C9"/>
    <w:rsid w:val="007C09CE"/>
    <w:rsid w:val="007C0A32"/>
    <w:rsid w:val="007C0A99"/>
    <w:rsid w:val="007C0B2C"/>
    <w:rsid w:val="007C0B3C"/>
    <w:rsid w:val="007C0BE1"/>
    <w:rsid w:val="007C0C2F"/>
    <w:rsid w:val="007C0CE7"/>
    <w:rsid w:val="007C0E41"/>
    <w:rsid w:val="007C0E76"/>
    <w:rsid w:val="007C0EAE"/>
    <w:rsid w:val="007C0F00"/>
    <w:rsid w:val="007C0F53"/>
    <w:rsid w:val="007C0FA6"/>
    <w:rsid w:val="007C1156"/>
    <w:rsid w:val="007C11AE"/>
    <w:rsid w:val="007C1256"/>
    <w:rsid w:val="007C13BD"/>
    <w:rsid w:val="007C13F1"/>
    <w:rsid w:val="007C1541"/>
    <w:rsid w:val="007C15EA"/>
    <w:rsid w:val="007C1634"/>
    <w:rsid w:val="007C1738"/>
    <w:rsid w:val="007C17CD"/>
    <w:rsid w:val="007C17E1"/>
    <w:rsid w:val="007C181D"/>
    <w:rsid w:val="007C18F7"/>
    <w:rsid w:val="007C1978"/>
    <w:rsid w:val="007C1A86"/>
    <w:rsid w:val="007C1AE9"/>
    <w:rsid w:val="007C1BE2"/>
    <w:rsid w:val="007C1C50"/>
    <w:rsid w:val="007C1C65"/>
    <w:rsid w:val="007C1C67"/>
    <w:rsid w:val="007C1D4F"/>
    <w:rsid w:val="007C1D5B"/>
    <w:rsid w:val="007C1DC5"/>
    <w:rsid w:val="007C1E20"/>
    <w:rsid w:val="007C1E4B"/>
    <w:rsid w:val="007C1E5A"/>
    <w:rsid w:val="007C1F1A"/>
    <w:rsid w:val="007C1F20"/>
    <w:rsid w:val="007C1F8F"/>
    <w:rsid w:val="007C2024"/>
    <w:rsid w:val="007C204B"/>
    <w:rsid w:val="007C20AF"/>
    <w:rsid w:val="007C2100"/>
    <w:rsid w:val="007C211B"/>
    <w:rsid w:val="007C2171"/>
    <w:rsid w:val="007C22FA"/>
    <w:rsid w:val="007C22FB"/>
    <w:rsid w:val="007C232F"/>
    <w:rsid w:val="007C2367"/>
    <w:rsid w:val="007C2370"/>
    <w:rsid w:val="007C23A5"/>
    <w:rsid w:val="007C23DA"/>
    <w:rsid w:val="007C24F4"/>
    <w:rsid w:val="007C250A"/>
    <w:rsid w:val="007C250C"/>
    <w:rsid w:val="007C25FA"/>
    <w:rsid w:val="007C2607"/>
    <w:rsid w:val="007C278D"/>
    <w:rsid w:val="007C27E4"/>
    <w:rsid w:val="007C2884"/>
    <w:rsid w:val="007C28C2"/>
    <w:rsid w:val="007C28EA"/>
    <w:rsid w:val="007C2938"/>
    <w:rsid w:val="007C2962"/>
    <w:rsid w:val="007C29AD"/>
    <w:rsid w:val="007C2A00"/>
    <w:rsid w:val="007C2A1D"/>
    <w:rsid w:val="007C2C76"/>
    <w:rsid w:val="007C2CDA"/>
    <w:rsid w:val="007C2CE0"/>
    <w:rsid w:val="007C2CFE"/>
    <w:rsid w:val="007C2D9E"/>
    <w:rsid w:val="007C2DD4"/>
    <w:rsid w:val="007C2E49"/>
    <w:rsid w:val="007C2E80"/>
    <w:rsid w:val="007C2EA0"/>
    <w:rsid w:val="007C2EC2"/>
    <w:rsid w:val="007C3019"/>
    <w:rsid w:val="007C30DF"/>
    <w:rsid w:val="007C3119"/>
    <w:rsid w:val="007C3129"/>
    <w:rsid w:val="007C314C"/>
    <w:rsid w:val="007C315C"/>
    <w:rsid w:val="007C317D"/>
    <w:rsid w:val="007C3198"/>
    <w:rsid w:val="007C3225"/>
    <w:rsid w:val="007C32C7"/>
    <w:rsid w:val="007C3342"/>
    <w:rsid w:val="007C3394"/>
    <w:rsid w:val="007C3397"/>
    <w:rsid w:val="007C33B1"/>
    <w:rsid w:val="007C33E7"/>
    <w:rsid w:val="007C3546"/>
    <w:rsid w:val="007C3567"/>
    <w:rsid w:val="007C369E"/>
    <w:rsid w:val="007C3776"/>
    <w:rsid w:val="007C3931"/>
    <w:rsid w:val="007C393B"/>
    <w:rsid w:val="007C3968"/>
    <w:rsid w:val="007C39CF"/>
    <w:rsid w:val="007C3AF6"/>
    <w:rsid w:val="007C3B16"/>
    <w:rsid w:val="007C3BE7"/>
    <w:rsid w:val="007C3C3E"/>
    <w:rsid w:val="007C3D44"/>
    <w:rsid w:val="007C3D45"/>
    <w:rsid w:val="007C3DF4"/>
    <w:rsid w:val="007C3E16"/>
    <w:rsid w:val="007C3E3C"/>
    <w:rsid w:val="007C3E88"/>
    <w:rsid w:val="007C3F00"/>
    <w:rsid w:val="007C3F74"/>
    <w:rsid w:val="007C405F"/>
    <w:rsid w:val="007C40D3"/>
    <w:rsid w:val="007C4178"/>
    <w:rsid w:val="007C41A0"/>
    <w:rsid w:val="007C4217"/>
    <w:rsid w:val="007C424A"/>
    <w:rsid w:val="007C424B"/>
    <w:rsid w:val="007C429C"/>
    <w:rsid w:val="007C42BD"/>
    <w:rsid w:val="007C430F"/>
    <w:rsid w:val="007C4368"/>
    <w:rsid w:val="007C437A"/>
    <w:rsid w:val="007C440D"/>
    <w:rsid w:val="007C44CD"/>
    <w:rsid w:val="007C4639"/>
    <w:rsid w:val="007C46B9"/>
    <w:rsid w:val="007C46F8"/>
    <w:rsid w:val="007C46FC"/>
    <w:rsid w:val="007C46FE"/>
    <w:rsid w:val="007C4716"/>
    <w:rsid w:val="007C4766"/>
    <w:rsid w:val="007C47D8"/>
    <w:rsid w:val="007C4871"/>
    <w:rsid w:val="007C4882"/>
    <w:rsid w:val="007C493D"/>
    <w:rsid w:val="007C4970"/>
    <w:rsid w:val="007C4AD0"/>
    <w:rsid w:val="007C4CAE"/>
    <w:rsid w:val="007C4D3D"/>
    <w:rsid w:val="007C4D84"/>
    <w:rsid w:val="007C4E4B"/>
    <w:rsid w:val="007C4EB9"/>
    <w:rsid w:val="007C4ED1"/>
    <w:rsid w:val="007C4EE4"/>
    <w:rsid w:val="007C4F3B"/>
    <w:rsid w:val="007C4F98"/>
    <w:rsid w:val="007C4FC9"/>
    <w:rsid w:val="007C5065"/>
    <w:rsid w:val="007C51B2"/>
    <w:rsid w:val="007C51C5"/>
    <w:rsid w:val="007C51E6"/>
    <w:rsid w:val="007C5201"/>
    <w:rsid w:val="007C524A"/>
    <w:rsid w:val="007C52E0"/>
    <w:rsid w:val="007C5301"/>
    <w:rsid w:val="007C5312"/>
    <w:rsid w:val="007C5366"/>
    <w:rsid w:val="007C53DB"/>
    <w:rsid w:val="007C542C"/>
    <w:rsid w:val="007C54CE"/>
    <w:rsid w:val="007C54E6"/>
    <w:rsid w:val="007C5531"/>
    <w:rsid w:val="007C555F"/>
    <w:rsid w:val="007C557C"/>
    <w:rsid w:val="007C55B8"/>
    <w:rsid w:val="007C567B"/>
    <w:rsid w:val="007C5692"/>
    <w:rsid w:val="007C569D"/>
    <w:rsid w:val="007C576B"/>
    <w:rsid w:val="007C5796"/>
    <w:rsid w:val="007C57B1"/>
    <w:rsid w:val="007C57BB"/>
    <w:rsid w:val="007C57DC"/>
    <w:rsid w:val="007C5877"/>
    <w:rsid w:val="007C58F3"/>
    <w:rsid w:val="007C5909"/>
    <w:rsid w:val="007C5926"/>
    <w:rsid w:val="007C5953"/>
    <w:rsid w:val="007C5AEC"/>
    <w:rsid w:val="007C5B81"/>
    <w:rsid w:val="007C5BCC"/>
    <w:rsid w:val="007C5BD8"/>
    <w:rsid w:val="007C5DC9"/>
    <w:rsid w:val="007C5E1A"/>
    <w:rsid w:val="007C5EF8"/>
    <w:rsid w:val="007C5FF3"/>
    <w:rsid w:val="007C6045"/>
    <w:rsid w:val="007C60E0"/>
    <w:rsid w:val="007C6126"/>
    <w:rsid w:val="007C6129"/>
    <w:rsid w:val="007C613F"/>
    <w:rsid w:val="007C61CB"/>
    <w:rsid w:val="007C62AB"/>
    <w:rsid w:val="007C6405"/>
    <w:rsid w:val="007C6522"/>
    <w:rsid w:val="007C659A"/>
    <w:rsid w:val="007C68B0"/>
    <w:rsid w:val="007C68B9"/>
    <w:rsid w:val="007C68C2"/>
    <w:rsid w:val="007C6937"/>
    <w:rsid w:val="007C699A"/>
    <w:rsid w:val="007C69DC"/>
    <w:rsid w:val="007C6A37"/>
    <w:rsid w:val="007C6B20"/>
    <w:rsid w:val="007C6B75"/>
    <w:rsid w:val="007C6BA0"/>
    <w:rsid w:val="007C6DD1"/>
    <w:rsid w:val="007C6DE2"/>
    <w:rsid w:val="007C6E15"/>
    <w:rsid w:val="007C6EA0"/>
    <w:rsid w:val="007C6FFB"/>
    <w:rsid w:val="007C70D2"/>
    <w:rsid w:val="007C70F4"/>
    <w:rsid w:val="007C7128"/>
    <w:rsid w:val="007C7155"/>
    <w:rsid w:val="007C724C"/>
    <w:rsid w:val="007C7287"/>
    <w:rsid w:val="007C73C8"/>
    <w:rsid w:val="007C73EA"/>
    <w:rsid w:val="007C7407"/>
    <w:rsid w:val="007C750D"/>
    <w:rsid w:val="007C755B"/>
    <w:rsid w:val="007C7675"/>
    <w:rsid w:val="007C777B"/>
    <w:rsid w:val="007C77BF"/>
    <w:rsid w:val="007C77D4"/>
    <w:rsid w:val="007C7A6B"/>
    <w:rsid w:val="007C7A83"/>
    <w:rsid w:val="007C7A8C"/>
    <w:rsid w:val="007C7B54"/>
    <w:rsid w:val="007C7B8C"/>
    <w:rsid w:val="007C7BA2"/>
    <w:rsid w:val="007C7C89"/>
    <w:rsid w:val="007C7CD9"/>
    <w:rsid w:val="007C7CFF"/>
    <w:rsid w:val="007C7E6B"/>
    <w:rsid w:val="007C7ECD"/>
    <w:rsid w:val="007C7EF0"/>
    <w:rsid w:val="007C7F2B"/>
    <w:rsid w:val="007C7FA3"/>
    <w:rsid w:val="007D001F"/>
    <w:rsid w:val="007D00D3"/>
    <w:rsid w:val="007D011E"/>
    <w:rsid w:val="007D0181"/>
    <w:rsid w:val="007D01FB"/>
    <w:rsid w:val="007D0246"/>
    <w:rsid w:val="007D026B"/>
    <w:rsid w:val="007D02C9"/>
    <w:rsid w:val="007D035E"/>
    <w:rsid w:val="007D039C"/>
    <w:rsid w:val="007D03A1"/>
    <w:rsid w:val="007D04C8"/>
    <w:rsid w:val="007D04E4"/>
    <w:rsid w:val="007D0537"/>
    <w:rsid w:val="007D0593"/>
    <w:rsid w:val="007D05A8"/>
    <w:rsid w:val="007D063D"/>
    <w:rsid w:val="007D067A"/>
    <w:rsid w:val="007D06B9"/>
    <w:rsid w:val="007D06E5"/>
    <w:rsid w:val="007D07A7"/>
    <w:rsid w:val="007D07DB"/>
    <w:rsid w:val="007D07DD"/>
    <w:rsid w:val="007D07FD"/>
    <w:rsid w:val="007D0A27"/>
    <w:rsid w:val="007D0A63"/>
    <w:rsid w:val="007D0A68"/>
    <w:rsid w:val="007D0AF5"/>
    <w:rsid w:val="007D0B01"/>
    <w:rsid w:val="007D0BD2"/>
    <w:rsid w:val="007D0BF5"/>
    <w:rsid w:val="007D0C68"/>
    <w:rsid w:val="007D0C83"/>
    <w:rsid w:val="007D0E45"/>
    <w:rsid w:val="007D0E7B"/>
    <w:rsid w:val="007D0EC2"/>
    <w:rsid w:val="007D0ED2"/>
    <w:rsid w:val="007D0F84"/>
    <w:rsid w:val="007D0FA4"/>
    <w:rsid w:val="007D0FAA"/>
    <w:rsid w:val="007D10D6"/>
    <w:rsid w:val="007D10EB"/>
    <w:rsid w:val="007D120B"/>
    <w:rsid w:val="007D12CD"/>
    <w:rsid w:val="007D1318"/>
    <w:rsid w:val="007D135C"/>
    <w:rsid w:val="007D1371"/>
    <w:rsid w:val="007D14B6"/>
    <w:rsid w:val="007D157A"/>
    <w:rsid w:val="007D1588"/>
    <w:rsid w:val="007D159A"/>
    <w:rsid w:val="007D1629"/>
    <w:rsid w:val="007D1647"/>
    <w:rsid w:val="007D16C1"/>
    <w:rsid w:val="007D17A0"/>
    <w:rsid w:val="007D17DC"/>
    <w:rsid w:val="007D1809"/>
    <w:rsid w:val="007D18A4"/>
    <w:rsid w:val="007D18D2"/>
    <w:rsid w:val="007D19FA"/>
    <w:rsid w:val="007D1B9D"/>
    <w:rsid w:val="007D1BA5"/>
    <w:rsid w:val="007D1BB1"/>
    <w:rsid w:val="007D1C2F"/>
    <w:rsid w:val="007D1D96"/>
    <w:rsid w:val="007D1E99"/>
    <w:rsid w:val="007D1EDE"/>
    <w:rsid w:val="007D1EE0"/>
    <w:rsid w:val="007D202B"/>
    <w:rsid w:val="007D2055"/>
    <w:rsid w:val="007D2149"/>
    <w:rsid w:val="007D2197"/>
    <w:rsid w:val="007D21A4"/>
    <w:rsid w:val="007D21BB"/>
    <w:rsid w:val="007D223C"/>
    <w:rsid w:val="007D2279"/>
    <w:rsid w:val="007D22A3"/>
    <w:rsid w:val="007D22E0"/>
    <w:rsid w:val="007D2331"/>
    <w:rsid w:val="007D238F"/>
    <w:rsid w:val="007D23BC"/>
    <w:rsid w:val="007D23DF"/>
    <w:rsid w:val="007D23E7"/>
    <w:rsid w:val="007D2489"/>
    <w:rsid w:val="007D249C"/>
    <w:rsid w:val="007D24A7"/>
    <w:rsid w:val="007D2593"/>
    <w:rsid w:val="007D2614"/>
    <w:rsid w:val="007D26BC"/>
    <w:rsid w:val="007D279C"/>
    <w:rsid w:val="007D2A7F"/>
    <w:rsid w:val="007D2ADD"/>
    <w:rsid w:val="007D2AF3"/>
    <w:rsid w:val="007D2C61"/>
    <w:rsid w:val="007D2D19"/>
    <w:rsid w:val="007D2D6F"/>
    <w:rsid w:val="007D2D81"/>
    <w:rsid w:val="007D2E33"/>
    <w:rsid w:val="007D2E5A"/>
    <w:rsid w:val="007D2E9A"/>
    <w:rsid w:val="007D2F24"/>
    <w:rsid w:val="007D2F29"/>
    <w:rsid w:val="007D2F8B"/>
    <w:rsid w:val="007D2FC9"/>
    <w:rsid w:val="007D3081"/>
    <w:rsid w:val="007D3498"/>
    <w:rsid w:val="007D34F6"/>
    <w:rsid w:val="007D367D"/>
    <w:rsid w:val="007D3687"/>
    <w:rsid w:val="007D368E"/>
    <w:rsid w:val="007D3706"/>
    <w:rsid w:val="007D3750"/>
    <w:rsid w:val="007D3790"/>
    <w:rsid w:val="007D379A"/>
    <w:rsid w:val="007D380F"/>
    <w:rsid w:val="007D383C"/>
    <w:rsid w:val="007D386D"/>
    <w:rsid w:val="007D3892"/>
    <w:rsid w:val="007D38D1"/>
    <w:rsid w:val="007D3930"/>
    <w:rsid w:val="007D399D"/>
    <w:rsid w:val="007D39F4"/>
    <w:rsid w:val="007D3A1D"/>
    <w:rsid w:val="007D3A45"/>
    <w:rsid w:val="007D3A6E"/>
    <w:rsid w:val="007D3AAB"/>
    <w:rsid w:val="007D3AF1"/>
    <w:rsid w:val="007D3B31"/>
    <w:rsid w:val="007D3C0B"/>
    <w:rsid w:val="007D3C60"/>
    <w:rsid w:val="007D3D31"/>
    <w:rsid w:val="007D3D8C"/>
    <w:rsid w:val="007D3DB2"/>
    <w:rsid w:val="007D3E57"/>
    <w:rsid w:val="007D3E80"/>
    <w:rsid w:val="007D3E8D"/>
    <w:rsid w:val="007D3EF2"/>
    <w:rsid w:val="007D3F65"/>
    <w:rsid w:val="007D3F88"/>
    <w:rsid w:val="007D3FE8"/>
    <w:rsid w:val="007D3FE9"/>
    <w:rsid w:val="007D40BC"/>
    <w:rsid w:val="007D40EA"/>
    <w:rsid w:val="007D40FE"/>
    <w:rsid w:val="007D4151"/>
    <w:rsid w:val="007D429A"/>
    <w:rsid w:val="007D4398"/>
    <w:rsid w:val="007D43BC"/>
    <w:rsid w:val="007D43D7"/>
    <w:rsid w:val="007D4507"/>
    <w:rsid w:val="007D4525"/>
    <w:rsid w:val="007D452A"/>
    <w:rsid w:val="007D45B3"/>
    <w:rsid w:val="007D4604"/>
    <w:rsid w:val="007D4696"/>
    <w:rsid w:val="007D46DB"/>
    <w:rsid w:val="007D4768"/>
    <w:rsid w:val="007D4782"/>
    <w:rsid w:val="007D4823"/>
    <w:rsid w:val="007D48EB"/>
    <w:rsid w:val="007D4991"/>
    <w:rsid w:val="007D49FA"/>
    <w:rsid w:val="007D4A15"/>
    <w:rsid w:val="007D4A33"/>
    <w:rsid w:val="007D4AA9"/>
    <w:rsid w:val="007D4BAD"/>
    <w:rsid w:val="007D4BE2"/>
    <w:rsid w:val="007D4C7C"/>
    <w:rsid w:val="007D4CDD"/>
    <w:rsid w:val="007D4D6C"/>
    <w:rsid w:val="007D4E38"/>
    <w:rsid w:val="007D4ED9"/>
    <w:rsid w:val="007D4F26"/>
    <w:rsid w:val="007D4F3B"/>
    <w:rsid w:val="007D4F61"/>
    <w:rsid w:val="007D4FB9"/>
    <w:rsid w:val="007D4FC4"/>
    <w:rsid w:val="007D5089"/>
    <w:rsid w:val="007D50AE"/>
    <w:rsid w:val="007D50D6"/>
    <w:rsid w:val="007D5162"/>
    <w:rsid w:val="007D51E7"/>
    <w:rsid w:val="007D52E9"/>
    <w:rsid w:val="007D53D4"/>
    <w:rsid w:val="007D54F3"/>
    <w:rsid w:val="007D5504"/>
    <w:rsid w:val="007D5580"/>
    <w:rsid w:val="007D55B0"/>
    <w:rsid w:val="007D56F6"/>
    <w:rsid w:val="007D57F7"/>
    <w:rsid w:val="007D5802"/>
    <w:rsid w:val="007D58A2"/>
    <w:rsid w:val="007D58C8"/>
    <w:rsid w:val="007D5965"/>
    <w:rsid w:val="007D5AC4"/>
    <w:rsid w:val="007D5BA8"/>
    <w:rsid w:val="007D5BB0"/>
    <w:rsid w:val="007D5BF7"/>
    <w:rsid w:val="007D5E1F"/>
    <w:rsid w:val="007D5E3D"/>
    <w:rsid w:val="007D5E52"/>
    <w:rsid w:val="007D5E9A"/>
    <w:rsid w:val="007D5F16"/>
    <w:rsid w:val="007D6156"/>
    <w:rsid w:val="007D6174"/>
    <w:rsid w:val="007D61F7"/>
    <w:rsid w:val="007D6282"/>
    <w:rsid w:val="007D62EF"/>
    <w:rsid w:val="007D6302"/>
    <w:rsid w:val="007D632E"/>
    <w:rsid w:val="007D63A5"/>
    <w:rsid w:val="007D6427"/>
    <w:rsid w:val="007D6476"/>
    <w:rsid w:val="007D65B4"/>
    <w:rsid w:val="007D65C3"/>
    <w:rsid w:val="007D65C4"/>
    <w:rsid w:val="007D65D4"/>
    <w:rsid w:val="007D6618"/>
    <w:rsid w:val="007D6671"/>
    <w:rsid w:val="007D6709"/>
    <w:rsid w:val="007D67BC"/>
    <w:rsid w:val="007D68EE"/>
    <w:rsid w:val="007D68EF"/>
    <w:rsid w:val="007D6998"/>
    <w:rsid w:val="007D6AAC"/>
    <w:rsid w:val="007D6AAE"/>
    <w:rsid w:val="007D6AF2"/>
    <w:rsid w:val="007D6AFA"/>
    <w:rsid w:val="007D6B5B"/>
    <w:rsid w:val="007D6B79"/>
    <w:rsid w:val="007D6BA4"/>
    <w:rsid w:val="007D6C07"/>
    <w:rsid w:val="007D6C19"/>
    <w:rsid w:val="007D6C1B"/>
    <w:rsid w:val="007D6C5A"/>
    <w:rsid w:val="007D6C9D"/>
    <w:rsid w:val="007D6CE7"/>
    <w:rsid w:val="007D6D2E"/>
    <w:rsid w:val="007D6D5B"/>
    <w:rsid w:val="007D6D81"/>
    <w:rsid w:val="007D6E0E"/>
    <w:rsid w:val="007D6E71"/>
    <w:rsid w:val="007D6EB0"/>
    <w:rsid w:val="007D6ECF"/>
    <w:rsid w:val="007D6F1F"/>
    <w:rsid w:val="007D6FD8"/>
    <w:rsid w:val="007D701A"/>
    <w:rsid w:val="007D7075"/>
    <w:rsid w:val="007D70F3"/>
    <w:rsid w:val="007D712B"/>
    <w:rsid w:val="007D7155"/>
    <w:rsid w:val="007D7201"/>
    <w:rsid w:val="007D7385"/>
    <w:rsid w:val="007D73EE"/>
    <w:rsid w:val="007D740C"/>
    <w:rsid w:val="007D7423"/>
    <w:rsid w:val="007D74AD"/>
    <w:rsid w:val="007D7513"/>
    <w:rsid w:val="007D7524"/>
    <w:rsid w:val="007D7626"/>
    <w:rsid w:val="007D771E"/>
    <w:rsid w:val="007D7769"/>
    <w:rsid w:val="007D7872"/>
    <w:rsid w:val="007D7907"/>
    <w:rsid w:val="007D7955"/>
    <w:rsid w:val="007D79B8"/>
    <w:rsid w:val="007D7A13"/>
    <w:rsid w:val="007D7A21"/>
    <w:rsid w:val="007D7A50"/>
    <w:rsid w:val="007D7CC1"/>
    <w:rsid w:val="007D7CC6"/>
    <w:rsid w:val="007D7CCC"/>
    <w:rsid w:val="007D7CFA"/>
    <w:rsid w:val="007D7D23"/>
    <w:rsid w:val="007D7D28"/>
    <w:rsid w:val="007D7E6B"/>
    <w:rsid w:val="007D7EDA"/>
    <w:rsid w:val="007D7EF6"/>
    <w:rsid w:val="007D7F40"/>
    <w:rsid w:val="007E0010"/>
    <w:rsid w:val="007E002B"/>
    <w:rsid w:val="007E00E4"/>
    <w:rsid w:val="007E00FB"/>
    <w:rsid w:val="007E011C"/>
    <w:rsid w:val="007E015A"/>
    <w:rsid w:val="007E0180"/>
    <w:rsid w:val="007E0181"/>
    <w:rsid w:val="007E0195"/>
    <w:rsid w:val="007E0266"/>
    <w:rsid w:val="007E029D"/>
    <w:rsid w:val="007E029F"/>
    <w:rsid w:val="007E0335"/>
    <w:rsid w:val="007E0341"/>
    <w:rsid w:val="007E03EF"/>
    <w:rsid w:val="007E0424"/>
    <w:rsid w:val="007E0431"/>
    <w:rsid w:val="007E043D"/>
    <w:rsid w:val="007E0455"/>
    <w:rsid w:val="007E04A4"/>
    <w:rsid w:val="007E0503"/>
    <w:rsid w:val="007E06A5"/>
    <w:rsid w:val="007E06AC"/>
    <w:rsid w:val="007E06B7"/>
    <w:rsid w:val="007E073D"/>
    <w:rsid w:val="007E07F5"/>
    <w:rsid w:val="007E0840"/>
    <w:rsid w:val="007E091C"/>
    <w:rsid w:val="007E0A09"/>
    <w:rsid w:val="007E0AC6"/>
    <w:rsid w:val="007E0B6D"/>
    <w:rsid w:val="007E0C11"/>
    <w:rsid w:val="007E0CE7"/>
    <w:rsid w:val="007E0D17"/>
    <w:rsid w:val="007E0D19"/>
    <w:rsid w:val="007E0D50"/>
    <w:rsid w:val="007E0E46"/>
    <w:rsid w:val="007E0ED0"/>
    <w:rsid w:val="007E0EF2"/>
    <w:rsid w:val="007E0F04"/>
    <w:rsid w:val="007E0F60"/>
    <w:rsid w:val="007E0FA9"/>
    <w:rsid w:val="007E0FB3"/>
    <w:rsid w:val="007E1008"/>
    <w:rsid w:val="007E106A"/>
    <w:rsid w:val="007E107E"/>
    <w:rsid w:val="007E1097"/>
    <w:rsid w:val="007E10AD"/>
    <w:rsid w:val="007E10C7"/>
    <w:rsid w:val="007E10D4"/>
    <w:rsid w:val="007E11AE"/>
    <w:rsid w:val="007E1305"/>
    <w:rsid w:val="007E13AC"/>
    <w:rsid w:val="007E13DE"/>
    <w:rsid w:val="007E144C"/>
    <w:rsid w:val="007E147B"/>
    <w:rsid w:val="007E147C"/>
    <w:rsid w:val="007E147E"/>
    <w:rsid w:val="007E152E"/>
    <w:rsid w:val="007E1575"/>
    <w:rsid w:val="007E1589"/>
    <w:rsid w:val="007E15B9"/>
    <w:rsid w:val="007E169C"/>
    <w:rsid w:val="007E16B2"/>
    <w:rsid w:val="007E16F7"/>
    <w:rsid w:val="007E173D"/>
    <w:rsid w:val="007E1747"/>
    <w:rsid w:val="007E17FF"/>
    <w:rsid w:val="007E1859"/>
    <w:rsid w:val="007E1883"/>
    <w:rsid w:val="007E1939"/>
    <w:rsid w:val="007E193B"/>
    <w:rsid w:val="007E1997"/>
    <w:rsid w:val="007E1AA7"/>
    <w:rsid w:val="007E1BAC"/>
    <w:rsid w:val="007E1BEF"/>
    <w:rsid w:val="007E1C01"/>
    <w:rsid w:val="007E1C57"/>
    <w:rsid w:val="007E1DDF"/>
    <w:rsid w:val="007E1DEA"/>
    <w:rsid w:val="007E1EC7"/>
    <w:rsid w:val="007E1ECF"/>
    <w:rsid w:val="007E1F4C"/>
    <w:rsid w:val="007E1FAF"/>
    <w:rsid w:val="007E2012"/>
    <w:rsid w:val="007E202E"/>
    <w:rsid w:val="007E20D7"/>
    <w:rsid w:val="007E2135"/>
    <w:rsid w:val="007E2163"/>
    <w:rsid w:val="007E2208"/>
    <w:rsid w:val="007E22B7"/>
    <w:rsid w:val="007E22CD"/>
    <w:rsid w:val="007E22DF"/>
    <w:rsid w:val="007E22F9"/>
    <w:rsid w:val="007E2310"/>
    <w:rsid w:val="007E2343"/>
    <w:rsid w:val="007E2377"/>
    <w:rsid w:val="007E23E8"/>
    <w:rsid w:val="007E24E2"/>
    <w:rsid w:val="007E25B2"/>
    <w:rsid w:val="007E25E6"/>
    <w:rsid w:val="007E262E"/>
    <w:rsid w:val="007E268F"/>
    <w:rsid w:val="007E269E"/>
    <w:rsid w:val="007E26E4"/>
    <w:rsid w:val="007E2742"/>
    <w:rsid w:val="007E276F"/>
    <w:rsid w:val="007E2798"/>
    <w:rsid w:val="007E2856"/>
    <w:rsid w:val="007E28D0"/>
    <w:rsid w:val="007E2902"/>
    <w:rsid w:val="007E2904"/>
    <w:rsid w:val="007E2939"/>
    <w:rsid w:val="007E29AB"/>
    <w:rsid w:val="007E29EE"/>
    <w:rsid w:val="007E2B12"/>
    <w:rsid w:val="007E2B31"/>
    <w:rsid w:val="007E2C04"/>
    <w:rsid w:val="007E2C2D"/>
    <w:rsid w:val="007E2C5E"/>
    <w:rsid w:val="007E2C6E"/>
    <w:rsid w:val="007E2CCC"/>
    <w:rsid w:val="007E2D0D"/>
    <w:rsid w:val="007E2D2C"/>
    <w:rsid w:val="007E2D99"/>
    <w:rsid w:val="007E2DA8"/>
    <w:rsid w:val="007E2DCA"/>
    <w:rsid w:val="007E2E37"/>
    <w:rsid w:val="007E2F02"/>
    <w:rsid w:val="007E2F05"/>
    <w:rsid w:val="007E2F63"/>
    <w:rsid w:val="007E2F72"/>
    <w:rsid w:val="007E2F99"/>
    <w:rsid w:val="007E3029"/>
    <w:rsid w:val="007E303D"/>
    <w:rsid w:val="007E3054"/>
    <w:rsid w:val="007E30C0"/>
    <w:rsid w:val="007E30DD"/>
    <w:rsid w:val="007E31A0"/>
    <w:rsid w:val="007E31B2"/>
    <w:rsid w:val="007E329C"/>
    <w:rsid w:val="007E34C5"/>
    <w:rsid w:val="007E34E3"/>
    <w:rsid w:val="007E3511"/>
    <w:rsid w:val="007E353B"/>
    <w:rsid w:val="007E3557"/>
    <w:rsid w:val="007E35A1"/>
    <w:rsid w:val="007E35B4"/>
    <w:rsid w:val="007E3687"/>
    <w:rsid w:val="007E3707"/>
    <w:rsid w:val="007E3750"/>
    <w:rsid w:val="007E38E1"/>
    <w:rsid w:val="007E3918"/>
    <w:rsid w:val="007E3933"/>
    <w:rsid w:val="007E39EB"/>
    <w:rsid w:val="007E3AB7"/>
    <w:rsid w:val="007E3B7B"/>
    <w:rsid w:val="007E3B80"/>
    <w:rsid w:val="007E3BDD"/>
    <w:rsid w:val="007E3BE5"/>
    <w:rsid w:val="007E3C24"/>
    <w:rsid w:val="007E3CA4"/>
    <w:rsid w:val="007E3CB9"/>
    <w:rsid w:val="007E3D37"/>
    <w:rsid w:val="007E3D75"/>
    <w:rsid w:val="007E3E01"/>
    <w:rsid w:val="007E3E1A"/>
    <w:rsid w:val="007E3ECC"/>
    <w:rsid w:val="007E3F09"/>
    <w:rsid w:val="007E3F3A"/>
    <w:rsid w:val="007E3F46"/>
    <w:rsid w:val="007E3F47"/>
    <w:rsid w:val="007E3FFE"/>
    <w:rsid w:val="007E4023"/>
    <w:rsid w:val="007E4042"/>
    <w:rsid w:val="007E4060"/>
    <w:rsid w:val="007E40FD"/>
    <w:rsid w:val="007E4218"/>
    <w:rsid w:val="007E4237"/>
    <w:rsid w:val="007E425F"/>
    <w:rsid w:val="007E427B"/>
    <w:rsid w:val="007E42A0"/>
    <w:rsid w:val="007E4322"/>
    <w:rsid w:val="007E4329"/>
    <w:rsid w:val="007E4399"/>
    <w:rsid w:val="007E439A"/>
    <w:rsid w:val="007E43BC"/>
    <w:rsid w:val="007E43C9"/>
    <w:rsid w:val="007E440F"/>
    <w:rsid w:val="007E4411"/>
    <w:rsid w:val="007E4419"/>
    <w:rsid w:val="007E449C"/>
    <w:rsid w:val="007E451C"/>
    <w:rsid w:val="007E4580"/>
    <w:rsid w:val="007E45CD"/>
    <w:rsid w:val="007E46B9"/>
    <w:rsid w:val="007E46CB"/>
    <w:rsid w:val="007E4745"/>
    <w:rsid w:val="007E47C3"/>
    <w:rsid w:val="007E4808"/>
    <w:rsid w:val="007E483E"/>
    <w:rsid w:val="007E48FE"/>
    <w:rsid w:val="007E4932"/>
    <w:rsid w:val="007E494D"/>
    <w:rsid w:val="007E49B0"/>
    <w:rsid w:val="007E4A63"/>
    <w:rsid w:val="007E4A95"/>
    <w:rsid w:val="007E4AAE"/>
    <w:rsid w:val="007E4B61"/>
    <w:rsid w:val="007E4C1D"/>
    <w:rsid w:val="007E4C9C"/>
    <w:rsid w:val="007E4D3B"/>
    <w:rsid w:val="007E4D71"/>
    <w:rsid w:val="007E4D74"/>
    <w:rsid w:val="007E4D8E"/>
    <w:rsid w:val="007E4DD0"/>
    <w:rsid w:val="007E4F2C"/>
    <w:rsid w:val="007E4F74"/>
    <w:rsid w:val="007E4F89"/>
    <w:rsid w:val="007E50DA"/>
    <w:rsid w:val="007E5160"/>
    <w:rsid w:val="007E5165"/>
    <w:rsid w:val="007E5196"/>
    <w:rsid w:val="007E5199"/>
    <w:rsid w:val="007E52A7"/>
    <w:rsid w:val="007E5363"/>
    <w:rsid w:val="007E536F"/>
    <w:rsid w:val="007E538A"/>
    <w:rsid w:val="007E53B2"/>
    <w:rsid w:val="007E5575"/>
    <w:rsid w:val="007E559E"/>
    <w:rsid w:val="007E55D9"/>
    <w:rsid w:val="007E55E5"/>
    <w:rsid w:val="007E5678"/>
    <w:rsid w:val="007E56B7"/>
    <w:rsid w:val="007E56CF"/>
    <w:rsid w:val="007E5702"/>
    <w:rsid w:val="007E5755"/>
    <w:rsid w:val="007E5760"/>
    <w:rsid w:val="007E5850"/>
    <w:rsid w:val="007E5868"/>
    <w:rsid w:val="007E58A3"/>
    <w:rsid w:val="007E5925"/>
    <w:rsid w:val="007E5963"/>
    <w:rsid w:val="007E59A4"/>
    <w:rsid w:val="007E5A0E"/>
    <w:rsid w:val="007E5A24"/>
    <w:rsid w:val="007E5A50"/>
    <w:rsid w:val="007E5A5B"/>
    <w:rsid w:val="007E5AB3"/>
    <w:rsid w:val="007E5BC0"/>
    <w:rsid w:val="007E5CDB"/>
    <w:rsid w:val="007E5D5C"/>
    <w:rsid w:val="007E5E3E"/>
    <w:rsid w:val="007E5EDE"/>
    <w:rsid w:val="007E5EE6"/>
    <w:rsid w:val="007E5F41"/>
    <w:rsid w:val="007E5F61"/>
    <w:rsid w:val="007E601F"/>
    <w:rsid w:val="007E604F"/>
    <w:rsid w:val="007E60D8"/>
    <w:rsid w:val="007E61A1"/>
    <w:rsid w:val="007E61C8"/>
    <w:rsid w:val="007E62FC"/>
    <w:rsid w:val="007E63B2"/>
    <w:rsid w:val="007E647F"/>
    <w:rsid w:val="007E64CC"/>
    <w:rsid w:val="007E654A"/>
    <w:rsid w:val="007E655A"/>
    <w:rsid w:val="007E65C1"/>
    <w:rsid w:val="007E6675"/>
    <w:rsid w:val="007E6706"/>
    <w:rsid w:val="007E6763"/>
    <w:rsid w:val="007E6804"/>
    <w:rsid w:val="007E685F"/>
    <w:rsid w:val="007E6A09"/>
    <w:rsid w:val="007E6A35"/>
    <w:rsid w:val="007E6AC7"/>
    <w:rsid w:val="007E6AF9"/>
    <w:rsid w:val="007E6B16"/>
    <w:rsid w:val="007E6B24"/>
    <w:rsid w:val="007E6B7F"/>
    <w:rsid w:val="007E6BCD"/>
    <w:rsid w:val="007E6BD3"/>
    <w:rsid w:val="007E6C66"/>
    <w:rsid w:val="007E6CC0"/>
    <w:rsid w:val="007E6CE8"/>
    <w:rsid w:val="007E6E05"/>
    <w:rsid w:val="007E6F98"/>
    <w:rsid w:val="007E6FAC"/>
    <w:rsid w:val="007E7015"/>
    <w:rsid w:val="007E7048"/>
    <w:rsid w:val="007E70AD"/>
    <w:rsid w:val="007E70B1"/>
    <w:rsid w:val="007E70BF"/>
    <w:rsid w:val="007E70E2"/>
    <w:rsid w:val="007E7120"/>
    <w:rsid w:val="007E7161"/>
    <w:rsid w:val="007E7211"/>
    <w:rsid w:val="007E72EA"/>
    <w:rsid w:val="007E732D"/>
    <w:rsid w:val="007E73F6"/>
    <w:rsid w:val="007E7408"/>
    <w:rsid w:val="007E7417"/>
    <w:rsid w:val="007E7486"/>
    <w:rsid w:val="007E74B7"/>
    <w:rsid w:val="007E7532"/>
    <w:rsid w:val="007E75CC"/>
    <w:rsid w:val="007E75F4"/>
    <w:rsid w:val="007E760C"/>
    <w:rsid w:val="007E763B"/>
    <w:rsid w:val="007E7658"/>
    <w:rsid w:val="007E76F8"/>
    <w:rsid w:val="007E773E"/>
    <w:rsid w:val="007E7779"/>
    <w:rsid w:val="007E77B7"/>
    <w:rsid w:val="007E79E5"/>
    <w:rsid w:val="007E79F2"/>
    <w:rsid w:val="007E7A07"/>
    <w:rsid w:val="007E7ABB"/>
    <w:rsid w:val="007E7B67"/>
    <w:rsid w:val="007E7BA0"/>
    <w:rsid w:val="007E7C8C"/>
    <w:rsid w:val="007E7D08"/>
    <w:rsid w:val="007E7D8C"/>
    <w:rsid w:val="007E7E90"/>
    <w:rsid w:val="007E7F04"/>
    <w:rsid w:val="007E7F56"/>
    <w:rsid w:val="007E7FFC"/>
    <w:rsid w:val="007F002B"/>
    <w:rsid w:val="007F0036"/>
    <w:rsid w:val="007F0066"/>
    <w:rsid w:val="007F00A0"/>
    <w:rsid w:val="007F00A6"/>
    <w:rsid w:val="007F0111"/>
    <w:rsid w:val="007F0166"/>
    <w:rsid w:val="007F020A"/>
    <w:rsid w:val="007F023F"/>
    <w:rsid w:val="007F02DC"/>
    <w:rsid w:val="007F02EB"/>
    <w:rsid w:val="007F0307"/>
    <w:rsid w:val="007F0435"/>
    <w:rsid w:val="007F0460"/>
    <w:rsid w:val="007F048A"/>
    <w:rsid w:val="007F04B2"/>
    <w:rsid w:val="007F0554"/>
    <w:rsid w:val="007F0582"/>
    <w:rsid w:val="007F0586"/>
    <w:rsid w:val="007F058C"/>
    <w:rsid w:val="007F0592"/>
    <w:rsid w:val="007F061F"/>
    <w:rsid w:val="007F0670"/>
    <w:rsid w:val="007F073F"/>
    <w:rsid w:val="007F076C"/>
    <w:rsid w:val="007F07B1"/>
    <w:rsid w:val="007F0812"/>
    <w:rsid w:val="007F0826"/>
    <w:rsid w:val="007F0856"/>
    <w:rsid w:val="007F09A3"/>
    <w:rsid w:val="007F0A11"/>
    <w:rsid w:val="007F0A40"/>
    <w:rsid w:val="007F0A55"/>
    <w:rsid w:val="007F0AC8"/>
    <w:rsid w:val="007F0AD8"/>
    <w:rsid w:val="007F0C05"/>
    <w:rsid w:val="007F0C0F"/>
    <w:rsid w:val="007F0D73"/>
    <w:rsid w:val="007F0DE0"/>
    <w:rsid w:val="007F0E07"/>
    <w:rsid w:val="007F0E1E"/>
    <w:rsid w:val="007F0E49"/>
    <w:rsid w:val="007F0E69"/>
    <w:rsid w:val="007F0EED"/>
    <w:rsid w:val="007F0FB8"/>
    <w:rsid w:val="007F0FF8"/>
    <w:rsid w:val="007F1186"/>
    <w:rsid w:val="007F1188"/>
    <w:rsid w:val="007F11ED"/>
    <w:rsid w:val="007F12AA"/>
    <w:rsid w:val="007F12F3"/>
    <w:rsid w:val="007F1366"/>
    <w:rsid w:val="007F1372"/>
    <w:rsid w:val="007F138E"/>
    <w:rsid w:val="007F13AC"/>
    <w:rsid w:val="007F1553"/>
    <w:rsid w:val="007F1557"/>
    <w:rsid w:val="007F1678"/>
    <w:rsid w:val="007F16CD"/>
    <w:rsid w:val="007F1710"/>
    <w:rsid w:val="007F1722"/>
    <w:rsid w:val="007F1787"/>
    <w:rsid w:val="007F178A"/>
    <w:rsid w:val="007F179F"/>
    <w:rsid w:val="007F17CE"/>
    <w:rsid w:val="007F181E"/>
    <w:rsid w:val="007F1854"/>
    <w:rsid w:val="007F18A4"/>
    <w:rsid w:val="007F1982"/>
    <w:rsid w:val="007F198E"/>
    <w:rsid w:val="007F199C"/>
    <w:rsid w:val="007F19D4"/>
    <w:rsid w:val="007F1AB8"/>
    <w:rsid w:val="007F1AF6"/>
    <w:rsid w:val="007F1B73"/>
    <w:rsid w:val="007F1BA9"/>
    <w:rsid w:val="007F1C7A"/>
    <w:rsid w:val="007F1CCB"/>
    <w:rsid w:val="007F1DD9"/>
    <w:rsid w:val="007F1E94"/>
    <w:rsid w:val="007F1E9B"/>
    <w:rsid w:val="007F1F0B"/>
    <w:rsid w:val="007F1F37"/>
    <w:rsid w:val="007F1FA6"/>
    <w:rsid w:val="007F1FC1"/>
    <w:rsid w:val="007F210B"/>
    <w:rsid w:val="007F210C"/>
    <w:rsid w:val="007F2164"/>
    <w:rsid w:val="007F2259"/>
    <w:rsid w:val="007F235A"/>
    <w:rsid w:val="007F2431"/>
    <w:rsid w:val="007F2465"/>
    <w:rsid w:val="007F24B4"/>
    <w:rsid w:val="007F2551"/>
    <w:rsid w:val="007F2682"/>
    <w:rsid w:val="007F269C"/>
    <w:rsid w:val="007F271A"/>
    <w:rsid w:val="007F2743"/>
    <w:rsid w:val="007F278C"/>
    <w:rsid w:val="007F2791"/>
    <w:rsid w:val="007F2914"/>
    <w:rsid w:val="007F2948"/>
    <w:rsid w:val="007F2971"/>
    <w:rsid w:val="007F2997"/>
    <w:rsid w:val="007F29BF"/>
    <w:rsid w:val="007F2A6D"/>
    <w:rsid w:val="007F2B90"/>
    <w:rsid w:val="007F2BC5"/>
    <w:rsid w:val="007F2C34"/>
    <w:rsid w:val="007F2C76"/>
    <w:rsid w:val="007F2C98"/>
    <w:rsid w:val="007F2D66"/>
    <w:rsid w:val="007F2D94"/>
    <w:rsid w:val="007F2E3A"/>
    <w:rsid w:val="007F2E97"/>
    <w:rsid w:val="007F2F09"/>
    <w:rsid w:val="007F2F58"/>
    <w:rsid w:val="007F2FF9"/>
    <w:rsid w:val="007F3032"/>
    <w:rsid w:val="007F3081"/>
    <w:rsid w:val="007F3178"/>
    <w:rsid w:val="007F31CE"/>
    <w:rsid w:val="007F325C"/>
    <w:rsid w:val="007F332B"/>
    <w:rsid w:val="007F3390"/>
    <w:rsid w:val="007F3399"/>
    <w:rsid w:val="007F33A4"/>
    <w:rsid w:val="007F33B0"/>
    <w:rsid w:val="007F350E"/>
    <w:rsid w:val="007F360C"/>
    <w:rsid w:val="007F369F"/>
    <w:rsid w:val="007F3754"/>
    <w:rsid w:val="007F385F"/>
    <w:rsid w:val="007F386F"/>
    <w:rsid w:val="007F387C"/>
    <w:rsid w:val="007F3884"/>
    <w:rsid w:val="007F3896"/>
    <w:rsid w:val="007F38DC"/>
    <w:rsid w:val="007F38FA"/>
    <w:rsid w:val="007F39A9"/>
    <w:rsid w:val="007F3A05"/>
    <w:rsid w:val="007F3A0C"/>
    <w:rsid w:val="007F3A24"/>
    <w:rsid w:val="007F3AC0"/>
    <w:rsid w:val="007F3AC7"/>
    <w:rsid w:val="007F3B83"/>
    <w:rsid w:val="007F3BD7"/>
    <w:rsid w:val="007F3BE2"/>
    <w:rsid w:val="007F3BF8"/>
    <w:rsid w:val="007F3C11"/>
    <w:rsid w:val="007F3C2A"/>
    <w:rsid w:val="007F3E3F"/>
    <w:rsid w:val="007F3E5A"/>
    <w:rsid w:val="007F3E94"/>
    <w:rsid w:val="007F3F1D"/>
    <w:rsid w:val="007F3F89"/>
    <w:rsid w:val="007F3FB5"/>
    <w:rsid w:val="007F4008"/>
    <w:rsid w:val="007F406D"/>
    <w:rsid w:val="007F414C"/>
    <w:rsid w:val="007F41EC"/>
    <w:rsid w:val="007F4240"/>
    <w:rsid w:val="007F4251"/>
    <w:rsid w:val="007F4339"/>
    <w:rsid w:val="007F447D"/>
    <w:rsid w:val="007F457B"/>
    <w:rsid w:val="007F45F5"/>
    <w:rsid w:val="007F469B"/>
    <w:rsid w:val="007F46FB"/>
    <w:rsid w:val="007F472B"/>
    <w:rsid w:val="007F4754"/>
    <w:rsid w:val="007F4788"/>
    <w:rsid w:val="007F4988"/>
    <w:rsid w:val="007F49B7"/>
    <w:rsid w:val="007F4A89"/>
    <w:rsid w:val="007F4AB5"/>
    <w:rsid w:val="007F4B41"/>
    <w:rsid w:val="007F4B63"/>
    <w:rsid w:val="007F4CD6"/>
    <w:rsid w:val="007F4CF6"/>
    <w:rsid w:val="007F4D2F"/>
    <w:rsid w:val="007F4D43"/>
    <w:rsid w:val="007F4DBE"/>
    <w:rsid w:val="007F4DC2"/>
    <w:rsid w:val="007F4DCB"/>
    <w:rsid w:val="007F4DCE"/>
    <w:rsid w:val="007F4DE2"/>
    <w:rsid w:val="007F4E84"/>
    <w:rsid w:val="007F4ED3"/>
    <w:rsid w:val="007F4EF8"/>
    <w:rsid w:val="007F4F2B"/>
    <w:rsid w:val="007F502D"/>
    <w:rsid w:val="007F505C"/>
    <w:rsid w:val="007F5105"/>
    <w:rsid w:val="007F5107"/>
    <w:rsid w:val="007F517F"/>
    <w:rsid w:val="007F5257"/>
    <w:rsid w:val="007F525F"/>
    <w:rsid w:val="007F5312"/>
    <w:rsid w:val="007F53E4"/>
    <w:rsid w:val="007F5475"/>
    <w:rsid w:val="007F54F7"/>
    <w:rsid w:val="007F55EA"/>
    <w:rsid w:val="007F5629"/>
    <w:rsid w:val="007F566D"/>
    <w:rsid w:val="007F56C3"/>
    <w:rsid w:val="007F572D"/>
    <w:rsid w:val="007F5731"/>
    <w:rsid w:val="007F576E"/>
    <w:rsid w:val="007F57FD"/>
    <w:rsid w:val="007F591C"/>
    <w:rsid w:val="007F5944"/>
    <w:rsid w:val="007F5971"/>
    <w:rsid w:val="007F599A"/>
    <w:rsid w:val="007F59D5"/>
    <w:rsid w:val="007F5A9B"/>
    <w:rsid w:val="007F5B28"/>
    <w:rsid w:val="007F5B57"/>
    <w:rsid w:val="007F5BB9"/>
    <w:rsid w:val="007F5C8B"/>
    <w:rsid w:val="007F5E77"/>
    <w:rsid w:val="007F5EA5"/>
    <w:rsid w:val="007F5EFF"/>
    <w:rsid w:val="007F5F07"/>
    <w:rsid w:val="007F5F51"/>
    <w:rsid w:val="007F5F5D"/>
    <w:rsid w:val="007F60F9"/>
    <w:rsid w:val="007F6174"/>
    <w:rsid w:val="007F61B6"/>
    <w:rsid w:val="007F61EF"/>
    <w:rsid w:val="007F6261"/>
    <w:rsid w:val="007F62CD"/>
    <w:rsid w:val="007F632B"/>
    <w:rsid w:val="007F6358"/>
    <w:rsid w:val="007F647C"/>
    <w:rsid w:val="007F64D4"/>
    <w:rsid w:val="007F6574"/>
    <w:rsid w:val="007F664B"/>
    <w:rsid w:val="007F664C"/>
    <w:rsid w:val="007F666A"/>
    <w:rsid w:val="007F66E3"/>
    <w:rsid w:val="007F66E9"/>
    <w:rsid w:val="007F6785"/>
    <w:rsid w:val="007F68CE"/>
    <w:rsid w:val="007F68CF"/>
    <w:rsid w:val="007F690F"/>
    <w:rsid w:val="007F6960"/>
    <w:rsid w:val="007F6980"/>
    <w:rsid w:val="007F69C6"/>
    <w:rsid w:val="007F69E9"/>
    <w:rsid w:val="007F6A43"/>
    <w:rsid w:val="007F6AA0"/>
    <w:rsid w:val="007F6B06"/>
    <w:rsid w:val="007F6BDD"/>
    <w:rsid w:val="007F6C0C"/>
    <w:rsid w:val="007F6CAF"/>
    <w:rsid w:val="007F6CBE"/>
    <w:rsid w:val="007F6D53"/>
    <w:rsid w:val="007F6DDF"/>
    <w:rsid w:val="007F6E07"/>
    <w:rsid w:val="007F6E0E"/>
    <w:rsid w:val="007F6E40"/>
    <w:rsid w:val="007F6EB9"/>
    <w:rsid w:val="007F6EBB"/>
    <w:rsid w:val="007F6F56"/>
    <w:rsid w:val="007F708E"/>
    <w:rsid w:val="007F71F1"/>
    <w:rsid w:val="007F724A"/>
    <w:rsid w:val="007F7292"/>
    <w:rsid w:val="007F72AE"/>
    <w:rsid w:val="007F7307"/>
    <w:rsid w:val="007F7309"/>
    <w:rsid w:val="007F7364"/>
    <w:rsid w:val="007F7390"/>
    <w:rsid w:val="007F747E"/>
    <w:rsid w:val="007F74C6"/>
    <w:rsid w:val="007F74DD"/>
    <w:rsid w:val="007F7522"/>
    <w:rsid w:val="007F75AA"/>
    <w:rsid w:val="007F76D0"/>
    <w:rsid w:val="007F76D2"/>
    <w:rsid w:val="007F7788"/>
    <w:rsid w:val="007F7791"/>
    <w:rsid w:val="007F77C5"/>
    <w:rsid w:val="007F77F1"/>
    <w:rsid w:val="007F7801"/>
    <w:rsid w:val="007F78F6"/>
    <w:rsid w:val="007F7951"/>
    <w:rsid w:val="007F795D"/>
    <w:rsid w:val="007F79AE"/>
    <w:rsid w:val="007F79C9"/>
    <w:rsid w:val="007F7A5A"/>
    <w:rsid w:val="007F7A5C"/>
    <w:rsid w:val="007F7A61"/>
    <w:rsid w:val="007F7A9D"/>
    <w:rsid w:val="007F7B56"/>
    <w:rsid w:val="007F7B68"/>
    <w:rsid w:val="007F7BBF"/>
    <w:rsid w:val="007F7BE4"/>
    <w:rsid w:val="007F7C13"/>
    <w:rsid w:val="007F7DB7"/>
    <w:rsid w:val="007F7DD6"/>
    <w:rsid w:val="007F7DE3"/>
    <w:rsid w:val="007F7E03"/>
    <w:rsid w:val="007F7E10"/>
    <w:rsid w:val="007F7E72"/>
    <w:rsid w:val="007F7E8D"/>
    <w:rsid w:val="007F7EC5"/>
    <w:rsid w:val="007F7F70"/>
    <w:rsid w:val="007F7FA9"/>
    <w:rsid w:val="00800023"/>
    <w:rsid w:val="00800092"/>
    <w:rsid w:val="00800113"/>
    <w:rsid w:val="0080016F"/>
    <w:rsid w:val="008001D0"/>
    <w:rsid w:val="008001D8"/>
    <w:rsid w:val="00800238"/>
    <w:rsid w:val="0080028A"/>
    <w:rsid w:val="00800338"/>
    <w:rsid w:val="008003A2"/>
    <w:rsid w:val="008003C2"/>
    <w:rsid w:val="00800460"/>
    <w:rsid w:val="00800482"/>
    <w:rsid w:val="008004CF"/>
    <w:rsid w:val="008005AC"/>
    <w:rsid w:val="0080063E"/>
    <w:rsid w:val="0080069E"/>
    <w:rsid w:val="00800736"/>
    <w:rsid w:val="0080076C"/>
    <w:rsid w:val="00800792"/>
    <w:rsid w:val="008007A9"/>
    <w:rsid w:val="00800849"/>
    <w:rsid w:val="00800859"/>
    <w:rsid w:val="00800861"/>
    <w:rsid w:val="0080088D"/>
    <w:rsid w:val="00800921"/>
    <w:rsid w:val="0080093E"/>
    <w:rsid w:val="00800979"/>
    <w:rsid w:val="00800A49"/>
    <w:rsid w:val="00800A4C"/>
    <w:rsid w:val="00800A8B"/>
    <w:rsid w:val="00800B58"/>
    <w:rsid w:val="00800BEF"/>
    <w:rsid w:val="00800C09"/>
    <w:rsid w:val="00800CDE"/>
    <w:rsid w:val="00800E2D"/>
    <w:rsid w:val="00800EA9"/>
    <w:rsid w:val="00800F29"/>
    <w:rsid w:val="00800F2B"/>
    <w:rsid w:val="00800F3C"/>
    <w:rsid w:val="00800FB9"/>
    <w:rsid w:val="00800FF5"/>
    <w:rsid w:val="0080106F"/>
    <w:rsid w:val="00801102"/>
    <w:rsid w:val="00801138"/>
    <w:rsid w:val="00801157"/>
    <w:rsid w:val="00801197"/>
    <w:rsid w:val="008011B0"/>
    <w:rsid w:val="008011B6"/>
    <w:rsid w:val="008011C0"/>
    <w:rsid w:val="008012BB"/>
    <w:rsid w:val="0080130D"/>
    <w:rsid w:val="008013C1"/>
    <w:rsid w:val="00801452"/>
    <w:rsid w:val="008014BC"/>
    <w:rsid w:val="00801504"/>
    <w:rsid w:val="00801559"/>
    <w:rsid w:val="0080157E"/>
    <w:rsid w:val="008015D7"/>
    <w:rsid w:val="008015F5"/>
    <w:rsid w:val="008016D4"/>
    <w:rsid w:val="00801726"/>
    <w:rsid w:val="0080172C"/>
    <w:rsid w:val="008017C6"/>
    <w:rsid w:val="0080184B"/>
    <w:rsid w:val="0080186D"/>
    <w:rsid w:val="008018BB"/>
    <w:rsid w:val="008019CB"/>
    <w:rsid w:val="00801A06"/>
    <w:rsid w:val="00801A09"/>
    <w:rsid w:val="00801A10"/>
    <w:rsid w:val="00801A42"/>
    <w:rsid w:val="00801AF3"/>
    <w:rsid w:val="00801B03"/>
    <w:rsid w:val="00801B59"/>
    <w:rsid w:val="00801BB4"/>
    <w:rsid w:val="00801BE8"/>
    <w:rsid w:val="00801C3B"/>
    <w:rsid w:val="00801C41"/>
    <w:rsid w:val="00801CCF"/>
    <w:rsid w:val="00801CEF"/>
    <w:rsid w:val="00801D27"/>
    <w:rsid w:val="00801D67"/>
    <w:rsid w:val="00801DBC"/>
    <w:rsid w:val="00801E05"/>
    <w:rsid w:val="00801E5B"/>
    <w:rsid w:val="00801FE9"/>
    <w:rsid w:val="00802018"/>
    <w:rsid w:val="0080213F"/>
    <w:rsid w:val="008021A7"/>
    <w:rsid w:val="008021B8"/>
    <w:rsid w:val="008021DA"/>
    <w:rsid w:val="0080223F"/>
    <w:rsid w:val="00802271"/>
    <w:rsid w:val="008023A4"/>
    <w:rsid w:val="008024CF"/>
    <w:rsid w:val="008024D7"/>
    <w:rsid w:val="00802529"/>
    <w:rsid w:val="00802564"/>
    <w:rsid w:val="008025B4"/>
    <w:rsid w:val="008026A0"/>
    <w:rsid w:val="008026FC"/>
    <w:rsid w:val="0080272C"/>
    <w:rsid w:val="0080273C"/>
    <w:rsid w:val="00802753"/>
    <w:rsid w:val="008027FB"/>
    <w:rsid w:val="00802816"/>
    <w:rsid w:val="00802859"/>
    <w:rsid w:val="008028BE"/>
    <w:rsid w:val="00802903"/>
    <w:rsid w:val="00802A9C"/>
    <w:rsid w:val="00802B3B"/>
    <w:rsid w:val="00802B8B"/>
    <w:rsid w:val="00802B96"/>
    <w:rsid w:val="00802BD2"/>
    <w:rsid w:val="00802BDC"/>
    <w:rsid w:val="00802CAD"/>
    <w:rsid w:val="00802D38"/>
    <w:rsid w:val="00802D6D"/>
    <w:rsid w:val="00802EFF"/>
    <w:rsid w:val="00802F40"/>
    <w:rsid w:val="00803087"/>
    <w:rsid w:val="00803104"/>
    <w:rsid w:val="00803179"/>
    <w:rsid w:val="0080322F"/>
    <w:rsid w:val="00803278"/>
    <w:rsid w:val="0080328E"/>
    <w:rsid w:val="008032FC"/>
    <w:rsid w:val="00803347"/>
    <w:rsid w:val="0080337B"/>
    <w:rsid w:val="008033B1"/>
    <w:rsid w:val="008033CE"/>
    <w:rsid w:val="00803441"/>
    <w:rsid w:val="0080349A"/>
    <w:rsid w:val="008034AD"/>
    <w:rsid w:val="008034D3"/>
    <w:rsid w:val="008035E4"/>
    <w:rsid w:val="0080363E"/>
    <w:rsid w:val="0080366E"/>
    <w:rsid w:val="008036BD"/>
    <w:rsid w:val="0080385F"/>
    <w:rsid w:val="00803929"/>
    <w:rsid w:val="00803C0D"/>
    <w:rsid w:val="00803DA5"/>
    <w:rsid w:val="00803DB6"/>
    <w:rsid w:val="00803E53"/>
    <w:rsid w:val="00803E81"/>
    <w:rsid w:val="00803EBF"/>
    <w:rsid w:val="00803F42"/>
    <w:rsid w:val="00803F52"/>
    <w:rsid w:val="00803F54"/>
    <w:rsid w:val="00804102"/>
    <w:rsid w:val="00804108"/>
    <w:rsid w:val="008041CB"/>
    <w:rsid w:val="008042F3"/>
    <w:rsid w:val="00804323"/>
    <w:rsid w:val="0080436B"/>
    <w:rsid w:val="00804387"/>
    <w:rsid w:val="008043D6"/>
    <w:rsid w:val="008044BB"/>
    <w:rsid w:val="00804524"/>
    <w:rsid w:val="0080454A"/>
    <w:rsid w:val="00804615"/>
    <w:rsid w:val="0080461F"/>
    <w:rsid w:val="008046D1"/>
    <w:rsid w:val="008047C8"/>
    <w:rsid w:val="0080485E"/>
    <w:rsid w:val="00804871"/>
    <w:rsid w:val="00804898"/>
    <w:rsid w:val="0080492B"/>
    <w:rsid w:val="0080496D"/>
    <w:rsid w:val="00804B7E"/>
    <w:rsid w:val="00804C13"/>
    <w:rsid w:val="00804C44"/>
    <w:rsid w:val="00804C4B"/>
    <w:rsid w:val="00804C68"/>
    <w:rsid w:val="00804C97"/>
    <w:rsid w:val="00804D3C"/>
    <w:rsid w:val="00804D7F"/>
    <w:rsid w:val="00804F38"/>
    <w:rsid w:val="00804F7A"/>
    <w:rsid w:val="00804FA3"/>
    <w:rsid w:val="00804FC7"/>
    <w:rsid w:val="00805056"/>
    <w:rsid w:val="00805085"/>
    <w:rsid w:val="008050BD"/>
    <w:rsid w:val="00805161"/>
    <w:rsid w:val="00805223"/>
    <w:rsid w:val="00805239"/>
    <w:rsid w:val="008052A8"/>
    <w:rsid w:val="008052BC"/>
    <w:rsid w:val="008052BD"/>
    <w:rsid w:val="0080533A"/>
    <w:rsid w:val="0080535D"/>
    <w:rsid w:val="0080538B"/>
    <w:rsid w:val="008053C5"/>
    <w:rsid w:val="008053F2"/>
    <w:rsid w:val="008053FA"/>
    <w:rsid w:val="00805421"/>
    <w:rsid w:val="00805475"/>
    <w:rsid w:val="00805507"/>
    <w:rsid w:val="008055E3"/>
    <w:rsid w:val="00805720"/>
    <w:rsid w:val="00805751"/>
    <w:rsid w:val="0080575F"/>
    <w:rsid w:val="008057C6"/>
    <w:rsid w:val="00805858"/>
    <w:rsid w:val="00805929"/>
    <w:rsid w:val="008059E6"/>
    <w:rsid w:val="00805A2A"/>
    <w:rsid w:val="00805A40"/>
    <w:rsid w:val="00805AD5"/>
    <w:rsid w:val="00805C28"/>
    <w:rsid w:val="00805C36"/>
    <w:rsid w:val="00805C50"/>
    <w:rsid w:val="00805C7C"/>
    <w:rsid w:val="00805DB8"/>
    <w:rsid w:val="00805E0E"/>
    <w:rsid w:val="00805E36"/>
    <w:rsid w:val="00805E50"/>
    <w:rsid w:val="00805E7A"/>
    <w:rsid w:val="00805E81"/>
    <w:rsid w:val="00805EA7"/>
    <w:rsid w:val="00805FE4"/>
    <w:rsid w:val="00805FED"/>
    <w:rsid w:val="008060B2"/>
    <w:rsid w:val="008060F7"/>
    <w:rsid w:val="00806178"/>
    <w:rsid w:val="008061CF"/>
    <w:rsid w:val="0080649F"/>
    <w:rsid w:val="008064AC"/>
    <w:rsid w:val="00806510"/>
    <w:rsid w:val="00806538"/>
    <w:rsid w:val="00806542"/>
    <w:rsid w:val="0080659E"/>
    <w:rsid w:val="008066F7"/>
    <w:rsid w:val="0080678B"/>
    <w:rsid w:val="008067D5"/>
    <w:rsid w:val="00806806"/>
    <w:rsid w:val="00806879"/>
    <w:rsid w:val="00806957"/>
    <w:rsid w:val="00806985"/>
    <w:rsid w:val="008069D9"/>
    <w:rsid w:val="00806A40"/>
    <w:rsid w:val="00806A42"/>
    <w:rsid w:val="00806A81"/>
    <w:rsid w:val="00806B03"/>
    <w:rsid w:val="00806B05"/>
    <w:rsid w:val="00806B3C"/>
    <w:rsid w:val="00806B4E"/>
    <w:rsid w:val="00806BB7"/>
    <w:rsid w:val="00806BBF"/>
    <w:rsid w:val="00806C65"/>
    <w:rsid w:val="00806D00"/>
    <w:rsid w:val="00806D36"/>
    <w:rsid w:val="00806D4B"/>
    <w:rsid w:val="00806D6B"/>
    <w:rsid w:val="00806D90"/>
    <w:rsid w:val="00806DAC"/>
    <w:rsid w:val="00806F86"/>
    <w:rsid w:val="008070CC"/>
    <w:rsid w:val="0080730C"/>
    <w:rsid w:val="008073BE"/>
    <w:rsid w:val="008073BF"/>
    <w:rsid w:val="008074C7"/>
    <w:rsid w:val="0080752B"/>
    <w:rsid w:val="008076BD"/>
    <w:rsid w:val="00807734"/>
    <w:rsid w:val="0080774A"/>
    <w:rsid w:val="0080776B"/>
    <w:rsid w:val="00807775"/>
    <w:rsid w:val="008077F1"/>
    <w:rsid w:val="008078C9"/>
    <w:rsid w:val="008078DD"/>
    <w:rsid w:val="008078E0"/>
    <w:rsid w:val="008078F0"/>
    <w:rsid w:val="0080793A"/>
    <w:rsid w:val="0080798C"/>
    <w:rsid w:val="008079EC"/>
    <w:rsid w:val="008079EF"/>
    <w:rsid w:val="00807A15"/>
    <w:rsid w:val="00807B53"/>
    <w:rsid w:val="00807C63"/>
    <w:rsid w:val="00807CB4"/>
    <w:rsid w:val="00807D2B"/>
    <w:rsid w:val="00807D88"/>
    <w:rsid w:val="00807D9E"/>
    <w:rsid w:val="00807E78"/>
    <w:rsid w:val="00807E9B"/>
    <w:rsid w:val="00807EB6"/>
    <w:rsid w:val="00807F45"/>
    <w:rsid w:val="00807F79"/>
    <w:rsid w:val="00810027"/>
    <w:rsid w:val="00810047"/>
    <w:rsid w:val="00810087"/>
    <w:rsid w:val="008100BB"/>
    <w:rsid w:val="0081023F"/>
    <w:rsid w:val="00810249"/>
    <w:rsid w:val="00810272"/>
    <w:rsid w:val="008102EA"/>
    <w:rsid w:val="008102EE"/>
    <w:rsid w:val="00810319"/>
    <w:rsid w:val="008104AA"/>
    <w:rsid w:val="008104B1"/>
    <w:rsid w:val="008104BC"/>
    <w:rsid w:val="00810512"/>
    <w:rsid w:val="00810638"/>
    <w:rsid w:val="00810670"/>
    <w:rsid w:val="008106BA"/>
    <w:rsid w:val="00810785"/>
    <w:rsid w:val="008107A7"/>
    <w:rsid w:val="008107FD"/>
    <w:rsid w:val="008108CE"/>
    <w:rsid w:val="0081090A"/>
    <w:rsid w:val="0081097E"/>
    <w:rsid w:val="00810ACB"/>
    <w:rsid w:val="00810B65"/>
    <w:rsid w:val="00810BDB"/>
    <w:rsid w:val="00810C28"/>
    <w:rsid w:val="00810C39"/>
    <w:rsid w:val="00810C51"/>
    <w:rsid w:val="00810C7D"/>
    <w:rsid w:val="00810C8B"/>
    <w:rsid w:val="00810CF1"/>
    <w:rsid w:val="00810CF2"/>
    <w:rsid w:val="00810CFA"/>
    <w:rsid w:val="00810D35"/>
    <w:rsid w:val="00810D9E"/>
    <w:rsid w:val="00810E3C"/>
    <w:rsid w:val="00810EE9"/>
    <w:rsid w:val="00810F5D"/>
    <w:rsid w:val="00811012"/>
    <w:rsid w:val="0081109C"/>
    <w:rsid w:val="008110F1"/>
    <w:rsid w:val="00811103"/>
    <w:rsid w:val="00811119"/>
    <w:rsid w:val="0081115C"/>
    <w:rsid w:val="00811223"/>
    <w:rsid w:val="00811237"/>
    <w:rsid w:val="0081128F"/>
    <w:rsid w:val="008112E4"/>
    <w:rsid w:val="00811767"/>
    <w:rsid w:val="00811803"/>
    <w:rsid w:val="0081181C"/>
    <w:rsid w:val="008118A3"/>
    <w:rsid w:val="008118AE"/>
    <w:rsid w:val="00811953"/>
    <w:rsid w:val="00811A1C"/>
    <w:rsid w:val="00811A91"/>
    <w:rsid w:val="00811B4A"/>
    <w:rsid w:val="00811CCF"/>
    <w:rsid w:val="00811CDD"/>
    <w:rsid w:val="00811DDB"/>
    <w:rsid w:val="00811E26"/>
    <w:rsid w:val="00811EC7"/>
    <w:rsid w:val="00811EEC"/>
    <w:rsid w:val="00811F35"/>
    <w:rsid w:val="00811FEE"/>
    <w:rsid w:val="00812039"/>
    <w:rsid w:val="00812043"/>
    <w:rsid w:val="008120A0"/>
    <w:rsid w:val="0081216C"/>
    <w:rsid w:val="0081217F"/>
    <w:rsid w:val="008121D7"/>
    <w:rsid w:val="0081223A"/>
    <w:rsid w:val="00812271"/>
    <w:rsid w:val="0081229C"/>
    <w:rsid w:val="008122B4"/>
    <w:rsid w:val="00812399"/>
    <w:rsid w:val="0081248A"/>
    <w:rsid w:val="008124D0"/>
    <w:rsid w:val="008124D2"/>
    <w:rsid w:val="00812501"/>
    <w:rsid w:val="00812542"/>
    <w:rsid w:val="008126EC"/>
    <w:rsid w:val="00812739"/>
    <w:rsid w:val="00812784"/>
    <w:rsid w:val="00812850"/>
    <w:rsid w:val="008129EB"/>
    <w:rsid w:val="00812AB5"/>
    <w:rsid w:val="00812ABA"/>
    <w:rsid w:val="00812B2C"/>
    <w:rsid w:val="00812B61"/>
    <w:rsid w:val="00812BCB"/>
    <w:rsid w:val="00812C65"/>
    <w:rsid w:val="00812C72"/>
    <w:rsid w:val="00812CBC"/>
    <w:rsid w:val="00812D1A"/>
    <w:rsid w:val="00812D61"/>
    <w:rsid w:val="00812D81"/>
    <w:rsid w:val="00812D8C"/>
    <w:rsid w:val="00812DB1"/>
    <w:rsid w:val="00812FA7"/>
    <w:rsid w:val="00812FE0"/>
    <w:rsid w:val="00813031"/>
    <w:rsid w:val="00813071"/>
    <w:rsid w:val="00813075"/>
    <w:rsid w:val="008130B9"/>
    <w:rsid w:val="008130DE"/>
    <w:rsid w:val="008130FB"/>
    <w:rsid w:val="008131A7"/>
    <w:rsid w:val="0081321E"/>
    <w:rsid w:val="0081324F"/>
    <w:rsid w:val="008132C0"/>
    <w:rsid w:val="008132FA"/>
    <w:rsid w:val="0081331F"/>
    <w:rsid w:val="0081332C"/>
    <w:rsid w:val="0081339F"/>
    <w:rsid w:val="0081348E"/>
    <w:rsid w:val="008134FC"/>
    <w:rsid w:val="00813648"/>
    <w:rsid w:val="008137E9"/>
    <w:rsid w:val="008137F4"/>
    <w:rsid w:val="00813806"/>
    <w:rsid w:val="00813812"/>
    <w:rsid w:val="00813814"/>
    <w:rsid w:val="008138BA"/>
    <w:rsid w:val="008138D1"/>
    <w:rsid w:val="008138F1"/>
    <w:rsid w:val="008138FF"/>
    <w:rsid w:val="008139BC"/>
    <w:rsid w:val="00813A99"/>
    <w:rsid w:val="00813AB0"/>
    <w:rsid w:val="00813AE4"/>
    <w:rsid w:val="00813BE8"/>
    <w:rsid w:val="00813C12"/>
    <w:rsid w:val="00813C15"/>
    <w:rsid w:val="00813C3B"/>
    <w:rsid w:val="00813D69"/>
    <w:rsid w:val="00813D6B"/>
    <w:rsid w:val="00813E57"/>
    <w:rsid w:val="00813E8E"/>
    <w:rsid w:val="00813EB3"/>
    <w:rsid w:val="00813F05"/>
    <w:rsid w:val="00813F2E"/>
    <w:rsid w:val="00813FC8"/>
    <w:rsid w:val="00813FE0"/>
    <w:rsid w:val="00813FF4"/>
    <w:rsid w:val="0081400F"/>
    <w:rsid w:val="00814010"/>
    <w:rsid w:val="0081401C"/>
    <w:rsid w:val="008140E5"/>
    <w:rsid w:val="00814177"/>
    <w:rsid w:val="008141E0"/>
    <w:rsid w:val="008142F7"/>
    <w:rsid w:val="008142FC"/>
    <w:rsid w:val="008143F1"/>
    <w:rsid w:val="00814404"/>
    <w:rsid w:val="008144FF"/>
    <w:rsid w:val="00814556"/>
    <w:rsid w:val="008145ED"/>
    <w:rsid w:val="008145F4"/>
    <w:rsid w:val="00814602"/>
    <w:rsid w:val="00814634"/>
    <w:rsid w:val="008146C4"/>
    <w:rsid w:val="008146CE"/>
    <w:rsid w:val="00814767"/>
    <w:rsid w:val="0081476D"/>
    <w:rsid w:val="008147BB"/>
    <w:rsid w:val="008148BE"/>
    <w:rsid w:val="008148D0"/>
    <w:rsid w:val="008148E6"/>
    <w:rsid w:val="0081496E"/>
    <w:rsid w:val="008149C8"/>
    <w:rsid w:val="008149EA"/>
    <w:rsid w:val="00814A02"/>
    <w:rsid w:val="00814A08"/>
    <w:rsid w:val="00814B05"/>
    <w:rsid w:val="00814BDB"/>
    <w:rsid w:val="00814C5D"/>
    <w:rsid w:val="00814D1D"/>
    <w:rsid w:val="00814D20"/>
    <w:rsid w:val="00814D8B"/>
    <w:rsid w:val="00814E3A"/>
    <w:rsid w:val="00814E3F"/>
    <w:rsid w:val="00814F16"/>
    <w:rsid w:val="00814F26"/>
    <w:rsid w:val="00814F38"/>
    <w:rsid w:val="00814FDB"/>
    <w:rsid w:val="008150E7"/>
    <w:rsid w:val="00815240"/>
    <w:rsid w:val="008152A1"/>
    <w:rsid w:val="0081530B"/>
    <w:rsid w:val="00815368"/>
    <w:rsid w:val="0081547B"/>
    <w:rsid w:val="008154C7"/>
    <w:rsid w:val="008154EF"/>
    <w:rsid w:val="00815544"/>
    <w:rsid w:val="0081555C"/>
    <w:rsid w:val="008156ED"/>
    <w:rsid w:val="0081571D"/>
    <w:rsid w:val="008157AC"/>
    <w:rsid w:val="008157CE"/>
    <w:rsid w:val="0081590C"/>
    <w:rsid w:val="00815931"/>
    <w:rsid w:val="008159A2"/>
    <w:rsid w:val="00815A9D"/>
    <w:rsid w:val="00815B1E"/>
    <w:rsid w:val="00815B72"/>
    <w:rsid w:val="00815C3B"/>
    <w:rsid w:val="00815C7A"/>
    <w:rsid w:val="00815C7D"/>
    <w:rsid w:val="00815CB0"/>
    <w:rsid w:val="00815CC0"/>
    <w:rsid w:val="00815CEB"/>
    <w:rsid w:val="00815D08"/>
    <w:rsid w:val="00815E80"/>
    <w:rsid w:val="00815F78"/>
    <w:rsid w:val="00815FFA"/>
    <w:rsid w:val="00816037"/>
    <w:rsid w:val="0081607B"/>
    <w:rsid w:val="0081607E"/>
    <w:rsid w:val="008160AA"/>
    <w:rsid w:val="008160AD"/>
    <w:rsid w:val="008160BA"/>
    <w:rsid w:val="0081615C"/>
    <w:rsid w:val="00816183"/>
    <w:rsid w:val="008161B9"/>
    <w:rsid w:val="008161FE"/>
    <w:rsid w:val="00816200"/>
    <w:rsid w:val="00816254"/>
    <w:rsid w:val="00816283"/>
    <w:rsid w:val="008162A7"/>
    <w:rsid w:val="0081635C"/>
    <w:rsid w:val="008163A1"/>
    <w:rsid w:val="00816493"/>
    <w:rsid w:val="0081652B"/>
    <w:rsid w:val="00816532"/>
    <w:rsid w:val="0081659D"/>
    <w:rsid w:val="008166F4"/>
    <w:rsid w:val="00816793"/>
    <w:rsid w:val="008167BC"/>
    <w:rsid w:val="008167BF"/>
    <w:rsid w:val="00816843"/>
    <w:rsid w:val="00816911"/>
    <w:rsid w:val="00816985"/>
    <w:rsid w:val="00816A71"/>
    <w:rsid w:val="00816A8A"/>
    <w:rsid w:val="00816B3C"/>
    <w:rsid w:val="00816C3B"/>
    <w:rsid w:val="00816C79"/>
    <w:rsid w:val="00816C9C"/>
    <w:rsid w:val="00816D00"/>
    <w:rsid w:val="00816D08"/>
    <w:rsid w:val="00816F28"/>
    <w:rsid w:val="00816F90"/>
    <w:rsid w:val="008171FA"/>
    <w:rsid w:val="0081725A"/>
    <w:rsid w:val="008172A2"/>
    <w:rsid w:val="00817384"/>
    <w:rsid w:val="00817387"/>
    <w:rsid w:val="008173D7"/>
    <w:rsid w:val="0081745A"/>
    <w:rsid w:val="00817489"/>
    <w:rsid w:val="008174F2"/>
    <w:rsid w:val="00817511"/>
    <w:rsid w:val="0081753D"/>
    <w:rsid w:val="0081763C"/>
    <w:rsid w:val="0081773B"/>
    <w:rsid w:val="00817810"/>
    <w:rsid w:val="00817876"/>
    <w:rsid w:val="008178CD"/>
    <w:rsid w:val="00817970"/>
    <w:rsid w:val="008179A6"/>
    <w:rsid w:val="008179D4"/>
    <w:rsid w:val="00817A2C"/>
    <w:rsid w:val="00817A4D"/>
    <w:rsid w:val="00817B25"/>
    <w:rsid w:val="00817BA7"/>
    <w:rsid w:val="00817BC0"/>
    <w:rsid w:val="00817D95"/>
    <w:rsid w:val="00817DAD"/>
    <w:rsid w:val="00817DDC"/>
    <w:rsid w:val="00817E4C"/>
    <w:rsid w:val="00817F28"/>
    <w:rsid w:val="0082003C"/>
    <w:rsid w:val="008200AE"/>
    <w:rsid w:val="008200F9"/>
    <w:rsid w:val="008201A6"/>
    <w:rsid w:val="008201E1"/>
    <w:rsid w:val="008201F2"/>
    <w:rsid w:val="008202ED"/>
    <w:rsid w:val="00820333"/>
    <w:rsid w:val="00820474"/>
    <w:rsid w:val="008204A6"/>
    <w:rsid w:val="008204D2"/>
    <w:rsid w:val="008204D5"/>
    <w:rsid w:val="0082057F"/>
    <w:rsid w:val="008206C6"/>
    <w:rsid w:val="008206DC"/>
    <w:rsid w:val="00820750"/>
    <w:rsid w:val="00820774"/>
    <w:rsid w:val="0082079F"/>
    <w:rsid w:val="00820854"/>
    <w:rsid w:val="008208D1"/>
    <w:rsid w:val="00820919"/>
    <w:rsid w:val="0082092D"/>
    <w:rsid w:val="00820961"/>
    <w:rsid w:val="0082096A"/>
    <w:rsid w:val="00820976"/>
    <w:rsid w:val="00820AAC"/>
    <w:rsid w:val="00820AFE"/>
    <w:rsid w:val="00820B36"/>
    <w:rsid w:val="00820B94"/>
    <w:rsid w:val="00820BA0"/>
    <w:rsid w:val="00820C1E"/>
    <w:rsid w:val="00820C8A"/>
    <w:rsid w:val="00820CC4"/>
    <w:rsid w:val="00820E27"/>
    <w:rsid w:val="00820E37"/>
    <w:rsid w:val="00820E3C"/>
    <w:rsid w:val="00820E58"/>
    <w:rsid w:val="00820E9B"/>
    <w:rsid w:val="00820E9C"/>
    <w:rsid w:val="00820F4D"/>
    <w:rsid w:val="00820F57"/>
    <w:rsid w:val="00820F6A"/>
    <w:rsid w:val="00821022"/>
    <w:rsid w:val="00821045"/>
    <w:rsid w:val="0082106A"/>
    <w:rsid w:val="00821080"/>
    <w:rsid w:val="00821081"/>
    <w:rsid w:val="00821182"/>
    <w:rsid w:val="008211FC"/>
    <w:rsid w:val="0082125A"/>
    <w:rsid w:val="0082132A"/>
    <w:rsid w:val="008214A5"/>
    <w:rsid w:val="008214AB"/>
    <w:rsid w:val="008215E1"/>
    <w:rsid w:val="00821671"/>
    <w:rsid w:val="008216B5"/>
    <w:rsid w:val="00821717"/>
    <w:rsid w:val="008217A5"/>
    <w:rsid w:val="00821882"/>
    <w:rsid w:val="0082195C"/>
    <w:rsid w:val="0082197D"/>
    <w:rsid w:val="00821A7D"/>
    <w:rsid w:val="00821A8A"/>
    <w:rsid w:val="00821AEA"/>
    <w:rsid w:val="00821B27"/>
    <w:rsid w:val="00821B57"/>
    <w:rsid w:val="00821C87"/>
    <w:rsid w:val="00821D13"/>
    <w:rsid w:val="00821D71"/>
    <w:rsid w:val="00821D7B"/>
    <w:rsid w:val="00821DCA"/>
    <w:rsid w:val="00821E1F"/>
    <w:rsid w:val="00821E89"/>
    <w:rsid w:val="00821F49"/>
    <w:rsid w:val="00821FB4"/>
    <w:rsid w:val="0082200D"/>
    <w:rsid w:val="008220B8"/>
    <w:rsid w:val="00822114"/>
    <w:rsid w:val="008222AD"/>
    <w:rsid w:val="008222B2"/>
    <w:rsid w:val="0082232A"/>
    <w:rsid w:val="0082238E"/>
    <w:rsid w:val="00822396"/>
    <w:rsid w:val="00822431"/>
    <w:rsid w:val="008224D6"/>
    <w:rsid w:val="00822511"/>
    <w:rsid w:val="0082255D"/>
    <w:rsid w:val="00822572"/>
    <w:rsid w:val="00822574"/>
    <w:rsid w:val="0082257C"/>
    <w:rsid w:val="00822617"/>
    <w:rsid w:val="00822619"/>
    <w:rsid w:val="0082261A"/>
    <w:rsid w:val="00822748"/>
    <w:rsid w:val="0082299E"/>
    <w:rsid w:val="008229C2"/>
    <w:rsid w:val="008229DA"/>
    <w:rsid w:val="00822B17"/>
    <w:rsid w:val="00822CED"/>
    <w:rsid w:val="00822D3A"/>
    <w:rsid w:val="00822DA7"/>
    <w:rsid w:val="00822DB8"/>
    <w:rsid w:val="00822E57"/>
    <w:rsid w:val="00822F30"/>
    <w:rsid w:val="00822F55"/>
    <w:rsid w:val="00823031"/>
    <w:rsid w:val="008230BE"/>
    <w:rsid w:val="008230D1"/>
    <w:rsid w:val="008230E2"/>
    <w:rsid w:val="008231BB"/>
    <w:rsid w:val="0082321E"/>
    <w:rsid w:val="0082328A"/>
    <w:rsid w:val="00823294"/>
    <w:rsid w:val="008232FF"/>
    <w:rsid w:val="00823422"/>
    <w:rsid w:val="0082343D"/>
    <w:rsid w:val="008234A4"/>
    <w:rsid w:val="008234DC"/>
    <w:rsid w:val="008234E8"/>
    <w:rsid w:val="0082355E"/>
    <w:rsid w:val="0082357B"/>
    <w:rsid w:val="008235D8"/>
    <w:rsid w:val="008236C6"/>
    <w:rsid w:val="00823789"/>
    <w:rsid w:val="00823799"/>
    <w:rsid w:val="008237AE"/>
    <w:rsid w:val="0082385E"/>
    <w:rsid w:val="008238CA"/>
    <w:rsid w:val="008238D0"/>
    <w:rsid w:val="008239C6"/>
    <w:rsid w:val="00823A9B"/>
    <w:rsid w:val="00823AB8"/>
    <w:rsid w:val="00823AEB"/>
    <w:rsid w:val="00823B75"/>
    <w:rsid w:val="00823BD2"/>
    <w:rsid w:val="00823C26"/>
    <w:rsid w:val="00823C98"/>
    <w:rsid w:val="00823D1D"/>
    <w:rsid w:val="00823D45"/>
    <w:rsid w:val="00823D57"/>
    <w:rsid w:val="00823DA8"/>
    <w:rsid w:val="00823DB9"/>
    <w:rsid w:val="00823DE4"/>
    <w:rsid w:val="00823E53"/>
    <w:rsid w:val="00823E81"/>
    <w:rsid w:val="00823E89"/>
    <w:rsid w:val="00823E8C"/>
    <w:rsid w:val="00823E99"/>
    <w:rsid w:val="00823E9D"/>
    <w:rsid w:val="00823EBC"/>
    <w:rsid w:val="00823EFE"/>
    <w:rsid w:val="00823F26"/>
    <w:rsid w:val="00823FFE"/>
    <w:rsid w:val="0082403D"/>
    <w:rsid w:val="00824062"/>
    <w:rsid w:val="00824069"/>
    <w:rsid w:val="00824079"/>
    <w:rsid w:val="00824113"/>
    <w:rsid w:val="00824149"/>
    <w:rsid w:val="008242B7"/>
    <w:rsid w:val="00824301"/>
    <w:rsid w:val="008244D9"/>
    <w:rsid w:val="008244E6"/>
    <w:rsid w:val="008244E8"/>
    <w:rsid w:val="008244FD"/>
    <w:rsid w:val="00824547"/>
    <w:rsid w:val="0082458C"/>
    <w:rsid w:val="008245C9"/>
    <w:rsid w:val="008245CE"/>
    <w:rsid w:val="008245D4"/>
    <w:rsid w:val="0082460F"/>
    <w:rsid w:val="0082461E"/>
    <w:rsid w:val="0082466B"/>
    <w:rsid w:val="008246EF"/>
    <w:rsid w:val="008246F1"/>
    <w:rsid w:val="008247C9"/>
    <w:rsid w:val="00824800"/>
    <w:rsid w:val="0082480C"/>
    <w:rsid w:val="0082486F"/>
    <w:rsid w:val="008248BD"/>
    <w:rsid w:val="00824999"/>
    <w:rsid w:val="0082499D"/>
    <w:rsid w:val="008249FC"/>
    <w:rsid w:val="00824AA5"/>
    <w:rsid w:val="00824AC6"/>
    <w:rsid w:val="00824B1B"/>
    <w:rsid w:val="00824B21"/>
    <w:rsid w:val="00824B72"/>
    <w:rsid w:val="00824B9F"/>
    <w:rsid w:val="00824BDE"/>
    <w:rsid w:val="00824C5F"/>
    <w:rsid w:val="00824D1E"/>
    <w:rsid w:val="00824E16"/>
    <w:rsid w:val="00824F10"/>
    <w:rsid w:val="00824F30"/>
    <w:rsid w:val="00824F6D"/>
    <w:rsid w:val="00824FB2"/>
    <w:rsid w:val="00824FDB"/>
    <w:rsid w:val="00825014"/>
    <w:rsid w:val="0082504A"/>
    <w:rsid w:val="0082507D"/>
    <w:rsid w:val="008250DD"/>
    <w:rsid w:val="00825129"/>
    <w:rsid w:val="00825134"/>
    <w:rsid w:val="008251A5"/>
    <w:rsid w:val="00825204"/>
    <w:rsid w:val="0082527D"/>
    <w:rsid w:val="00825283"/>
    <w:rsid w:val="008252A2"/>
    <w:rsid w:val="008252B4"/>
    <w:rsid w:val="008252EA"/>
    <w:rsid w:val="008253F6"/>
    <w:rsid w:val="0082540E"/>
    <w:rsid w:val="00825453"/>
    <w:rsid w:val="008254F9"/>
    <w:rsid w:val="0082551B"/>
    <w:rsid w:val="0082562F"/>
    <w:rsid w:val="0082567D"/>
    <w:rsid w:val="008256AB"/>
    <w:rsid w:val="008256C9"/>
    <w:rsid w:val="008257B7"/>
    <w:rsid w:val="008257EE"/>
    <w:rsid w:val="00825817"/>
    <w:rsid w:val="008258A1"/>
    <w:rsid w:val="008258C0"/>
    <w:rsid w:val="00825922"/>
    <w:rsid w:val="0082595D"/>
    <w:rsid w:val="008259C5"/>
    <w:rsid w:val="00825A21"/>
    <w:rsid w:val="00825A43"/>
    <w:rsid w:val="00825A5D"/>
    <w:rsid w:val="00825AF9"/>
    <w:rsid w:val="00825B5C"/>
    <w:rsid w:val="00825B80"/>
    <w:rsid w:val="00825B97"/>
    <w:rsid w:val="00825BD9"/>
    <w:rsid w:val="00825C9D"/>
    <w:rsid w:val="00825CBE"/>
    <w:rsid w:val="00825ED5"/>
    <w:rsid w:val="00825EF1"/>
    <w:rsid w:val="00825F1F"/>
    <w:rsid w:val="00825F45"/>
    <w:rsid w:val="00825FC9"/>
    <w:rsid w:val="0082605B"/>
    <w:rsid w:val="008260E5"/>
    <w:rsid w:val="008260FD"/>
    <w:rsid w:val="0082617D"/>
    <w:rsid w:val="0082619D"/>
    <w:rsid w:val="0082627E"/>
    <w:rsid w:val="00826293"/>
    <w:rsid w:val="00826343"/>
    <w:rsid w:val="008263FF"/>
    <w:rsid w:val="0082645E"/>
    <w:rsid w:val="00826475"/>
    <w:rsid w:val="00826556"/>
    <w:rsid w:val="00826610"/>
    <w:rsid w:val="00826667"/>
    <w:rsid w:val="0082666D"/>
    <w:rsid w:val="00826682"/>
    <w:rsid w:val="00826835"/>
    <w:rsid w:val="0082684F"/>
    <w:rsid w:val="00826856"/>
    <w:rsid w:val="0082689F"/>
    <w:rsid w:val="0082694B"/>
    <w:rsid w:val="00826967"/>
    <w:rsid w:val="008269A6"/>
    <w:rsid w:val="008269D0"/>
    <w:rsid w:val="008269E8"/>
    <w:rsid w:val="00826A0C"/>
    <w:rsid w:val="00826B54"/>
    <w:rsid w:val="00826B62"/>
    <w:rsid w:val="00826B77"/>
    <w:rsid w:val="00826BA5"/>
    <w:rsid w:val="00826BEE"/>
    <w:rsid w:val="00826BF8"/>
    <w:rsid w:val="00826DEC"/>
    <w:rsid w:val="00826E67"/>
    <w:rsid w:val="00826E68"/>
    <w:rsid w:val="00826F53"/>
    <w:rsid w:val="008270CA"/>
    <w:rsid w:val="00827299"/>
    <w:rsid w:val="0082736C"/>
    <w:rsid w:val="008273FA"/>
    <w:rsid w:val="00827436"/>
    <w:rsid w:val="00827548"/>
    <w:rsid w:val="0082756E"/>
    <w:rsid w:val="0082759C"/>
    <w:rsid w:val="0082760C"/>
    <w:rsid w:val="00827613"/>
    <w:rsid w:val="0082763F"/>
    <w:rsid w:val="008276B4"/>
    <w:rsid w:val="008276F0"/>
    <w:rsid w:val="0082770B"/>
    <w:rsid w:val="008277BB"/>
    <w:rsid w:val="008277C6"/>
    <w:rsid w:val="00827865"/>
    <w:rsid w:val="00827866"/>
    <w:rsid w:val="0082786D"/>
    <w:rsid w:val="008278A4"/>
    <w:rsid w:val="008278DD"/>
    <w:rsid w:val="00827BE7"/>
    <w:rsid w:val="00827C87"/>
    <w:rsid w:val="00827C8B"/>
    <w:rsid w:val="00827CE7"/>
    <w:rsid w:val="00827CEF"/>
    <w:rsid w:val="00827E77"/>
    <w:rsid w:val="00827E95"/>
    <w:rsid w:val="00830009"/>
    <w:rsid w:val="00830069"/>
    <w:rsid w:val="00830102"/>
    <w:rsid w:val="00830184"/>
    <w:rsid w:val="008301CA"/>
    <w:rsid w:val="008301F6"/>
    <w:rsid w:val="0083021F"/>
    <w:rsid w:val="00830497"/>
    <w:rsid w:val="008304D9"/>
    <w:rsid w:val="00830555"/>
    <w:rsid w:val="008305D7"/>
    <w:rsid w:val="008306C6"/>
    <w:rsid w:val="008306CF"/>
    <w:rsid w:val="00830717"/>
    <w:rsid w:val="00830786"/>
    <w:rsid w:val="0083084A"/>
    <w:rsid w:val="00830862"/>
    <w:rsid w:val="0083086E"/>
    <w:rsid w:val="00830926"/>
    <w:rsid w:val="00830940"/>
    <w:rsid w:val="008309B7"/>
    <w:rsid w:val="008309E6"/>
    <w:rsid w:val="00830A16"/>
    <w:rsid w:val="00830ADF"/>
    <w:rsid w:val="00830AE6"/>
    <w:rsid w:val="00830AFC"/>
    <w:rsid w:val="00830B75"/>
    <w:rsid w:val="00830BBF"/>
    <w:rsid w:val="00830BCD"/>
    <w:rsid w:val="00830CEE"/>
    <w:rsid w:val="00830DB3"/>
    <w:rsid w:val="00830DCE"/>
    <w:rsid w:val="00830E61"/>
    <w:rsid w:val="00830EFB"/>
    <w:rsid w:val="00830F44"/>
    <w:rsid w:val="00830F91"/>
    <w:rsid w:val="00830FE2"/>
    <w:rsid w:val="0083102E"/>
    <w:rsid w:val="0083105E"/>
    <w:rsid w:val="008310C6"/>
    <w:rsid w:val="008310EB"/>
    <w:rsid w:val="00831166"/>
    <w:rsid w:val="00831204"/>
    <w:rsid w:val="00831223"/>
    <w:rsid w:val="00831248"/>
    <w:rsid w:val="00831315"/>
    <w:rsid w:val="00831336"/>
    <w:rsid w:val="00831343"/>
    <w:rsid w:val="0083134F"/>
    <w:rsid w:val="0083139B"/>
    <w:rsid w:val="008313CA"/>
    <w:rsid w:val="008313D5"/>
    <w:rsid w:val="0083145C"/>
    <w:rsid w:val="008314E9"/>
    <w:rsid w:val="0083151A"/>
    <w:rsid w:val="00831543"/>
    <w:rsid w:val="0083160E"/>
    <w:rsid w:val="00831638"/>
    <w:rsid w:val="00831700"/>
    <w:rsid w:val="00831796"/>
    <w:rsid w:val="0083183E"/>
    <w:rsid w:val="008318CB"/>
    <w:rsid w:val="00831938"/>
    <w:rsid w:val="008319EF"/>
    <w:rsid w:val="00831A6A"/>
    <w:rsid w:val="00831AD6"/>
    <w:rsid w:val="00831B88"/>
    <w:rsid w:val="00831D51"/>
    <w:rsid w:val="00831D9C"/>
    <w:rsid w:val="00831DB0"/>
    <w:rsid w:val="00831E4D"/>
    <w:rsid w:val="00831EFB"/>
    <w:rsid w:val="00831FAC"/>
    <w:rsid w:val="00831FF2"/>
    <w:rsid w:val="00832040"/>
    <w:rsid w:val="008321A5"/>
    <w:rsid w:val="008321B7"/>
    <w:rsid w:val="008321BD"/>
    <w:rsid w:val="00832279"/>
    <w:rsid w:val="008322A9"/>
    <w:rsid w:val="008322CA"/>
    <w:rsid w:val="008322D5"/>
    <w:rsid w:val="00832336"/>
    <w:rsid w:val="00832392"/>
    <w:rsid w:val="008323F8"/>
    <w:rsid w:val="00832403"/>
    <w:rsid w:val="008324C9"/>
    <w:rsid w:val="008324E7"/>
    <w:rsid w:val="0083250E"/>
    <w:rsid w:val="00832510"/>
    <w:rsid w:val="00832570"/>
    <w:rsid w:val="00832587"/>
    <w:rsid w:val="00832777"/>
    <w:rsid w:val="008327B0"/>
    <w:rsid w:val="008327D2"/>
    <w:rsid w:val="008328F2"/>
    <w:rsid w:val="00832910"/>
    <w:rsid w:val="00832937"/>
    <w:rsid w:val="00832984"/>
    <w:rsid w:val="00832A16"/>
    <w:rsid w:val="00832ADB"/>
    <w:rsid w:val="00832B1A"/>
    <w:rsid w:val="00832B2D"/>
    <w:rsid w:val="00832B5A"/>
    <w:rsid w:val="00832B5B"/>
    <w:rsid w:val="00832BD8"/>
    <w:rsid w:val="00832BFC"/>
    <w:rsid w:val="00832C33"/>
    <w:rsid w:val="00832C65"/>
    <w:rsid w:val="00832C8F"/>
    <w:rsid w:val="00832C95"/>
    <w:rsid w:val="00832C9C"/>
    <w:rsid w:val="00832D79"/>
    <w:rsid w:val="00832DEC"/>
    <w:rsid w:val="00832E7E"/>
    <w:rsid w:val="00832E8D"/>
    <w:rsid w:val="00832EC1"/>
    <w:rsid w:val="00832FB8"/>
    <w:rsid w:val="00833001"/>
    <w:rsid w:val="00833087"/>
    <w:rsid w:val="008330F7"/>
    <w:rsid w:val="0083315F"/>
    <w:rsid w:val="008331D8"/>
    <w:rsid w:val="0083326E"/>
    <w:rsid w:val="00833278"/>
    <w:rsid w:val="0083332A"/>
    <w:rsid w:val="0083336F"/>
    <w:rsid w:val="008333A4"/>
    <w:rsid w:val="00833404"/>
    <w:rsid w:val="00833410"/>
    <w:rsid w:val="00833426"/>
    <w:rsid w:val="00833443"/>
    <w:rsid w:val="0083347F"/>
    <w:rsid w:val="008335AE"/>
    <w:rsid w:val="008335C0"/>
    <w:rsid w:val="00833605"/>
    <w:rsid w:val="00833633"/>
    <w:rsid w:val="00833650"/>
    <w:rsid w:val="0083376C"/>
    <w:rsid w:val="00833784"/>
    <w:rsid w:val="00833847"/>
    <w:rsid w:val="0083386C"/>
    <w:rsid w:val="008338A9"/>
    <w:rsid w:val="008338B4"/>
    <w:rsid w:val="008338C8"/>
    <w:rsid w:val="008338D3"/>
    <w:rsid w:val="00833940"/>
    <w:rsid w:val="00833A09"/>
    <w:rsid w:val="00833A55"/>
    <w:rsid w:val="00833C03"/>
    <w:rsid w:val="00833CFC"/>
    <w:rsid w:val="00833D13"/>
    <w:rsid w:val="00833E08"/>
    <w:rsid w:val="00833E57"/>
    <w:rsid w:val="00833E95"/>
    <w:rsid w:val="00833ECC"/>
    <w:rsid w:val="00833F0B"/>
    <w:rsid w:val="00833F19"/>
    <w:rsid w:val="0083404B"/>
    <w:rsid w:val="008340C4"/>
    <w:rsid w:val="008341D5"/>
    <w:rsid w:val="00834238"/>
    <w:rsid w:val="0083423F"/>
    <w:rsid w:val="00834254"/>
    <w:rsid w:val="00834295"/>
    <w:rsid w:val="008342CA"/>
    <w:rsid w:val="008342E6"/>
    <w:rsid w:val="00834350"/>
    <w:rsid w:val="0083440E"/>
    <w:rsid w:val="00834456"/>
    <w:rsid w:val="00834458"/>
    <w:rsid w:val="0083445E"/>
    <w:rsid w:val="008344AB"/>
    <w:rsid w:val="008344EE"/>
    <w:rsid w:val="00834557"/>
    <w:rsid w:val="0083466F"/>
    <w:rsid w:val="00834675"/>
    <w:rsid w:val="00834685"/>
    <w:rsid w:val="0083469D"/>
    <w:rsid w:val="00834762"/>
    <w:rsid w:val="00834780"/>
    <w:rsid w:val="00834784"/>
    <w:rsid w:val="0083496F"/>
    <w:rsid w:val="00834975"/>
    <w:rsid w:val="00834A42"/>
    <w:rsid w:val="00834A50"/>
    <w:rsid w:val="00834B4B"/>
    <w:rsid w:val="00834C0A"/>
    <w:rsid w:val="00834C40"/>
    <w:rsid w:val="00834C54"/>
    <w:rsid w:val="00834CA1"/>
    <w:rsid w:val="00834D51"/>
    <w:rsid w:val="00834D83"/>
    <w:rsid w:val="00834D8A"/>
    <w:rsid w:val="00834DF1"/>
    <w:rsid w:val="00834E73"/>
    <w:rsid w:val="00834E8F"/>
    <w:rsid w:val="00834E90"/>
    <w:rsid w:val="00834EC3"/>
    <w:rsid w:val="00834F44"/>
    <w:rsid w:val="00834FBC"/>
    <w:rsid w:val="00835002"/>
    <w:rsid w:val="00835065"/>
    <w:rsid w:val="0083507A"/>
    <w:rsid w:val="0083512A"/>
    <w:rsid w:val="00835140"/>
    <w:rsid w:val="0083522A"/>
    <w:rsid w:val="00835290"/>
    <w:rsid w:val="0083536D"/>
    <w:rsid w:val="008353DF"/>
    <w:rsid w:val="0083549A"/>
    <w:rsid w:val="008355B2"/>
    <w:rsid w:val="008355F0"/>
    <w:rsid w:val="008355F8"/>
    <w:rsid w:val="00835627"/>
    <w:rsid w:val="0083562F"/>
    <w:rsid w:val="008356E2"/>
    <w:rsid w:val="0083577C"/>
    <w:rsid w:val="008357E9"/>
    <w:rsid w:val="00835824"/>
    <w:rsid w:val="0083596C"/>
    <w:rsid w:val="00835A2E"/>
    <w:rsid w:val="00835B0C"/>
    <w:rsid w:val="00835B1D"/>
    <w:rsid w:val="00835B8D"/>
    <w:rsid w:val="00835C0F"/>
    <w:rsid w:val="00835C47"/>
    <w:rsid w:val="00835DF7"/>
    <w:rsid w:val="00835E45"/>
    <w:rsid w:val="00835F36"/>
    <w:rsid w:val="00835FDE"/>
    <w:rsid w:val="00836009"/>
    <w:rsid w:val="0083602A"/>
    <w:rsid w:val="00836034"/>
    <w:rsid w:val="00836058"/>
    <w:rsid w:val="0083609E"/>
    <w:rsid w:val="008360A0"/>
    <w:rsid w:val="0083616E"/>
    <w:rsid w:val="00836179"/>
    <w:rsid w:val="008361D9"/>
    <w:rsid w:val="008361E5"/>
    <w:rsid w:val="00836264"/>
    <w:rsid w:val="00836265"/>
    <w:rsid w:val="00836272"/>
    <w:rsid w:val="0083628A"/>
    <w:rsid w:val="00836377"/>
    <w:rsid w:val="00836426"/>
    <w:rsid w:val="008364D9"/>
    <w:rsid w:val="0083658E"/>
    <w:rsid w:val="008365DC"/>
    <w:rsid w:val="00836805"/>
    <w:rsid w:val="00836823"/>
    <w:rsid w:val="0083682A"/>
    <w:rsid w:val="0083684D"/>
    <w:rsid w:val="008368C8"/>
    <w:rsid w:val="008368E3"/>
    <w:rsid w:val="008369E5"/>
    <w:rsid w:val="00836A11"/>
    <w:rsid w:val="00836AFB"/>
    <w:rsid w:val="00836BA5"/>
    <w:rsid w:val="00836BF4"/>
    <w:rsid w:val="00836CCB"/>
    <w:rsid w:val="00836E5F"/>
    <w:rsid w:val="00836E65"/>
    <w:rsid w:val="00836E87"/>
    <w:rsid w:val="00836ED1"/>
    <w:rsid w:val="00836FA8"/>
    <w:rsid w:val="00837069"/>
    <w:rsid w:val="00837074"/>
    <w:rsid w:val="008370C7"/>
    <w:rsid w:val="00837103"/>
    <w:rsid w:val="00837194"/>
    <w:rsid w:val="008371B7"/>
    <w:rsid w:val="00837236"/>
    <w:rsid w:val="00837257"/>
    <w:rsid w:val="008372D9"/>
    <w:rsid w:val="00837475"/>
    <w:rsid w:val="00837596"/>
    <w:rsid w:val="008375A9"/>
    <w:rsid w:val="008375D0"/>
    <w:rsid w:val="0083765B"/>
    <w:rsid w:val="0083767C"/>
    <w:rsid w:val="008376B9"/>
    <w:rsid w:val="00837780"/>
    <w:rsid w:val="008377B2"/>
    <w:rsid w:val="00837856"/>
    <w:rsid w:val="008378C5"/>
    <w:rsid w:val="00837926"/>
    <w:rsid w:val="00837A38"/>
    <w:rsid w:val="00837A68"/>
    <w:rsid w:val="00837A94"/>
    <w:rsid w:val="00837AFD"/>
    <w:rsid w:val="00837BC7"/>
    <w:rsid w:val="00837C23"/>
    <w:rsid w:val="00837CBF"/>
    <w:rsid w:val="00837CC3"/>
    <w:rsid w:val="00837D0D"/>
    <w:rsid w:val="00837D64"/>
    <w:rsid w:val="00837D88"/>
    <w:rsid w:val="00837D9C"/>
    <w:rsid w:val="00837DCE"/>
    <w:rsid w:val="00837E77"/>
    <w:rsid w:val="00837E8B"/>
    <w:rsid w:val="00837F40"/>
    <w:rsid w:val="00837F52"/>
    <w:rsid w:val="00837F6D"/>
    <w:rsid w:val="00837F98"/>
    <w:rsid w:val="00840009"/>
    <w:rsid w:val="00840019"/>
    <w:rsid w:val="00840058"/>
    <w:rsid w:val="00840063"/>
    <w:rsid w:val="0084007F"/>
    <w:rsid w:val="00840090"/>
    <w:rsid w:val="008400E0"/>
    <w:rsid w:val="0084011F"/>
    <w:rsid w:val="00840241"/>
    <w:rsid w:val="0084025B"/>
    <w:rsid w:val="00840359"/>
    <w:rsid w:val="00840390"/>
    <w:rsid w:val="00840476"/>
    <w:rsid w:val="008404F4"/>
    <w:rsid w:val="00840511"/>
    <w:rsid w:val="0084053D"/>
    <w:rsid w:val="0084055E"/>
    <w:rsid w:val="008405C3"/>
    <w:rsid w:val="00840716"/>
    <w:rsid w:val="0084075E"/>
    <w:rsid w:val="00840778"/>
    <w:rsid w:val="00840798"/>
    <w:rsid w:val="008407AD"/>
    <w:rsid w:val="008407F3"/>
    <w:rsid w:val="00840819"/>
    <w:rsid w:val="0084085D"/>
    <w:rsid w:val="00840936"/>
    <w:rsid w:val="00840951"/>
    <w:rsid w:val="008409A6"/>
    <w:rsid w:val="008409EA"/>
    <w:rsid w:val="00840AC7"/>
    <w:rsid w:val="00840AF1"/>
    <w:rsid w:val="00840B0A"/>
    <w:rsid w:val="00840B85"/>
    <w:rsid w:val="00840BA0"/>
    <w:rsid w:val="00840C5D"/>
    <w:rsid w:val="00840C93"/>
    <w:rsid w:val="00840CD4"/>
    <w:rsid w:val="00840CD9"/>
    <w:rsid w:val="00840D16"/>
    <w:rsid w:val="00840D5C"/>
    <w:rsid w:val="00840DAA"/>
    <w:rsid w:val="00840DC2"/>
    <w:rsid w:val="00840DC7"/>
    <w:rsid w:val="00840DE0"/>
    <w:rsid w:val="00840DE1"/>
    <w:rsid w:val="00840DE9"/>
    <w:rsid w:val="00840E0C"/>
    <w:rsid w:val="00840E27"/>
    <w:rsid w:val="00840E40"/>
    <w:rsid w:val="00840E80"/>
    <w:rsid w:val="00840E95"/>
    <w:rsid w:val="00840F81"/>
    <w:rsid w:val="00840F86"/>
    <w:rsid w:val="00840FA4"/>
    <w:rsid w:val="00841024"/>
    <w:rsid w:val="0084104B"/>
    <w:rsid w:val="008410CB"/>
    <w:rsid w:val="0084139C"/>
    <w:rsid w:val="008413B2"/>
    <w:rsid w:val="008413F0"/>
    <w:rsid w:val="0084143C"/>
    <w:rsid w:val="00841475"/>
    <w:rsid w:val="008415F1"/>
    <w:rsid w:val="00841633"/>
    <w:rsid w:val="0084165C"/>
    <w:rsid w:val="00841677"/>
    <w:rsid w:val="008416FE"/>
    <w:rsid w:val="0084171A"/>
    <w:rsid w:val="00841722"/>
    <w:rsid w:val="008417C2"/>
    <w:rsid w:val="008417E9"/>
    <w:rsid w:val="00841811"/>
    <w:rsid w:val="00841831"/>
    <w:rsid w:val="008418CE"/>
    <w:rsid w:val="008418DE"/>
    <w:rsid w:val="00841907"/>
    <w:rsid w:val="00841981"/>
    <w:rsid w:val="008419B3"/>
    <w:rsid w:val="008419C2"/>
    <w:rsid w:val="00841A89"/>
    <w:rsid w:val="00841AAC"/>
    <w:rsid w:val="00841AAE"/>
    <w:rsid w:val="00841B42"/>
    <w:rsid w:val="00841BB2"/>
    <w:rsid w:val="00841CE0"/>
    <w:rsid w:val="00841D94"/>
    <w:rsid w:val="00841E0A"/>
    <w:rsid w:val="00841E35"/>
    <w:rsid w:val="00841E6B"/>
    <w:rsid w:val="00841E7A"/>
    <w:rsid w:val="00841F78"/>
    <w:rsid w:val="00841FA3"/>
    <w:rsid w:val="0084205D"/>
    <w:rsid w:val="00842071"/>
    <w:rsid w:val="0084209B"/>
    <w:rsid w:val="0084213A"/>
    <w:rsid w:val="0084217F"/>
    <w:rsid w:val="008421A4"/>
    <w:rsid w:val="008421B2"/>
    <w:rsid w:val="008421C0"/>
    <w:rsid w:val="00842230"/>
    <w:rsid w:val="00842279"/>
    <w:rsid w:val="00842282"/>
    <w:rsid w:val="00842284"/>
    <w:rsid w:val="008424AC"/>
    <w:rsid w:val="008424C9"/>
    <w:rsid w:val="008424F2"/>
    <w:rsid w:val="008425F6"/>
    <w:rsid w:val="00842620"/>
    <w:rsid w:val="0084263C"/>
    <w:rsid w:val="0084271F"/>
    <w:rsid w:val="00842735"/>
    <w:rsid w:val="008427B1"/>
    <w:rsid w:val="008427E4"/>
    <w:rsid w:val="008427ED"/>
    <w:rsid w:val="00842859"/>
    <w:rsid w:val="008428AA"/>
    <w:rsid w:val="0084291D"/>
    <w:rsid w:val="00842931"/>
    <w:rsid w:val="00842983"/>
    <w:rsid w:val="008429C6"/>
    <w:rsid w:val="008429DD"/>
    <w:rsid w:val="008429F2"/>
    <w:rsid w:val="00842AA4"/>
    <w:rsid w:val="00842B28"/>
    <w:rsid w:val="00842B2F"/>
    <w:rsid w:val="00842BC8"/>
    <w:rsid w:val="00842BD7"/>
    <w:rsid w:val="00842CC2"/>
    <w:rsid w:val="00842D6F"/>
    <w:rsid w:val="00842E1D"/>
    <w:rsid w:val="00842E48"/>
    <w:rsid w:val="00842EB3"/>
    <w:rsid w:val="00842ECE"/>
    <w:rsid w:val="00842ED4"/>
    <w:rsid w:val="00842F7B"/>
    <w:rsid w:val="00842FF1"/>
    <w:rsid w:val="00843025"/>
    <w:rsid w:val="00843090"/>
    <w:rsid w:val="008430AD"/>
    <w:rsid w:val="008430D0"/>
    <w:rsid w:val="008431F3"/>
    <w:rsid w:val="0084320C"/>
    <w:rsid w:val="0084331A"/>
    <w:rsid w:val="00843363"/>
    <w:rsid w:val="008433F3"/>
    <w:rsid w:val="00843401"/>
    <w:rsid w:val="0084344D"/>
    <w:rsid w:val="008434CD"/>
    <w:rsid w:val="00843546"/>
    <w:rsid w:val="00843658"/>
    <w:rsid w:val="00843796"/>
    <w:rsid w:val="00843806"/>
    <w:rsid w:val="0084387A"/>
    <w:rsid w:val="0084388A"/>
    <w:rsid w:val="008438FD"/>
    <w:rsid w:val="00843908"/>
    <w:rsid w:val="0084399B"/>
    <w:rsid w:val="008439D4"/>
    <w:rsid w:val="00843A8B"/>
    <w:rsid w:val="00843B41"/>
    <w:rsid w:val="00843B5E"/>
    <w:rsid w:val="00843BDE"/>
    <w:rsid w:val="00843C36"/>
    <w:rsid w:val="00843C49"/>
    <w:rsid w:val="00843C62"/>
    <w:rsid w:val="00843C69"/>
    <w:rsid w:val="00843C8B"/>
    <w:rsid w:val="00843CFA"/>
    <w:rsid w:val="00843D73"/>
    <w:rsid w:val="00843DBC"/>
    <w:rsid w:val="00843E18"/>
    <w:rsid w:val="00843EA2"/>
    <w:rsid w:val="00843EF5"/>
    <w:rsid w:val="00843F09"/>
    <w:rsid w:val="00843F76"/>
    <w:rsid w:val="00843FD0"/>
    <w:rsid w:val="00844029"/>
    <w:rsid w:val="00844031"/>
    <w:rsid w:val="0084410F"/>
    <w:rsid w:val="008441DB"/>
    <w:rsid w:val="0084423B"/>
    <w:rsid w:val="00844272"/>
    <w:rsid w:val="008442AB"/>
    <w:rsid w:val="008442D8"/>
    <w:rsid w:val="0084433D"/>
    <w:rsid w:val="0084434E"/>
    <w:rsid w:val="00844362"/>
    <w:rsid w:val="00844432"/>
    <w:rsid w:val="0084444C"/>
    <w:rsid w:val="008444CA"/>
    <w:rsid w:val="0084455C"/>
    <w:rsid w:val="00844561"/>
    <w:rsid w:val="008445F4"/>
    <w:rsid w:val="00844634"/>
    <w:rsid w:val="008446AD"/>
    <w:rsid w:val="008446DD"/>
    <w:rsid w:val="008446EB"/>
    <w:rsid w:val="008447BD"/>
    <w:rsid w:val="00844873"/>
    <w:rsid w:val="008448E3"/>
    <w:rsid w:val="00844918"/>
    <w:rsid w:val="00844927"/>
    <w:rsid w:val="00844941"/>
    <w:rsid w:val="0084497E"/>
    <w:rsid w:val="008449AF"/>
    <w:rsid w:val="008449B1"/>
    <w:rsid w:val="008449B6"/>
    <w:rsid w:val="008449D5"/>
    <w:rsid w:val="008449E7"/>
    <w:rsid w:val="00844A2F"/>
    <w:rsid w:val="00844B04"/>
    <w:rsid w:val="00844B2B"/>
    <w:rsid w:val="00844B61"/>
    <w:rsid w:val="00844D27"/>
    <w:rsid w:val="00844D2F"/>
    <w:rsid w:val="00844D44"/>
    <w:rsid w:val="00844D57"/>
    <w:rsid w:val="00844E12"/>
    <w:rsid w:val="00844EEF"/>
    <w:rsid w:val="00844EF2"/>
    <w:rsid w:val="00844F41"/>
    <w:rsid w:val="00844F65"/>
    <w:rsid w:val="00844F90"/>
    <w:rsid w:val="00844FA5"/>
    <w:rsid w:val="008450C4"/>
    <w:rsid w:val="008450F6"/>
    <w:rsid w:val="0084516B"/>
    <w:rsid w:val="00845175"/>
    <w:rsid w:val="00845278"/>
    <w:rsid w:val="008452C9"/>
    <w:rsid w:val="00845324"/>
    <w:rsid w:val="008454AC"/>
    <w:rsid w:val="00845534"/>
    <w:rsid w:val="00845590"/>
    <w:rsid w:val="0084562F"/>
    <w:rsid w:val="00845643"/>
    <w:rsid w:val="0084565A"/>
    <w:rsid w:val="0084566C"/>
    <w:rsid w:val="008456B4"/>
    <w:rsid w:val="0084570B"/>
    <w:rsid w:val="00845729"/>
    <w:rsid w:val="0084576A"/>
    <w:rsid w:val="008457CE"/>
    <w:rsid w:val="00845838"/>
    <w:rsid w:val="0084586C"/>
    <w:rsid w:val="00845905"/>
    <w:rsid w:val="00845920"/>
    <w:rsid w:val="0084594E"/>
    <w:rsid w:val="00845982"/>
    <w:rsid w:val="0084598F"/>
    <w:rsid w:val="008459A2"/>
    <w:rsid w:val="008459F2"/>
    <w:rsid w:val="00845AA4"/>
    <w:rsid w:val="00845AFA"/>
    <w:rsid w:val="00845C18"/>
    <w:rsid w:val="00845C21"/>
    <w:rsid w:val="00845C40"/>
    <w:rsid w:val="00845D99"/>
    <w:rsid w:val="00845E92"/>
    <w:rsid w:val="00845EA2"/>
    <w:rsid w:val="00845EBD"/>
    <w:rsid w:val="00845ECB"/>
    <w:rsid w:val="00845F2C"/>
    <w:rsid w:val="00845F9B"/>
    <w:rsid w:val="00846058"/>
    <w:rsid w:val="0084618C"/>
    <w:rsid w:val="008461FC"/>
    <w:rsid w:val="0084623F"/>
    <w:rsid w:val="00846242"/>
    <w:rsid w:val="008462E3"/>
    <w:rsid w:val="00846373"/>
    <w:rsid w:val="00846375"/>
    <w:rsid w:val="00846436"/>
    <w:rsid w:val="0084643E"/>
    <w:rsid w:val="008464F5"/>
    <w:rsid w:val="00846521"/>
    <w:rsid w:val="00846565"/>
    <w:rsid w:val="0084659E"/>
    <w:rsid w:val="008465B3"/>
    <w:rsid w:val="008465F5"/>
    <w:rsid w:val="00846633"/>
    <w:rsid w:val="00846640"/>
    <w:rsid w:val="00846666"/>
    <w:rsid w:val="0084666B"/>
    <w:rsid w:val="008466A7"/>
    <w:rsid w:val="00846716"/>
    <w:rsid w:val="008468B5"/>
    <w:rsid w:val="008468F8"/>
    <w:rsid w:val="00846951"/>
    <w:rsid w:val="00846956"/>
    <w:rsid w:val="008469D5"/>
    <w:rsid w:val="00846C26"/>
    <w:rsid w:val="00846C51"/>
    <w:rsid w:val="00846D00"/>
    <w:rsid w:val="00846DE6"/>
    <w:rsid w:val="00846E1A"/>
    <w:rsid w:val="00846F49"/>
    <w:rsid w:val="00846F87"/>
    <w:rsid w:val="00847031"/>
    <w:rsid w:val="008470FB"/>
    <w:rsid w:val="0084712D"/>
    <w:rsid w:val="008472C0"/>
    <w:rsid w:val="008472D3"/>
    <w:rsid w:val="0084739A"/>
    <w:rsid w:val="008473DF"/>
    <w:rsid w:val="008474C0"/>
    <w:rsid w:val="008474E9"/>
    <w:rsid w:val="008474EA"/>
    <w:rsid w:val="00847516"/>
    <w:rsid w:val="0084755A"/>
    <w:rsid w:val="0084758C"/>
    <w:rsid w:val="00847597"/>
    <w:rsid w:val="008475F3"/>
    <w:rsid w:val="00847640"/>
    <w:rsid w:val="0084769B"/>
    <w:rsid w:val="008476BE"/>
    <w:rsid w:val="008476E0"/>
    <w:rsid w:val="00847736"/>
    <w:rsid w:val="0084779A"/>
    <w:rsid w:val="008477D0"/>
    <w:rsid w:val="00847805"/>
    <w:rsid w:val="0084790D"/>
    <w:rsid w:val="00847930"/>
    <w:rsid w:val="00847935"/>
    <w:rsid w:val="008479FF"/>
    <w:rsid w:val="00847A59"/>
    <w:rsid w:val="00847A8F"/>
    <w:rsid w:val="00847B08"/>
    <w:rsid w:val="00847B5E"/>
    <w:rsid w:val="00847B8B"/>
    <w:rsid w:val="00847B8F"/>
    <w:rsid w:val="00847BFE"/>
    <w:rsid w:val="00847D1B"/>
    <w:rsid w:val="00847D6A"/>
    <w:rsid w:val="00847DA4"/>
    <w:rsid w:val="00847E7D"/>
    <w:rsid w:val="00847E97"/>
    <w:rsid w:val="00847FC8"/>
    <w:rsid w:val="00850007"/>
    <w:rsid w:val="00850040"/>
    <w:rsid w:val="0085004D"/>
    <w:rsid w:val="00850081"/>
    <w:rsid w:val="008500CF"/>
    <w:rsid w:val="00850181"/>
    <w:rsid w:val="008501F5"/>
    <w:rsid w:val="00850262"/>
    <w:rsid w:val="008502E5"/>
    <w:rsid w:val="008502F4"/>
    <w:rsid w:val="00850319"/>
    <w:rsid w:val="00850360"/>
    <w:rsid w:val="00850419"/>
    <w:rsid w:val="00850570"/>
    <w:rsid w:val="00850668"/>
    <w:rsid w:val="0085070F"/>
    <w:rsid w:val="00850792"/>
    <w:rsid w:val="0085088B"/>
    <w:rsid w:val="008508AE"/>
    <w:rsid w:val="00850A46"/>
    <w:rsid w:val="00850A6C"/>
    <w:rsid w:val="00850ACA"/>
    <w:rsid w:val="00850B14"/>
    <w:rsid w:val="00850BF9"/>
    <w:rsid w:val="00850C12"/>
    <w:rsid w:val="00850C93"/>
    <w:rsid w:val="00850CBB"/>
    <w:rsid w:val="00850CDB"/>
    <w:rsid w:val="00850D9C"/>
    <w:rsid w:val="00850E07"/>
    <w:rsid w:val="00850EB6"/>
    <w:rsid w:val="00850FA8"/>
    <w:rsid w:val="00851125"/>
    <w:rsid w:val="0085115B"/>
    <w:rsid w:val="00851246"/>
    <w:rsid w:val="00851377"/>
    <w:rsid w:val="008513D5"/>
    <w:rsid w:val="0085144A"/>
    <w:rsid w:val="008514BE"/>
    <w:rsid w:val="008514D6"/>
    <w:rsid w:val="008514DC"/>
    <w:rsid w:val="008514E5"/>
    <w:rsid w:val="008514F9"/>
    <w:rsid w:val="00851554"/>
    <w:rsid w:val="00851570"/>
    <w:rsid w:val="008515B6"/>
    <w:rsid w:val="008516D2"/>
    <w:rsid w:val="00851763"/>
    <w:rsid w:val="00851771"/>
    <w:rsid w:val="00851857"/>
    <w:rsid w:val="00851931"/>
    <w:rsid w:val="00851932"/>
    <w:rsid w:val="00851978"/>
    <w:rsid w:val="008519F0"/>
    <w:rsid w:val="00851A25"/>
    <w:rsid w:val="00851ABB"/>
    <w:rsid w:val="00851B0F"/>
    <w:rsid w:val="00851B51"/>
    <w:rsid w:val="00851BC3"/>
    <w:rsid w:val="00851BDB"/>
    <w:rsid w:val="00851C2C"/>
    <w:rsid w:val="00851DCB"/>
    <w:rsid w:val="00851F1C"/>
    <w:rsid w:val="00851F22"/>
    <w:rsid w:val="00851FBE"/>
    <w:rsid w:val="00851FD3"/>
    <w:rsid w:val="0085201B"/>
    <w:rsid w:val="0085206F"/>
    <w:rsid w:val="00852076"/>
    <w:rsid w:val="00852173"/>
    <w:rsid w:val="008521B7"/>
    <w:rsid w:val="008521BE"/>
    <w:rsid w:val="008522EB"/>
    <w:rsid w:val="0085235A"/>
    <w:rsid w:val="008523AC"/>
    <w:rsid w:val="008523B3"/>
    <w:rsid w:val="0085251A"/>
    <w:rsid w:val="0085251D"/>
    <w:rsid w:val="00852563"/>
    <w:rsid w:val="00852578"/>
    <w:rsid w:val="008525D1"/>
    <w:rsid w:val="00852641"/>
    <w:rsid w:val="0085265C"/>
    <w:rsid w:val="00852707"/>
    <w:rsid w:val="0085279E"/>
    <w:rsid w:val="008527E9"/>
    <w:rsid w:val="008527F3"/>
    <w:rsid w:val="00852887"/>
    <w:rsid w:val="008528C2"/>
    <w:rsid w:val="008528CA"/>
    <w:rsid w:val="00852978"/>
    <w:rsid w:val="008529D1"/>
    <w:rsid w:val="00852B57"/>
    <w:rsid w:val="00852B86"/>
    <w:rsid w:val="00852BF3"/>
    <w:rsid w:val="00852C79"/>
    <w:rsid w:val="00852C8E"/>
    <w:rsid w:val="00852C98"/>
    <w:rsid w:val="00852CB8"/>
    <w:rsid w:val="00852CBA"/>
    <w:rsid w:val="00852F16"/>
    <w:rsid w:val="00852F6E"/>
    <w:rsid w:val="00853011"/>
    <w:rsid w:val="00853045"/>
    <w:rsid w:val="00853088"/>
    <w:rsid w:val="00853103"/>
    <w:rsid w:val="00853110"/>
    <w:rsid w:val="0085315C"/>
    <w:rsid w:val="00853195"/>
    <w:rsid w:val="008531A5"/>
    <w:rsid w:val="00853271"/>
    <w:rsid w:val="008532E8"/>
    <w:rsid w:val="00853345"/>
    <w:rsid w:val="008534D8"/>
    <w:rsid w:val="00853594"/>
    <w:rsid w:val="008535B8"/>
    <w:rsid w:val="008535CB"/>
    <w:rsid w:val="008535D3"/>
    <w:rsid w:val="00853605"/>
    <w:rsid w:val="008538E1"/>
    <w:rsid w:val="008538EF"/>
    <w:rsid w:val="00853938"/>
    <w:rsid w:val="00853941"/>
    <w:rsid w:val="008539AB"/>
    <w:rsid w:val="008539C5"/>
    <w:rsid w:val="008539E0"/>
    <w:rsid w:val="00853A05"/>
    <w:rsid w:val="00853A10"/>
    <w:rsid w:val="00853A37"/>
    <w:rsid w:val="00853B21"/>
    <w:rsid w:val="00853B36"/>
    <w:rsid w:val="00853B88"/>
    <w:rsid w:val="00853BD7"/>
    <w:rsid w:val="00853BDE"/>
    <w:rsid w:val="00853BEF"/>
    <w:rsid w:val="00853C1F"/>
    <w:rsid w:val="00853C22"/>
    <w:rsid w:val="00853CB3"/>
    <w:rsid w:val="00853CF1"/>
    <w:rsid w:val="00853D5A"/>
    <w:rsid w:val="00853DC0"/>
    <w:rsid w:val="00853E65"/>
    <w:rsid w:val="00853E8E"/>
    <w:rsid w:val="00854014"/>
    <w:rsid w:val="0085405E"/>
    <w:rsid w:val="00854082"/>
    <w:rsid w:val="00854090"/>
    <w:rsid w:val="008540AC"/>
    <w:rsid w:val="008540D5"/>
    <w:rsid w:val="008540E7"/>
    <w:rsid w:val="00854242"/>
    <w:rsid w:val="008542F0"/>
    <w:rsid w:val="00854331"/>
    <w:rsid w:val="0085437A"/>
    <w:rsid w:val="008543A7"/>
    <w:rsid w:val="008543FA"/>
    <w:rsid w:val="00854453"/>
    <w:rsid w:val="008544DA"/>
    <w:rsid w:val="0085450A"/>
    <w:rsid w:val="00854532"/>
    <w:rsid w:val="008545BD"/>
    <w:rsid w:val="0085464E"/>
    <w:rsid w:val="00854693"/>
    <w:rsid w:val="00854706"/>
    <w:rsid w:val="0085479B"/>
    <w:rsid w:val="008547A0"/>
    <w:rsid w:val="0085484F"/>
    <w:rsid w:val="008548E7"/>
    <w:rsid w:val="008549F7"/>
    <w:rsid w:val="00854A37"/>
    <w:rsid w:val="00854AFE"/>
    <w:rsid w:val="00854B08"/>
    <w:rsid w:val="00854B9F"/>
    <w:rsid w:val="00854C80"/>
    <w:rsid w:val="00854D76"/>
    <w:rsid w:val="00854D83"/>
    <w:rsid w:val="00854DD7"/>
    <w:rsid w:val="00854DE2"/>
    <w:rsid w:val="00854E96"/>
    <w:rsid w:val="00854F91"/>
    <w:rsid w:val="008550D2"/>
    <w:rsid w:val="00855117"/>
    <w:rsid w:val="0085515B"/>
    <w:rsid w:val="00855186"/>
    <w:rsid w:val="00855241"/>
    <w:rsid w:val="00855248"/>
    <w:rsid w:val="008552ED"/>
    <w:rsid w:val="008552FD"/>
    <w:rsid w:val="00855363"/>
    <w:rsid w:val="008553A4"/>
    <w:rsid w:val="008553B8"/>
    <w:rsid w:val="0085540B"/>
    <w:rsid w:val="008554C1"/>
    <w:rsid w:val="008554CA"/>
    <w:rsid w:val="0085552C"/>
    <w:rsid w:val="00855581"/>
    <w:rsid w:val="008556C6"/>
    <w:rsid w:val="00855732"/>
    <w:rsid w:val="00855800"/>
    <w:rsid w:val="008558D4"/>
    <w:rsid w:val="00855976"/>
    <w:rsid w:val="008559FC"/>
    <w:rsid w:val="00855A4C"/>
    <w:rsid w:val="00855A51"/>
    <w:rsid w:val="00855A67"/>
    <w:rsid w:val="00855B14"/>
    <w:rsid w:val="00855C0B"/>
    <w:rsid w:val="00855CDA"/>
    <w:rsid w:val="00855D05"/>
    <w:rsid w:val="00855D5A"/>
    <w:rsid w:val="00855DE8"/>
    <w:rsid w:val="00855E9C"/>
    <w:rsid w:val="00855EB7"/>
    <w:rsid w:val="00855EE5"/>
    <w:rsid w:val="00855EF8"/>
    <w:rsid w:val="00855F22"/>
    <w:rsid w:val="00855F3D"/>
    <w:rsid w:val="00855FC0"/>
    <w:rsid w:val="0085608E"/>
    <w:rsid w:val="008560AF"/>
    <w:rsid w:val="00856177"/>
    <w:rsid w:val="008561B9"/>
    <w:rsid w:val="008561D8"/>
    <w:rsid w:val="00856255"/>
    <w:rsid w:val="00856264"/>
    <w:rsid w:val="008562BA"/>
    <w:rsid w:val="008562FB"/>
    <w:rsid w:val="0085632B"/>
    <w:rsid w:val="0085636A"/>
    <w:rsid w:val="008563E6"/>
    <w:rsid w:val="008564A2"/>
    <w:rsid w:val="0085653A"/>
    <w:rsid w:val="008566A5"/>
    <w:rsid w:val="008566E9"/>
    <w:rsid w:val="00856750"/>
    <w:rsid w:val="00856781"/>
    <w:rsid w:val="00856790"/>
    <w:rsid w:val="00856937"/>
    <w:rsid w:val="008569EE"/>
    <w:rsid w:val="00856ABE"/>
    <w:rsid w:val="00856B03"/>
    <w:rsid w:val="00856B22"/>
    <w:rsid w:val="00856B49"/>
    <w:rsid w:val="00856B96"/>
    <w:rsid w:val="00856BC9"/>
    <w:rsid w:val="00856BCB"/>
    <w:rsid w:val="00856C57"/>
    <w:rsid w:val="00856D5B"/>
    <w:rsid w:val="00856E83"/>
    <w:rsid w:val="00856E9E"/>
    <w:rsid w:val="00856FA4"/>
    <w:rsid w:val="00857002"/>
    <w:rsid w:val="0085707C"/>
    <w:rsid w:val="008570E8"/>
    <w:rsid w:val="0085712B"/>
    <w:rsid w:val="0085712D"/>
    <w:rsid w:val="00857146"/>
    <w:rsid w:val="008571F7"/>
    <w:rsid w:val="0085722E"/>
    <w:rsid w:val="008572D2"/>
    <w:rsid w:val="008572F5"/>
    <w:rsid w:val="008573CA"/>
    <w:rsid w:val="008573EF"/>
    <w:rsid w:val="0085743D"/>
    <w:rsid w:val="008574D6"/>
    <w:rsid w:val="008574DF"/>
    <w:rsid w:val="00857511"/>
    <w:rsid w:val="00857530"/>
    <w:rsid w:val="00857593"/>
    <w:rsid w:val="008575C8"/>
    <w:rsid w:val="00857600"/>
    <w:rsid w:val="0085763E"/>
    <w:rsid w:val="00857645"/>
    <w:rsid w:val="008576CB"/>
    <w:rsid w:val="008576E9"/>
    <w:rsid w:val="0085777A"/>
    <w:rsid w:val="0085777C"/>
    <w:rsid w:val="0085778C"/>
    <w:rsid w:val="0085780D"/>
    <w:rsid w:val="00857843"/>
    <w:rsid w:val="008578D1"/>
    <w:rsid w:val="008578DA"/>
    <w:rsid w:val="00857A1C"/>
    <w:rsid w:val="00857A54"/>
    <w:rsid w:val="00857A71"/>
    <w:rsid w:val="00857A8C"/>
    <w:rsid w:val="00857ABE"/>
    <w:rsid w:val="00857AC6"/>
    <w:rsid w:val="00857ACA"/>
    <w:rsid w:val="00857AD7"/>
    <w:rsid w:val="00857AE5"/>
    <w:rsid w:val="00857B59"/>
    <w:rsid w:val="00857BB2"/>
    <w:rsid w:val="00857BEA"/>
    <w:rsid w:val="00857C01"/>
    <w:rsid w:val="00857C2F"/>
    <w:rsid w:val="00857C9B"/>
    <w:rsid w:val="00857DED"/>
    <w:rsid w:val="00857DFF"/>
    <w:rsid w:val="00857E4D"/>
    <w:rsid w:val="00857E9D"/>
    <w:rsid w:val="00857EA6"/>
    <w:rsid w:val="00857EC5"/>
    <w:rsid w:val="00857F0F"/>
    <w:rsid w:val="00857F38"/>
    <w:rsid w:val="00857FDC"/>
    <w:rsid w:val="008601AF"/>
    <w:rsid w:val="008601B8"/>
    <w:rsid w:val="008601D6"/>
    <w:rsid w:val="008601FE"/>
    <w:rsid w:val="008602AF"/>
    <w:rsid w:val="00860376"/>
    <w:rsid w:val="008604D4"/>
    <w:rsid w:val="0086056E"/>
    <w:rsid w:val="0086057A"/>
    <w:rsid w:val="00860603"/>
    <w:rsid w:val="0086066E"/>
    <w:rsid w:val="00860691"/>
    <w:rsid w:val="0086078A"/>
    <w:rsid w:val="0086079F"/>
    <w:rsid w:val="0086084E"/>
    <w:rsid w:val="008608A3"/>
    <w:rsid w:val="008608AC"/>
    <w:rsid w:val="008608E2"/>
    <w:rsid w:val="00860906"/>
    <w:rsid w:val="00860916"/>
    <w:rsid w:val="0086093B"/>
    <w:rsid w:val="00860958"/>
    <w:rsid w:val="008609AF"/>
    <w:rsid w:val="008609C8"/>
    <w:rsid w:val="00860A5B"/>
    <w:rsid w:val="00860A90"/>
    <w:rsid w:val="00860AFB"/>
    <w:rsid w:val="00860C1D"/>
    <w:rsid w:val="00860CBB"/>
    <w:rsid w:val="00860D13"/>
    <w:rsid w:val="00860D20"/>
    <w:rsid w:val="00860D2A"/>
    <w:rsid w:val="00860F34"/>
    <w:rsid w:val="00860FBF"/>
    <w:rsid w:val="00860FE4"/>
    <w:rsid w:val="00860FFC"/>
    <w:rsid w:val="0086102C"/>
    <w:rsid w:val="00861065"/>
    <w:rsid w:val="00861082"/>
    <w:rsid w:val="008610BF"/>
    <w:rsid w:val="008610D2"/>
    <w:rsid w:val="00861173"/>
    <w:rsid w:val="0086119C"/>
    <w:rsid w:val="008611E3"/>
    <w:rsid w:val="0086120E"/>
    <w:rsid w:val="0086121F"/>
    <w:rsid w:val="00861220"/>
    <w:rsid w:val="00861232"/>
    <w:rsid w:val="008612C5"/>
    <w:rsid w:val="00861347"/>
    <w:rsid w:val="008613B8"/>
    <w:rsid w:val="008613BD"/>
    <w:rsid w:val="008613CF"/>
    <w:rsid w:val="00861459"/>
    <w:rsid w:val="00861463"/>
    <w:rsid w:val="008614CA"/>
    <w:rsid w:val="008614EE"/>
    <w:rsid w:val="0086151A"/>
    <w:rsid w:val="0086158C"/>
    <w:rsid w:val="008615CD"/>
    <w:rsid w:val="008615F1"/>
    <w:rsid w:val="008616AD"/>
    <w:rsid w:val="008616E2"/>
    <w:rsid w:val="00861782"/>
    <w:rsid w:val="0086178D"/>
    <w:rsid w:val="008617DD"/>
    <w:rsid w:val="00861898"/>
    <w:rsid w:val="008618D1"/>
    <w:rsid w:val="0086193B"/>
    <w:rsid w:val="008619E4"/>
    <w:rsid w:val="00861A1D"/>
    <w:rsid w:val="00861AD3"/>
    <w:rsid w:val="00861BD1"/>
    <w:rsid w:val="00861BDC"/>
    <w:rsid w:val="00861BF8"/>
    <w:rsid w:val="00861C14"/>
    <w:rsid w:val="00861CFB"/>
    <w:rsid w:val="00861D1E"/>
    <w:rsid w:val="00861D93"/>
    <w:rsid w:val="00861D99"/>
    <w:rsid w:val="00861E06"/>
    <w:rsid w:val="00861E28"/>
    <w:rsid w:val="00861E35"/>
    <w:rsid w:val="00861E4F"/>
    <w:rsid w:val="00861F08"/>
    <w:rsid w:val="00861F8B"/>
    <w:rsid w:val="00861FAF"/>
    <w:rsid w:val="00861FF3"/>
    <w:rsid w:val="00861FFA"/>
    <w:rsid w:val="00862025"/>
    <w:rsid w:val="008620D6"/>
    <w:rsid w:val="00862114"/>
    <w:rsid w:val="00862133"/>
    <w:rsid w:val="0086213E"/>
    <w:rsid w:val="00862196"/>
    <w:rsid w:val="008621A0"/>
    <w:rsid w:val="0086227D"/>
    <w:rsid w:val="00862329"/>
    <w:rsid w:val="00862385"/>
    <w:rsid w:val="00862387"/>
    <w:rsid w:val="0086242D"/>
    <w:rsid w:val="0086242F"/>
    <w:rsid w:val="00862462"/>
    <w:rsid w:val="00862484"/>
    <w:rsid w:val="008624A3"/>
    <w:rsid w:val="008624BE"/>
    <w:rsid w:val="0086254F"/>
    <w:rsid w:val="0086262F"/>
    <w:rsid w:val="00862661"/>
    <w:rsid w:val="008626B3"/>
    <w:rsid w:val="0086272A"/>
    <w:rsid w:val="00862783"/>
    <w:rsid w:val="008627C9"/>
    <w:rsid w:val="0086288A"/>
    <w:rsid w:val="00862898"/>
    <w:rsid w:val="00862935"/>
    <w:rsid w:val="008629E8"/>
    <w:rsid w:val="00862A24"/>
    <w:rsid w:val="00862A58"/>
    <w:rsid w:val="00862AD0"/>
    <w:rsid w:val="00862AEC"/>
    <w:rsid w:val="00862AF1"/>
    <w:rsid w:val="00862B26"/>
    <w:rsid w:val="00862B47"/>
    <w:rsid w:val="00862B93"/>
    <w:rsid w:val="00862BDF"/>
    <w:rsid w:val="00862BFA"/>
    <w:rsid w:val="00862D39"/>
    <w:rsid w:val="00862D81"/>
    <w:rsid w:val="00862E8A"/>
    <w:rsid w:val="00862ECB"/>
    <w:rsid w:val="00862F6D"/>
    <w:rsid w:val="00862FA4"/>
    <w:rsid w:val="0086304B"/>
    <w:rsid w:val="0086312D"/>
    <w:rsid w:val="00863165"/>
    <w:rsid w:val="0086317C"/>
    <w:rsid w:val="00863275"/>
    <w:rsid w:val="008632DE"/>
    <w:rsid w:val="00863376"/>
    <w:rsid w:val="00863384"/>
    <w:rsid w:val="008634E8"/>
    <w:rsid w:val="00863522"/>
    <w:rsid w:val="0086353C"/>
    <w:rsid w:val="0086356E"/>
    <w:rsid w:val="0086361C"/>
    <w:rsid w:val="008636AF"/>
    <w:rsid w:val="008636DC"/>
    <w:rsid w:val="008636F0"/>
    <w:rsid w:val="008636FF"/>
    <w:rsid w:val="00863778"/>
    <w:rsid w:val="008637C8"/>
    <w:rsid w:val="00863816"/>
    <w:rsid w:val="0086389B"/>
    <w:rsid w:val="00863952"/>
    <w:rsid w:val="008639CD"/>
    <w:rsid w:val="00863A06"/>
    <w:rsid w:val="00863A22"/>
    <w:rsid w:val="00863B71"/>
    <w:rsid w:val="00863C6F"/>
    <w:rsid w:val="00863C9F"/>
    <w:rsid w:val="00863D07"/>
    <w:rsid w:val="00863D61"/>
    <w:rsid w:val="00863DF6"/>
    <w:rsid w:val="00863E8A"/>
    <w:rsid w:val="00863ED5"/>
    <w:rsid w:val="00863EEE"/>
    <w:rsid w:val="00863FAE"/>
    <w:rsid w:val="00863FBE"/>
    <w:rsid w:val="0086411D"/>
    <w:rsid w:val="00864276"/>
    <w:rsid w:val="008642ED"/>
    <w:rsid w:val="0086443C"/>
    <w:rsid w:val="0086444B"/>
    <w:rsid w:val="00864481"/>
    <w:rsid w:val="008646BF"/>
    <w:rsid w:val="00864706"/>
    <w:rsid w:val="008647BE"/>
    <w:rsid w:val="00864841"/>
    <w:rsid w:val="00864888"/>
    <w:rsid w:val="008648EF"/>
    <w:rsid w:val="00864943"/>
    <w:rsid w:val="00864960"/>
    <w:rsid w:val="00864A04"/>
    <w:rsid w:val="00864A09"/>
    <w:rsid w:val="00864A1B"/>
    <w:rsid w:val="00864B10"/>
    <w:rsid w:val="00864C10"/>
    <w:rsid w:val="00864C34"/>
    <w:rsid w:val="00864D1D"/>
    <w:rsid w:val="00864DC6"/>
    <w:rsid w:val="00864E1F"/>
    <w:rsid w:val="00864E45"/>
    <w:rsid w:val="00864E93"/>
    <w:rsid w:val="00864EAD"/>
    <w:rsid w:val="00864EB4"/>
    <w:rsid w:val="00864EE3"/>
    <w:rsid w:val="00864EFC"/>
    <w:rsid w:val="00864F0C"/>
    <w:rsid w:val="00864F3C"/>
    <w:rsid w:val="0086504B"/>
    <w:rsid w:val="00865171"/>
    <w:rsid w:val="008651D0"/>
    <w:rsid w:val="008652B5"/>
    <w:rsid w:val="008652C3"/>
    <w:rsid w:val="00865367"/>
    <w:rsid w:val="00865416"/>
    <w:rsid w:val="00865471"/>
    <w:rsid w:val="00865498"/>
    <w:rsid w:val="008654C2"/>
    <w:rsid w:val="008654C4"/>
    <w:rsid w:val="008654C6"/>
    <w:rsid w:val="008654C8"/>
    <w:rsid w:val="008654D0"/>
    <w:rsid w:val="008654E0"/>
    <w:rsid w:val="00865521"/>
    <w:rsid w:val="00865526"/>
    <w:rsid w:val="0086558C"/>
    <w:rsid w:val="0086567D"/>
    <w:rsid w:val="0086568B"/>
    <w:rsid w:val="00865738"/>
    <w:rsid w:val="00865785"/>
    <w:rsid w:val="008657AA"/>
    <w:rsid w:val="008657CA"/>
    <w:rsid w:val="00865853"/>
    <w:rsid w:val="00865854"/>
    <w:rsid w:val="00865897"/>
    <w:rsid w:val="008658F3"/>
    <w:rsid w:val="0086594C"/>
    <w:rsid w:val="00865A1F"/>
    <w:rsid w:val="00865A38"/>
    <w:rsid w:val="00865AD6"/>
    <w:rsid w:val="00865AEA"/>
    <w:rsid w:val="00865AF1"/>
    <w:rsid w:val="00865B11"/>
    <w:rsid w:val="00865B7C"/>
    <w:rsid w:val="00865B8C"/>
    <w:rsid w:val="00865BA2"/>
    <w:rsid w:val="00865C6E"/>
    <w:rsid w:val="00865C97"/>
    <w:rsid w:val="00865D3D"/>
    <w:rsid w:val="00865D87"/>
    <w:rsid w:val="00865DA3"/>
    <w:rsid w:val="00865F52"/>
    <w:rsid w:val="00865F9A"/>
    <w:rsid w:val="00865FAD"/>
    <w:rsid w:val="00865FE3"/>
    <w:rsid w:val="00866005"/>
    <w:rsid w:val="00866014"/>
    <w:rsid w:val="008660FE"/>
    <w:rsid w:val="00866209"/>
    <w:rsid w:val="008662C8"/>
    <w:rsid w:val="0086635C"/>
    <w:rsid w:val="0086638C"/>
    <w:rsid w:val="0086638E"/>
    <w:rsid w:val="008663B5"/>
    <w:rsid w:val="008663BE"/>
    <w:rsid w:val="00866417"/>
    <w:rsid w:val="00866538"/>
    <w:rsid w:val="00866600"/>
    <w:rsid w:val="0086667D"/>
    <w:rsid w:val="008666BE"/>
    <w:rsid w:val="008666CF"/>
    <w:rsid w:val="008666F9"/>
    <w:rsid w:val="00866766"/>
    <w:rsid w:val="00866795"/>
    <w:rsid w:val="008667ED"/>
    <w:rsid w:val="00866816"/>
    <w:rsid w:val="00866820"/>
    <w:rsid w:val="00866848"/>
    <w:rsid w:val="00866857"/>
    <w:rsid w:val="008668C7"/>
    <w:rsid w:val="00866972"/>
    <w:rsid w:val="008669BF"/>
    <w:rsid w:val="00866A06"/>
    <w:rsid w:val="00866A63"/>
    <w:rsid w:val="00866A96"/>
    <w:rsid w:val="00866B0C"/>
    <w:rsid w:val="00866BB0"/>
    <w:rsid w:val="00866BB5"/>
    <w:rsid w:val="00866BCA"/>
    <w:rsid w:val="00866C11"/>
    <w:rsid w:val="00866C5B"/>
    <w:rsid w:val="00866C60"/>
    <w:rsid w:val="00866C9D"/>
    <w:rsid w:val="00866CF0"/>
    <w:rsid w:val="00866CFE"/>
    <w:rsid w:val="00866D68"/>
    <w:rsid w:val="00866E49"/>
    <w:rsid w:val="00866E6A"/>
    <w:rsid w:val="00866E90"/>
    <w:rsid w:val="00866FC3"/>
    <w:rsid w:val="00866FDD"/>
    <w:rsid w:val="008670DC"/>
    <w:rsid w:val="00867196"/>
    <w:rsid w:val="00867286"/>
    <w:rsid w:val="008672A0"/>
    <w:rsid w:val="008672AC"/>
    <w:rsid w:val="0086738C"/>
    <w:rsid w:val="0086744F"/>
    <w:rsid w:val="00867496"/>
    <w:rsid w:val="008674D8"/>
    <w:rsid w:val="00867527"/>
    <w:rsid w:val="00867644"/>
    <w:rsid w:val="00867666"/>
    <w:rsid w:val="00867673"/>
    <w:rsid w:val="008676A6"/>
    <w:rsid w:val="008676FD"/>
    <w:rsid w:val="0086775F"/>
    <w:rsid w:val="00867868"/>
    <w:rsid w:val="00867885"/>
    <w:rsid w:val="008678FE"/>
    <w:rsid w:val="0086795C"/>
    <w:rsid w:val="0086797C"/>
    <w:rsid w:val="00867A0C"/>
    <w:rsid w:val="00867A49"/>
    <w:rsid w:val="00867ACB"/>
    <w:rsid w:val="00867ACC"/>
    <w:rsid w:val="00867BBB"/>
    <w:rsid w:val="00867BCF"/>
    <w:rsid w:val="00867BE0"/>
    <w:rsid w:val="00867C3B"/>
    <w:rsid w:val="00867D16"/>
    <w:rsid w:val="00867D6D"/>
    <w:rsid w:val="00867E5B"/>
    <w:rsid w:val="00867E95"/>
    <w:rsid w:val="00867F3C"/>
    <w:rsid w:val="008700EE"/>
    <w:rsid w:val="00870108"/>
    <w:rsid w:val="00870138"/>
    <w:rsid w:val="00870146"/>
    <w:rsid w:val="0087028D"/>
    <w:rsid w:val="00870345"/>
    <w:rsid w:val="0087036C"/>
    <w:rsid w:val="00870373"/>
    <w:rsid w:val="008703A3"/>
    <w:rsid w:val="008703DF"/>
    <w:rsid w:val="008704C2"/>
    <w:rsid w:val="008704ED"/>
    <w:rsid w:val="00870512"/>
    <w:rsid w:val="0087059E"/>
    <w:rsid w:val="008705D1"/>
    <w:rsid w:val="0087062F"/>
    <w:rsid w:val="008706BF"/>
    <w:rsid w:val="008706C4"/>
    <w:rsid w:val="008707D3"/>
    <w:rsid w:val="00870894"/>
    <w:rsid w:val="008708FE"/>
    <w:rsid w:val="00870928"/>
    <w:rsid w:val="00870977"/>
    <w:rsid w:val="00870983"/>
    <w:rsid w:val="00870987"/>
    <w:rsid w:val="00870988"/>
    <w:rsid w:val="00870992"/>
    <w:rsid w:val="00870A1D"/>
    <w:rsid w:val="00870B7F"/>
    <w:rsid w:val="00870BB8"/>
    <w:rsid w:val="00870BBE"/>
    <w:rsid w:val="00870C6D"/>
    <w:rsid w:val="00870CDC"/>
    <w:rsid w:val="00870D55"/>
    <w:rsid w:val="00870E29"/>
    <w:rsid w:val="00870EB0"/>
    <w:rsid w:val="00870EC7"/>
    <w:rsid w:val="00870F11"/>
    <w:rsid w:val="00870F56"/>
    <w:rsid w:val="0087104A"/>
    <w:rsid w:val="0087114B"/>
    <w:rsid w:val="008711F5"/>
    <w:rsid w:val="00871267"/>
    <w:rsid w:val="008712D2"/>
    <w:rsid w:val="0087132B"/>
    <w:rsid w:val="008713EC"/>
    <w:rsid w:val="00871466"/>
    <w:rsid w:val="0087146E"/>
    <w:rsid w:val="008714BA"/>
    <w:rsid w:val="00871526"/>
    <w:rsid w:val="0087161B"/>
    <w:rsid w:val="00871623"/>
    <w:rsid w:val="0087169E"/>
    <w:rsid w:val="00871706"/>
    <w:rsid w:val="0087174B"/>
    <w:rsid w:val="00871864"/>
    <w:rsid w:val="00871894"/>
    <w:rsid w:val="0087189C"/>
    <w:rsid w:val="0087189F"/>
    <w:rsid w:val="008718A9"/>
    <w:rsid w:val="008718B1"/>
    <w:rsid w:val="00871918"/>
    <w:rsid w:val="0087191C"/>
    <w:rsid w:val="0087197F"/>
    <w:rsid w:val="008719A9"/>
    <w:rsid w:val="008719EA"/>
    <w:rsid w:val="00871B4B"/>
    <w:rsid w:val="00871B55"/>
    <w:rsid w:val="00871B85"/>
    <w:rsid w:val="00871BE2"/>
    <w:rsid w:val="00871BF7"/>
    <w:rsid w:val="00871D92"/>
    <w:rsid w:val="00871FE1"/>
    <w:rsid w:val="0087207B"/>
    <w:rsid w:val="0087209F"/>
    <w:rsid w:val="008720A3"/>
    <w:rsid w:val="00872213"/>
    <w:rsid w:val="00872217"/>
    <w:rsid w:val="00872310"/>
    <w:rsid w:val="0087237F"/>
    <w:rsid w:val="0087239F"/>
    <w:rsid w:val="008723D5"/>
    <w:rsid w:val="00872479"/>
    <w:rsid w:val="008724A5"/>
    <w:rsid w:val="0087251E"/>
    <w:rsid w:val="00872586"/>
    <w:rsid w:val="0087266B"/>
    <w:rsid w:val="008726A0"/>
    <w:rsid w:val="00872757"/>
    <w:rsid w:val="00872771"/>
    <w:rsid w:val="00872800"/>
    <w:rsid w:val="008728D5"/>
    <w:rsid w:val="00872941"/>
    <w:rsid w:val="00872975"/>
    <w:rsid w:val="008729C7"/>
    <w:rsid w:val="00872A67"/>
    <w:rsid w:val="00872A88"/>
    <w:rsid w:val="00872B98"/>
    <w:rsid w:val="00872CF5"/>
    <w:rsid w:val="00872DE7"/>
    <w:rsid w:val="00872DFC"/>
    <w:rsid w:val="00872F04"/>
    <w:rsid w:val="00872F74"/>
    <w:rsid w:val="00873002"/>
    <w:rsid w:val="00873043"/>
    <w:rsid w:val="0087306B"/>
    <w:rsid w:val="008730C6"/>
    <w:rsid w:val="00873128"/>
    <w:rsid w:val="00873170"/>
    <w:rsid w:val="00873196"/>
    <w:rsid w:val="0087322C"/>
    <w:rsid w:val="00873249"/>
    <w:rsid w:val="00873255"/>
    <w:rsid w:val="008732E6"/>
    <w:rsid w:val="00873344"/>
    <w:rsid w:val="008733A0"/>
    <w:rsid w:val="008733BD"/>
    <w:rsid w:val="00873488"/>
    <w:rsid w:val="008734F4"/>
    <w:rsid w:val="008734F7"/>
    <w:rsid w:val="00873516"/>
    <w:rsid w:val="0087352F"/>
    <w:rsid w:val="00873534"/>
    <w:rsid w:val="00873547"/>
    <w:rsid w:val="008735D9"/>
    <w:rsid w:val="0087360C"/>
    <w:rsid w:val="0087362E"/>
    <w:rsid w:val="00873632"/>
    <w:rsid w:val="00873649"/>
    <w:rsid w:val="00873695"/>
    <w:rsid w:val="008737AA"/>
    <w:rsid w:val="00873803"/>
    <w:rsid w:val="0087388D"/>
    <w:rsid w:val="00873988"/>
    <w:rsid w:val="00873990"/>
    <w:rsid w:val="008739BC"/>
    <w:rsid w:val="00873A6B"/>
    <w:rsid w:val="00873A95"/>
    <w:rsid w:val="00873B9C"/>
    <w:rsid w:val="00873BAA"/>
    <w:rsid w:val="00873BBB"/>
    <w:rsid w:val="00873C12"/>
    <w:rsid w:val="00873CA0"/>
    <w:rsid w:val="00873CBE"/>
    <w:rsid w:val="00873CEC"/>
    <w:rsid w:val="00873D06"/>
    <w:rsid w:val="00873D4C"/>
    <w:rsid w:val="00873D66"/>
    <w:rsid w:val="00873D6F"/>
    <w:rsid w:val="00873DFE"/>
    <w:rsid w:val="00873EA9"/>
    <w:rsid w:val="00873F00"/>
    <w:rsid w:val="00873F0C"/>
    <w:rsid w:val="00873FCE"/>
    <w:rsid w:val="00873FF3"/>
    <w:rsid w:val="008740B8"/>
    <w:rsid w:val="008740E9"/>
    <w:rsid w:val="0087422C"/>
    <w:rsid w:val="0087425D"/>
    <w:rsid w:val="008742F2"/>
    <w:rsid w:val="00874391"/>
    <w:rsid w:val="00874399"/>
    <w:rsid w:val="00874446"/>
    <w:rsid w:val="00874461"/>
    <w:rsid w:val="0087446B"/>
    <w:rsid w:val="00874485"/>
    <w:rsid w:val="008744A3"/>
    <w:rsid w:val="008744A9"/>
    <w:rsid w:val="008744D1"/>
    <w:rsid w:val="008744E5"/>
    <w:rsid w:val="00874578"/>
    <w:rsid w:val="0087465B"/>
    <w:rsid w:val="0087465F"/>
    <w:rsid w:val="008746DA"/>
    <w:rsid w:val="00874706"/>
    <w:rsid w:val="00874858"/>
    <w:rsid w:val="00874914"/>
    <w:rsid w:val="0087495C"/>
    <w:rsid w:val="00874A59"/>
    <w:rsid w:val="00874B20"/>
    <w:rsid w:val="00874B90"/>
    <w:rsid w:val="00874C8A"/>
    <w:rsid w:val="00874CCD"/>
    <w:rsid w:val="00874CE5"/>
    <w:rsid w:val="00874D8B"/>
    <w:rsid w:val="00874DAA"/>
    <w:rsid w:val="00874DC9"/>
    <w:rsid w:val="00874E17"/>
    <w:rsid w:val="00874E32"/>
    <w:rsid w:val="00874E67"/>
    <w:rsid w:val="00874E6A"/>
    <w:rsid w:val="00874E8B"/>
    <w:rsid w:val="00874EDC"/>
    <w:rsid w:val="00874EF9"/>
    <w:rsid w:val="00874F99"/>
    <w:rsid w:val="00874FC7"/>
    <w:rsid w:val="0087506B"/>
    <w:rsid w:val="0087512D"/>
    <w:rsid w:val="0087516F"/>
    <w:rsid w:val="008751B3"/>
    <w:rsid w:val="008751C7"/>
    <w:rsid w:val="00875204"/>
    <w:rsid w:val="00875228"/>
    <w:rsid w:val="00875262"/>
    <w:rsid w:val="0087529A"/>
    <w:rsid w:val="008752EC"/>
    <w:rsid w:val="008753E1"/>
    <w:rsid w:val="00875499"/>
    <w:rsid w:val="008754A9"/>
    <w:rsid w:val="008754DC"/>
    <w:rsid w:val="00875539"/>
    <w:rsid w:val="008755C1"/>
    <w:rsid w:val="008755DC"/>
    <w:rsid w:val="0087565E"/>
    <w:rsid w:val="0087567F"/>
    <w:rsid w:val="00875681"/>
    <w:rsid w:val="008756B8"/>
    <w:rsid w:val="008756C4"/>
    <w:rsid w:val="008756E3"/>
    <w:rsid w:val="0087573A"/>
    <w:rsid w:val="008757FC"/>
    <w:rsid w:val="00875859"/>
    <w:rsid w:val="008758D7"/>
    <w:rsid w:val="00875929"/>
    <w:rsid w:val="0087592B"/>
    <w:rsid w:val="00875A55"/>
    <w:rsid w:val="00875A5A"/>
    <w:rsid w:val="00875A5E"/>
    <w:rsid w:val="00875B1A"/>
    <w:rsid w:val="00875BA2"/>
    <w:rsid w:val="00875BB3"/>
    <w:rsid w:val="00875C01"/>
    <w:rsid w:val="00875C0F"/>
    <w:rsid w:val="00875C35"/>
    <w:rsid w:val="00875C59"/>
    <w:rsid w:val="00875C5C"/>
    <w:rsid w:val="00875C8E"/>
    <w:rsid w:val="00875D1C"/>
    <w:rsid w:val="00875D57"/>
    <w:rsid w:val="00875D71"/>
    <w:rsid w:val="00875DE6"/>
    <w:rsid w:val="00875E78"/>
    <w:rsid w:val="00875E83"/>
    <w:rsid w:val="00875E8F"/>
    <w:rsid w:val="00875F1F"/>
    <w:rsid w:val="0087601D"/>
    <w:rsid w:val="00876071"/>
    <w:rsid w:val="008760FC"/>
    <w:rsid w:val="0087611C"/>
    <w:rsid w:val="00876126"/>
    <w:rsid w:val="0087618C"/>
    <w:rsid w:val="008761BC"/>
    <w:rsid w:val="008761C7"/>
    <w:rsid w:val="008761D8"/>
    <w:rsid w:val="008762E6"/>
    <w:rsid w:val="0087630A"/>
    <w:rsid w:val="0087631C"/>
    <w:rsid w:val="00876355"/>
    <w:rsid w:val="00876366"/>
    <w:rsid w:val="008764E2"/>
    <w:rsid w:val="00876729"/>
    <w:rsid w:val="00876749"/>
    <w:rsid w:val="00876819"/>
    <w:rsid w:val="008768B6"/>
    <w:rsid w:val="008768CE"/>
    <w:rsid w:val="00876978"/>
    <w:rsid w:val="008769A5"/>
    <w:rsid w:val="00876A88"/>
    <w:rsid w:val="00876A98"/>
    <w:rsid w:val="00876A9D"/>
    <w:rsid w:val="00876B7A"/>
    <w:rsid w:val="00876BBC"/>
    <w:rsid w:val="00876BCC"/>
    <w:rsid w:val="00876C70"/>
    <w:rsid w:val="00876C92"/>
    <w:rsid w:val="00876D93"/>
    <w:rsid w:val="00876E17"/>
    <w:rsid w:val="00876E31"/>
    <w:rsid w:val="00876E74"/>
    <w:rsid w:val="00876EF2"/>
    <w:rsid w:val="00876FD9"/>
    <w:rsid w:val="00877026"/>
    <w:rsid w:val="0087704E"/>
    <w:rsid w:val="00877055"/>
    <w:rsid w:val="008770D1"/>
    <w:rsid w:val="008771E9"/>
    <w:rsid w:val="0087721B"/>
    <w:rsid w:val="00877230"/>
    <w:rsid w:val="00877297"/>
    <w:rsid w:val="008772CF"/>
    <w:rsid w:val="008772D5"/>
    <w:rsid w:val="00877360"/>
    <w:rsid w:val="00877463"/>
    <w:rsid w:val="00877498"/>
    <w:rsid w:val="008774BA"/>
    <w:rsid w:val="00877508"/>
    <w:rsid w:val="00877526"/>
    <w:rsid w:val="0087758C"/>
    <w:rsid w:val="008775ED"/>
    <w:rsid w:val="00877623"/>
    <w:rsid w:val="008776A5"/>
    <w:rsid w:val="008776D6"/>
    <w:rsid w:val="00877739"/>
    <w:rsid w:val="00877767"/>
    <w:rsid w:val="00877768"/>
    <w:rsid w:val="0087786B"/>
    <w:rsid w:val="00877956"/>
    <w:rsid w:val="0087798A"/>
    <w:rsid w:val="008779C0"/>
    <w:rsid w:val="008779E0"/>
    <w:rsid w:val="00877A4F"/>
    <w:rsid w:val="00877AF7"/>
    <w:rsid w:val="00877B9E"/>
    <w:rsid w:val="00877C8D"/>
    <w:rsid w:val="00877D1B"/>
    <w:rsid w:val="00877D36"/>
    <w:rsid w:val="00877D5A"/>
    <w:rsid w:val="00877E1A"/>
    <w:rsid w:val="00877EA7"/>
    <w:rsid w:val="00877EC8"/>
    <w:rsid w:val="00877F44"/>
    <w:rsid w:val="00877FA3"/>
    <w:rsid w:val="00880016"/>
    <w:rsid w:val="008800CF"/>
    <w:rsid w:val="00880120"/>
    <w:rsid w:val="00880171"/>
    <w:rsid w:val="008801BA"/>
    <w:rsid w:val="00880227"/>
    <w:rsid w:val="0088022C"/>
    <w:rsid w:val="0088027C"/>
    <w:rsid w:val="008802ED"/>
    <w:rsid w:val="00880359"/>
    <w:rsid w:val="00880484"/>
    <w:rsid w:val="00880535"/>
    <w:rsid w:val="00880540"/>
    <w:rsid w:val="00880588"/>
    <w:rsid w:val="00880614"/>
    <w:rsid w:val="00880693"/>
    <w:rsid w:val="00880695"/>
    <w:rsid w:val="008806C2"/>
    <w:rsid w:val="008806D5"/>
    <w:rsid w:val="00880761"/>
    <w:rsid w:val="0088076D"/>
    <w:rsid w:val="0088082B"/>
    <w:rsid w:val="008808B4"/>
    <w:rsid w:val="0088099C"/>
    <w:rsid w:val="008809DC"/>
    <w:rsid w:val="00880AAE"/>
    <w:rsid w:val="00880B0C"/>
    <w:rsid w:val="00880B31"/>
    <w:rsid w:val="00880B46"/>
    <w:rsid w:val="00880B51"/>
    <w:rsid w:val="00880BB6"/>
    <w:rsid w:val="00880C06"/>
    <w:rsid w:val="00880C28"/>
    <w:rsid w:val="00880C62"/>
    <w:rsid w:val="00880C80"/>
    <w:rsid w:val="00880CF3"/>
    <w:rsid w:val="00880D06"/>
    <w:rsid w:val="00880D3F"/>
    <w:rsid w:val="00880DD8"/>
    <w:rsid w:val="00880DED"/>
    <w:rsid w:val="00880E2D"/>
    <w:rsid w:val="00880E2E"/>
    <w:rsid w:val="00880E62"/>
    <w:rsid w:val="00880EA4"/>
    <w:rsid w:val="00880ECB"/>
    <w:rsid w:val="00880EDD"/>
    <w:rsid w:val="00880F0C"/>
    <w:rsid w:val="00880F32"/>
    <w:rsid w:val="0088101E"/>
    <w:rsid w:val="0088109D"/>
    <w:rsid w:val="008810AF"/>
    <w:rsid w:val="008810D6"/>
    <w:rsid w:val="00881312"/>
    <w:rsid w:val="00881340"/>
    <w:rsid w:val="00881387"/>
    <w:rsid w:val="008813C3"/>
    <w:rsid w:val="008813F0"/>
    <w:rsid w:val="0088144C"/>
    <w:rsid w:val="008814B3"/>
    <w:rsid w:val="008814BC"/>
    <w:rsid w:val="008814C7"/>
    <w:rsid w:val="0088155B"/>
    <w:rsid w:val="00881573"/>
    <w:rsid w:val="008816B4"/>
    <w:rsid w:val="008816F6"/>
    <w:rsid w:val="008817D7"/>
    <w:rsid w:val="00881868"/>
    <w:rsid w:val="008818EC"/>
    <w:rsid w:val="0088191D"/>
    <w:rsid w:val="008819D1"/>
    <w:rsid w:val="008819F7"/>
    <w:rsid w:val="00881A20"/>
    <w:rsid w:val="00881A69"/>
    <w:rsid w:val="00881B42"/>
    <w:rsid w:val="00881B66"/>
    <w:rsid w:val="00881BD1"/>
    <w:rsid w:val="00881BD8"/>
    <w:rsid w:val="00881C18"/>
    <w:rsid w:val="00881CF7"/>
    <w:rsid w:val="00881D57"/>
    <w:rsid w:val="00881D71"/>
    <w:rsid w:val="00881D79"/>
    <w:rsid w:val="00881D86"/>
    <w:rsid w:val="00881E56"/>
    <w:rsid w:val="00881E7B"/>
    <w:rsid w:val="00881E9A"/>
    <w:rsid w:val="00881FD3"/>
    <w:rsid w:val="0088205A"/>
    <w:rsid w:val="0088206D"/>
    <w:rsid w:val="00882087"/>
    <w:rsid w:val="0088208B"/>
    <w:rsid w:val="0088215D"/>
    <w:rsid w:val="00882174"/>
    <w:rsid w:val="0088217A"/>
    <w:rsid w:val="008821CD"/>
    <w:rsid w:val="00882213"/>
    <w:rsid w:val="00882219"/>
    <w:rsid w:val="0088223E"/>
    <w:rsid w:val="00882260"/>
    <w:rsid w:val="00882289"/>
    <w:rsid w:val="00882331"/>
    <w:rsid w:val="0088235F"/>
    <w:rsid w:val="00882377"/>
    <w:rsid w:val="008823A1"/>
    <w:rsid w:val="008823B4"/>
    <w:rsid w:val="008823BD"/>
    <w:rsid w:val="00882420"/>
    <w:rsid w:val="00882430"/>
    <w:rsid w:val="00882479"/>
    <w:rsid w:val="00882493"/>
    <w:rsid w:val="00882539"/>
    <w:rsid w:val="00882567"/>
    <w:rsid w:val="008825B5"/>
    <w:rsid w:val="00882605"/>
    <w:rsid w:val="00882665"/>
    <w:rsid w:val="008826AC"/>
    <w:rsid w:val="00882753"/>
    <w:rsid w:val="00882799"/>
    <w:rsid w:val="0088287D"/>
    <w:rsid w:val="00882897"/>
    <w:rsid w:val="008828A7"/>
    <w:rsid w:val="008828CF"/>
    <w:rsid w:val="008828E7"/>
    <w:rsid w:val="00882950"/>
    <w:rsid w:val="00882996"/>
    <w:rsid w:val="008829DF"/>
    <w:rsid w:val="008829FE"/>
    <w:rsid w:val="00882A03"/>
    <w:rsid w:val="00882A0C"/>
    <w:rsid w:val="00882A3E"/>
    <w:rsid w:val="00882ACE"/>
    <w:rsid w:val="00882B13"/>
    <w:rsid w:val="00882B82"/>
    <w:rsid w:val="00882B8A"/>
    <w:rsid w:val="00882B92"/>
    <w:rsid w:val="00882BC0"/>
    <w:rsid w:val="00882C1B"/>
    <w:rsid w:val="00882DCA"/>
    <w:rsid w:val="00882DE1"/>
    <w:rsid w:val="00882E29"/>
    <w:rsid w:val="00882E3C"/>
    <w:rsid w:val="00882E48"/>
    <w:rsid w:val="00882ECC"/>
    <w:rsid w:val="00882F4A"/>
    <w:rsid w:val="00882FB1"/>
    <w:rsid w:val="00882FB7"/>
    <w:rsid w:val="00883033"/>
    <w:rsid w:val="008830B4"/>
    <w:rsid w:val="00883182"/>
    <w:rsid w:val="00883207"/>
    <w:rsid w:val="0088328C"/>
    <w:rsid w:val="008832D6"/>
    <w:rsid w:val="0088331B"/>
    <w:rsid w:val="00883324"/>
    <w:rsid w:val="008833BA"/>
    <w:rsid w:val="00883480"/>
    <w:rsid w:val="00883486"/>
    <w:rsid w:val="00883559"/>
    <w:rsid w:val="008836AE"/>
    <w:rsid w:val="008836B2"/>
    <w:rsid w:val="008836B9"/>
    <w:rsid w:val="00883714"/>
    <w:rsid w:val="0088372C"/>
    <w:rsid w:val="008837E2"/>
    <w:rsid w:val="0088381E"/>
    <w:rsid w:val="0088386A"/>
    <w:rsid w:val="00883908"/>
    <w:rsid w:val="0088395B"/>
    <w:rsid w:val="0088396D"/>
    <w:rsid w:val="00883A3A"/>
    <w:rsid w:val="00883AED"/>
    <w:rsid w:val="00883B44"/>
    <w:rsid w:val="00883B90"/>
    <w:rsid w:val="00883BDF"/>
    <w:rsid w:val="00883C15"/>
    <w:rsid w:val="00883C68"/>
    <w:rsid w:val="00883D04"/>
    <w:rsid w:val="00883D10"/>
    <w:rsid w:val="00883D7B"/>
    <w:rsid w:val="00883E57"/>
    <w:rsid w:val="00883E8C"/>
    <w:rsid w:val="00883E92"/>
    <w:rsid w:val="00883F47"/>
    <w:rsid w:val="00883F9C"/>
    <w:rsid w:val="00883FEE"/>
    <w:rsid w:val="00883FF8"/>
    <w:rsid w:val="0088404F"/>
    <w:rsid w:val="00884067"/>
    <w:rsid w:val="008840DF"/>
    <w:rsid w:val="00884120"/>
    <w:rsid w:val="00884195"/>
    <w:rsid w:val="008841EF"/>
    <w:rsid w:val="0088422C"/>
    <w:rsid w:val="00884287"/>
    <w:rsid w:val="008842EF"/>
    <w:rsid w:val="008842F1"/>
    <w:rsid w:val="00884324"/>
    <w:rsid w:val="00884397"/>
    <w:rsid w:val="00884448"/>
    <w:rsid w:val="00884485"/>
    <w:rsid w:val="008844C8"/>
    <w:rsid w:val="00884507"/>
    <w:rsid w:val="00884566"/>
    <w:rsid w:val="008845C1"/>
    <w:rsid w:val="008845DB"/>
    <w:rsid w:val="00884605"/>
    <w:rsid w:val="0088464F"/>
    <w:rsid w:val="008846B3"/>
    <w:rsid w:val="008846FB"/>
    <w:rsid w:val="00884718"/>
    <w:rsid w:val="00884721"/>
    <w:rsid w:val="008847FF"/>
    <w:rsid w:val="0088484F"/>
    <w:rsid w:val="00884850"/>
    <w:rsid w:val="00884897"/>
    <w:rsid w:val="0088489C"/>
    <w:rsid w:val="008848B2"/>
    <w:rsid w:val="008849C3"/>
    <w:rsid w:val="008849DA"/>
    <w:rsid w:val="00884A57"/>
    <w:rsid w:val="00884A86"/>
    <w:rsid w:val="00884AAD"/>
    <w:rsid w:val="00884AE1"/>
    <w:rsid w:val="00884B05"/>
    <w:rsid w:val="00884B0B"/>
    <w:rsid w:val="00884BD6"/>
    <w:rsid w:val="00884BD9"/>
    <w:rsid w:val="00884CEE"/>
    <w:rsid w:val="00884D7D"/>
    <w:rsid w:val="00884E4A"/>
    <w:rsid w:val="00884E72"/>
    <w:rsid w:val="00884ECA"/>
    <w:rsid w:val="00884F4F"/>
    <w:rsid w:val="00884F7E"/>
    <w:rsid w:val="00884FDC"/>
    <w:rsid w:val="00885107"/>
    <w:rsid w:val="00885145"/>
    <w:rsid w:val="00885146"/>
    <w:rsid w:val="008851F4"/>
    <w:rsid w:val="00885222"/>
    <w:rsid w:val="00885265"/>
    <w:rsid w:val="008852ED"/>
    <w:rsid w:val="00885314"/>
    <w:rsid w:val="00885333"/>
    <w:rsid w:val="00885362"/>
    <w:rsid w:val="008853C9"/>
    <w:rsid w:val="008853D4"/>
    <w:rsid w:val="0088540C"/>
    <w:rsid w:val="0088546C"/>
    <w:rsid w:val="008854C3"/>
    <w:rsid w:val="0088552C"/>
    <w:rsid w:val="00885530"/>
    <w:rsid w:val="00885569"/>
    <w:rsid w:val="008855C7"/>
    <w:rsid w:val="008855D6"/>
    <w:rsid w:val="008855E3"/>
    <w:rsid w:val="00885628"/>
    <w:rsid w:val="00885646"/>
    <w:rsid w:val="0088583F"/>
    <w:rsid w:val="0088594B"/>
    <w:rsid w:val="00885980"/>
    <w:rsid w:val="00885A4E"/>
    <w:rsid w:val="00885AA7"/>
    <w:rsid w:val="00885ACD"/>
    <w:rsid w:val="00885B79"/>
    <w:rsid w:val="00885B9E"/>
    <w:rsid w:val="00885C27"/>
    <w:rsid w:val="00885D25"/>
    <w:rsid w:val="00885D52"/>
    <w:rsid w:val="00885DBB"/>
    <w:rsid w:val="00885E90"/>
    <w:rsid w:val="00885F02"/>
    <w:rsid w:val="00885F29"/>
    <w:rsid w:val="00885F31"/>
    <w:rsid w:val="00885F74"/>
    <w:rsid w:val="008861A4"/>
    <w:rsid w:val="008861A6"/>
    <w:rsid w:val="008861E3"/>
    <w:rsid w:val="008861F4"/>
    <w:rsid w:val="00886267"/>
    <w:rsid w:val="00886284"/>
    <w:rsid w:val="00886364"/>
    <w:rsid w:val="008863A3"/>
    <w:rsid w:val="008863B1"/>
    <w:rsid w:val="008863F6"/>
    <w:rsid w:val="00886423"/>
    <w:rsid w:val="00886448"/>
    <w:rsid w:val="00886560"/>
    <w:rsid w:val="00886584"/>
    <w:rsid w:val="008865ED"/>
    <w:rsid w:val="00886632"/>
    <w:rsid w:val="008866B5"/>
    <w:rsid w:val="008866BB"/>
    <w:rsid w:val="008866DB"/>
    <w:rsid w:val="00886767"/>
    <w:rsid w:val="0088678E"/>
    <w:rsid w:val="00886861"/>
    <w:rsid w:val="008868B0"/>
    <w:rsid w:val="00886904"/>
    <w:rsid w:val="0088690A"/>
    <w:rsid w:val="0088693A"/>
    <w:rsid w:val="0088694F"/>
    <w:rsid w:val="00886966"/>
    <w:rsid w:val="0088696A"/>
    <w:rsid w:val="00886A2F"/>
    <w:rsid w:val="00886AE5"/>
    <w:rsid w:val="00886B7A"/>
    <w:rsid w:val="00886B9E"/>
    <w:rsid w:val="00886BAF"/>
    <w:rsid w:val="00886CAC"/>
    <w:rsid w:val="00886CE9"/>
    <w:rsid w:val="00886D18"/>
    <w:rsid w:val="00886D64"/>
    <w:rsid w:val="00886D8B"/>
    <w:rsid w:val="00886E80"/>
    <w:rsid w:val="00886E9D"/>
    <w:rsid w:val="00886EAC"/>
    <w:rsid w:val="00887040"/>
    <w:rsid w:val="00887163"/>
    <w:rsid w:val="00887190"/>
    <w:rsid w:val="00887196"/>
    <w:rsid w:val="0088723E"/>
    <w:rsid w:val="00887261"/>
    <w:rsid w:val="00887282"/>
    <w:rsid w:val="00887294"/>
    <w:rsid w:val="008872A5"/>
    <w:rsid w:val="0088744C"/>
    <w:rsid w:val="00887495"/>
    <w:rsid w:val="008875F0"/>
    <w:rsid w:val="008876B1"/>
    <w:rsid w:val="008876D0"/>
    <w:rsid w:val="00887781"/>
    <w:rsid w:val="008877CB"/>
    <w:rsid w:val="008877E9"/>
    <w:rsid w:val="00887802"/>
    <w:rsid w:val="00887872"/>
    <w:rsid w:val="0088789C"/>
    <w:rsid w:val="008878E0"/>
    <w:rsid w:val="00887992"/>
    <w:rsid w:val="008879D9"/>
    <w:rsid w:val="00887A4C"/>
    <w:rsid w:val="00887A89"/>
    <w:rsid w:val="00887A9F"/>
    <w:rsid w:val="00887AE9"/>
    <w:rsid w:val="00887B29"/>
    <w:rsid w:val="00887B82"/>
    <w:rsid w:val="00887C5C"/>
    <w:rsid w:val="00887D69"/>
    <w:rsid w:val="00887DA5"/>
    <w:rsid w:val="00887DE4"/>
    <w:rsid w:val="00887E41"/>
    <w:rsid w:val="00887E97"/>
    <w:rsid w:val="00887ED6"/>
    <w:rsid w:val="00887F13"/>
    <w:rsid w:val="00887F3F"/>
    <w:rsid w:val="00887F5E"/>
    <w:rsid w:val="008901E6"/>
    <w:rsid w:val="00890270"/>
    <w:rsid w:val="00890297"/>
    <w:rsid w:val="008902A2"/>
    <w:rsid w:val="00890348"/>
    <w:rsid w:val="00890374"/>
    <w:rsid w:val="008903D9"/>
    <w:rsid w:val="00890570"/>
    <w:rsid w:val="008905D9"/>
    <w:rsid w:val="00890656"/>
    <w:rsid w:val="008906B3"/>
    <w:rsid w:val="008906DD"/>
    <w:rsid w:val="008906E6"/>
    <w:rsid w:val="00890715"/>
    <w:rsid w:val="00890795"/>
    <w:rsid w:val="0089084A"/>
    <w:rsid w:val="00890877"/>
    <w:rsid w:val="0089087D"/>
    <w:rsid w:val="008908AB"/>
    <w:rsid w:val="00890940"/>
    <w:rsid w:val="008909EB"/>
    <w:rsid w:val="008909FE"/>
    <w:rsid w:val="00890B04"/>
    <w:rsid w:val="00890B1B"/>
    <w:rsid w:val="00890B5C"/>
    <w:rsid w:val="00890B63"/>
    <w:rsid w:val="00890C2A"/>
    <w:rsid w:val="00890C47"/>
    <w:rsid w:val="00890D03"/>
    <w:rsid w:val="00890D7A"/>
    <w:rsid w:val="00890DAC"/>
    <w:rsid w:val="00890E5E"/>
    <w:rsid w:val="00890E94"/>
    <w:rsid w:val="00890EE8"/>
    <w:rsid w:val="00890F72"/>
    <w:rsid w:val="00890F9F"/>
    <w:rsid w:val="00890FFB"/>
    <w:rsid w:val="00891021"/>
    <w:rsid w:val="00891077"/>
    <w:rsid w:val="0089115A"/>
    <w:rsid w:val="008911EA"/>
    <w:rsid w:val="008912B8"/>
    <w:rsid w:val="0089131C"/>
    <w:rsid w:val="0089132B"/>
    <w:rsid w:val="00891333"/>
    <w:rsid w:val="00891572"/>
    <w:rsid w:val="00891578"/>
    <w:rsid w:val="008915C5"/>
    <w:rsid w:val="008916F4"/>
    <w:rsid w:val="008917D2"/>
    <w:rsid w:val="008917EA"/>
    <w:rsid w:val="0089180A"/>
    <w:rsid w:val="00891818"/>
    <w:rsid w:val="0089181C"/>
    <w:rsid w:val="0089191D"/>
    <w:rsid w:val="00891953"/>
    <w:rsid w:val="00891966"/>
    <w:rsid w:val="0089196E"/>
    <w:rsid w:val="008919D1"/>
    <w:rsid w:val="00891A3C"/>
    <w:rsid w:val="00891A68"/>
    <w:rsid w:val="00891A82"/>
    <w:rsid w:val="00891ABC"/>
    <w:rsid w:val="00891B7D"/>
    <w:rsid w:val="00891BAB"/>
    <w:rsid w:val="00891BFC"/>
    <w:rsid w:val="00891C7F"/>
    <w:rsid w:val="00891D0D"/>
    <w:rsid w:val="00891D30"/>
    <w:rsid w:val="00891D67"/>
    <w:rsid w:val="00891D82"/>
    <w:rsid w:val="00891DFF"/>
    <w:rsid w:val="00891E0E"/>
    <w:rsid w:val="00891E3F"/>
    <w:rsid w:val="00891E93"/>
    <w:rsid w:val="00891F2C"/>
    <w:rsid w:val="00891F7E"/>
    <w:rsid w:val="00892014"/>
    <w:rsid w:val="0089206B"/>
    <w:rsid w:val="00892072"/>
    <w:rsid w:val="008920EF"/>
    <w:rsid w:val="008920FD"/>
    <w:rsid w:val="0089214F"/>
    <w:rsid w:val="00892168"/>
    <w:rsid w:val="00892229"/>
    <w:rsid w:val="008922E1"/>
    <w:rsid w:val="0089231F"/>
    <w:rsid w:val="0089235A"/>
    <w:rsid w:val="00892376"/>
    <w:rsid w:val="0089245D"/>
    <w:rsid w:val="008924ED"/>
    <w:rsid w:val="00892527"/>
    <w:rsid w:val="00892591"/>
    <w:rsid w:val="008925B4"/>
    <w:rsid w:val="008925C6"/>
    <w:rsid w:val="00892606"/>
    <w:rsid w:val="00892635"/>
    <w:rsid w:val="00892649"/>
    <w:rsid w:val="00892652"/>
    <w:rsid w:val="00892685"/>
    <w:rsid w:val="008926A8"/>
    <w:rsid w:val="00892813"/>
    <w:rsid w:val="0089282E"/>
    <w:rsid w:val="00892843"/>
    <w:rsid w:val="00892915"/>
    <w:rsid w:val="00892979"/>
    <w:rsid w:val="008929A5"/>
    <w:rsid w:val="008929E9"/>
    <w:rsid w:val="00892A20"/>
    <w:rsid w:val="00892AF9"/>
    <w:rsid w:val="00892B6A"/>
    <w:rsid w:val="00892C03"/>
    <w:rsid w:val="00892C51"/>
    <w:rsid w:val="00892CD4"/>
    <w:rsid w:val="00892D09"/>
    <w:rsid w:val="00892D56"/>
    <w:rsid w:val="00892DD2"/>
    <w:rsid w:val="00892DF3"/>
    <w:rsid w:val="00892F6B"/>
    <w:rsid w:val="00892FB4"/>
    <w:rsid w:val="0089301E"/>
    <w:rsid w:val="00893163"/>
    <w:rsid w:val="00893286"/>
    <w:rsid w:val="0089331F"/>
    <w:rsid w:val="00893355"/>
    <w:rsid w:val="00893375"/>
    <w:rsid w:val="00893448"/>
    <w:rsid w:val="0089345D"/>
    <w:rsid w:val="008934A2"/>
    <w:rsid w:val="0089351C"/>
    <w:rsid w:val="0089354A"/>
    <w:rsid w:val="008935A7"/>
    <w:rsid w:val="0089362D"/>
    <w:rsid w:val="00893806"/>
    <w:rsid w:val="00893863"/>
    <w:rsid w:val="0089387E"/>
    <w:rsid w:val="008938A3"/>
    <w:rsid w:val="008938C3"/>
    <w:rsid w:val="008939B9"/>
    <w:rsid w:val="00893A4D"/>
    <w:rsid w:val="00893A67"/>
    <w:rsid w:val="00893B4F"/>
    <w:rsid w:val="00893C7D"/>
    <w:rsid w:val="00893CBF"/>
    <w:rsid w:val="00893DA3"/>
    <w:rsid w:val="00893E09"/>
    <w:rsid w:val="00893EB3"/>
    <w:rsid w:val="00893F50"/>
    <w:rsid w:val="00893F67"/>
    <w:rsid w:val="00894002"/>
    <w:rsid w:val="00894020"/>
    <w:rsid w:val="00894040"/>
    <w:rsid w:val="008940B2"/>
    <w:rsid w:val="008940C7"/>
    <w:rsid w:val="00894123"/>
    <w:rsid w:val="00894131"/>
    <w:rsid w:val="00894142"/>
    <w:rsid w:val="00894177"/>
    <w:rsid w:val="008941E8"/>
    <w:rsid w:val="008942A1"/>
    <w:rsid w:val="00894428"/>
    <w:rsid w:val="00894437"/>
    <w:rsid w:val="008944A5"/>
    <w:rsid w:val="008944E8"/>
    <w:rsid w:val="0089451A"/>
    <w:rsid w:val="00894532"/>
    <w:rsid w:val="008946B6"/>
    <w:rsid w:val="0089470E"/>
    <w:rsid w:val="0089474C"/>
    <w:rsid w:val="008947E6"/>
    <w:rsid w:val="008947FD"/>
    <w:rsid w:val="0089480B"/>
    <w:rsid w:val="0089480E"/>
    <w:rsid w:val="008948B4"/>
    <w:rsid w:val="00894958"/>
    <w:rsid w:val="00894A60"/>
    <w:rsid w:val="00894AE4"/>
    <w:rsid w:val="00894B4E"/>
    <w:rsid w:val="00894BE8"/>
    <w:rsid w:val="00894BF0"/>
    <w:rsid w:val="00894BF2"/>
    <w:rsid w:val="00894C8A"/>
    <w:rsid w:val="00894CC0"/>
    <w:rsid w:val="00894D48"/>
    <w:rsid w:val="00894D86"/>
    <w:rsid w:val="00894D9C"/>
    <w:rsid w:val="00894D9E"/>
    <w:rsid w:val="00894DF0"/>
    <w:rsid w:val="00894E49"/>
    <w:rsid w:val="00894EA1"/>
    <w:rsid w:val="00894EA2"/>
    <w:rsid w:val="00894F47"/>
    <w:rsid w:val="00894F64"/>
    <w:rsid w:val="00894F74"/>
    <w:rsid w:val="0089500C"/>
    <w:rsid w:val="008950D1"/>
    <w:rsid w:val="008950E1"/>
    <w:rsid w:val="00895103"/>
    <w:rsid w:val="0089510B"/>
    <w:rsid w:val="008951C4"/>
    <w:rsid w:val="0089523D"/>
    <w:rsid w:val="0089528B"/>
    <w:rsid w:val="00895389"/>
    <w:rsid w:val="008953D2"/>
    <w:rsid w:val="008954AC"/>
    <w:rsid w:val="008954E8"/>
    <w:rsid w:val="00895555"/>
    <w:rsid w:val="0089559A"/>
    <w:rsid w:val="0089568D"/>
    <w:rsid w:val="008956AF"/>
    <w:rsid w:val="008956C3"/>
    <w:rsid w:val="00895733"/>
    <w:rsid w:val="008957D0"/>
    <w:rsid w:val="0089583D"/>
    <w:rsid w:val="008958A3"/>
    <w:rsid w:val="008959E2"/>
    <w:rsid w:val="00895AC6"/>
    <w:rsid w:val="00895AEF"/>
    <w:rsid w:val="00895B02"/>
    <w:rsid w:val="00895B9E"/>
    <w:rsid w:val="00895BA3"/>
    <w:rsid w:val="00895BB6"/>
    <w:rsid w:val="00895C01"/>
    <w:rsid w:val="00895C56"/>
    <w:rsid w:val="00895C7C"/>
    <w:rsid w:val="00895CBB"/>
    <w:rsid w:val="00895DAD"/>
    <w:rsid w:val="00895F2F"/>
    <w:rsid w:val="00896028"/>
    <w:rsid w:val="0089608B"/>
    <w:rsid w:val="00896173"/>
    <w:rsid w:val="008961CA"/>
    <w:rsid w:val="0089625F"/>
    <w:rsid w:val="00896291"/>
    <w:rsid w:val="008962DF"/>
    <w:rsid w:val="008962ED"/>
    <w:rsid w:val="00896324"/>
    <w:rsid w:val="008963BD"/>
    <w:rsid w:val="00896433"/>
    <w:rsid w:val="00896502"/>
    <w:rsid w:val="00896508"/>
    <w:rsid w:val="0089654B"/>
    <w:rsid w:val="008965A2"/>
    <w:rsid w:val="008965BE"/>
    <w:rsid w:val="008965D8"/>
    <w:rsid w:val="00896647"/>
    <w:rsid w:val="0089666D"/>
    <w:rsid w:val="0089673A"/>
    <w:rsid w:val="0089677D"/>
    <w:rsid w:val="008967DA"/>
    <w:rsid w:val="0089683F"/>
    <w:rsid w:val="00896864"/>
    <w:rsid w:val="008968FA"/>
    <w:rsid w:val="00896A0B"/>
    <w:rsid w:val="00896A21"/>
    <w:rsid w:val="00896A28"/>
    <w:rsid w:val="00896A6F"/>
    <w:rsid w:val="00896A99"/>
    <w:rsid w:val="00896B0E"/>
    <w:rsid w:val="00896B32"/>
    <w:rsid w:val="00896C28"/>
    <w:rsid w:val="00896C97"/>
    <w:rsid w:val="00896CA7"/>
    <w:rsid w:val="00896D81"/>
    <w:rsid w:val="00896D88"/>
    <w:rsid w:val="00896D94"/>
    <w:rsid w:val="00896D9E"/>
    <w:rsid w:val="00896DD6"/>
    <w:rsid w:val="00896DF1"/>
    <w:rsid w:val="00896FCC"/>
    <w:rsid w:val="00896FCD"/>
    <w:rsid w:val="00896FCE"/>
    <w:rsid w:val="0089700B"/>
    <w:rsid w:val="00897069"/>
    <w:rsid w:val="008970A3"/>
    <w:rsid w:val="0089713A"/>
    <w:rsid w:val="0089718E"/>
    <w:rsid w:val="00897215"/>
    <w:rsid w:val="0089724F"/>
    <w:rsid w:val="00897265"/>
    <w:rsid w:val="00897370"/>
    <w:rsid w:val="00897460"/>
    <w:rsid w:val="008974EB"/>
    <w:rsid w:val="008976C9"/>
    <w:rsid w:val="008976CE"/>
    <w:rsid w:val="00897707"/>
    <w:rsid w:val="00897713"/>
    <w:rsid w:val="0089777D"/>
    <w:rsid w:val="008977D6"/>
    <w:rsid w:val="008979B5"/>
    <w:rsid w:val="008979D5"/>
    <w:rsid w:val="00897A06"/>
    <w:rsid w:val="00897A30"/>
    <w:rsid w:val="00897B7E"/>
    <w:rsid w:val="00897B9F"/>
    <w:rsid w:val="00897BD1"/>
    <w:rsid w:val="00897BD3"/>
    <w:rsid w:val="00897C17"/>
    <w:rsid w:val="00897CCB"/>
    <w:rsid w:val="00897CDA"/>
    <w:rsid w:val="00897E13"/>
    <w:rsid w:val="00897E27"/>
    <w:rsid w:val="00897EF9"/>
    <w:rsid w:val="00897F0E"/>
    <w:rsid w:val="00897FAE"/>
    <w:rsid w:val="008A0096"/>
    <w:rsid w:val="008A010E"/>
    <w:rsid w:val="008A0169"/>
    <w:rsid w:val="008A01A2"/>
    <w:rsid w:val="008A01BD"/>
    <w:rsid w:val="008A0204"/>
    <w:rsid w:val="008A0261"/>
    <w:rsid w:val="008A027A"/>
    <w:rsid w:val="008A0294"/>
    <w:rsid w:val="008A03EC"/>
    <w:rsid w:val="008A0466"/>
    <w:rsid w:val="008A0655"/>
    <w:rsid w:val="008A06ED"/>
    <w:rsid w:val="008A071B"/>
    <w:rsid w:val="008A0735"/>
    <w:rsid w:val="008A0762"/>
    <w:rsid w:val="008A07BC"/>
    <w:rsid w:val="008A07EB"/>
    <w:rsid w:val="008A0834"/>
    <w:rsid w:val="008A0836"/>
    <w:rsid w:val="008A08BB"/>
    <w:rsid w:val="008A0932"/>
    <w:rsid w:val="008A09AF"/>
    <w:rsid w:val="008A09CB"/>
    <w:rsid w:val="008A09DC"/>
    <w:rsid w:val="008A0A0A"/>
    <w:rsid w:val="008A0A8E"/>
    <w:rsid w:val="008A0B00"/>
    <w:rsid w:val="008A0B43"/>
    <w:rsid w:val="008A0CA8"/>
    <w:rsid w:val="008A0D22"/>
    <w:rsid w:val="008A0D25"/>
    <w:rsid w:val="008A0E35"/>
    <w:rsid w:val="008A0E40"/>
    <w:rsid w:val="008A0E5A"/>
    <w:rsid w:val="008A0E8F"/>
    <w:rsid w:val="008A0F69"/>
    <w:rsid w:val="008A0FFF"/>
    <w:rsid w:val="008A1040"/>
    <w:rsid w:val="008A10E1"/>
    <w:rsid w:val="008A1171"/>
    <w:rsid w:val="008A11F5"/>
    <w:rsid w:val="008A12B0"/>
    <w:rsid w:val="008A12DD"/>
    <w:rsid w:val="008A1429"/>
    <w:rsid w:val="008A146C"/>
    <w:rsid w:val="008A14BF"/>
    <w:rsid w:val="008A14F1"/>
    <w:rsid w:val="008A151F"/>
    <w:rsid w:val="008A1550"/>
    <w:rsid w:val="008A1591"/>
    <w:rsid w:val="008A15AD"/>
    <w:rsid w:val="008A15CA"/>
    <w:rsid w:val="008A1633"/>
    <w:rsid w:val="008A1637"/>
    <w:rsid w:val="008A164D"/>
    <w:rsid w:val="008A16E6"/>
    <w:rsid w:val="008A1705"/>
    <w:rsid w:val="008A1717"/>
    <w:rsid w:val="008A17AF"/>
    <w:rsid w:val="008A17DD"/>
    <w:rsid w:val="008A17EA"/>
    <w:rsid w:val="008A1855"/>
    <w:rsid w:val="008A1874"/>
    <w:rsid w:val="008A1896"/>
    <w:rsid w:val="008A18AB"/>
    <w:rsid w:val="008A1915"/>
    <w:rsid w:val="008A192C"/>
    <w:rsid w:val="008A19CC"/>
    <w:rsid w:val="008A1A0A"/>
    <w:rsid w:val="008A1A39"/>
    <w:rsid w:val="008A1A94"/>
    <w:rsid w:val="008A1AB2"/>
    <w:rsid w:val="008A1AEA"/>
    <w:rsid w:val="008A1B41"/>
    <w:rsid w:val="008A1BE5"/>
    <w:rsid w:val="008A1BF5"/>
    <w:rsid w:val="008A1DAF"/>
    <w:rsid w:val="008A1DB9"/>
    <w:rsid w:val="008A1DCF"/>
    <w:rsid w:val="008A1DE3"/>
    <w:rsid w:val="008A1E3C"/>
    <w:rsid w:val="008A1EDD"/>
    <w:rsid w:val="008A1F8E"/>
    <w:rsid w:val="008A1F9B"/>
    <w:rsid w:val="008A2050"/>
    <w:rsid w:val="008A20AD"/>
    <w:rsid w:val="008A20DC"/>
    <w:rsid w:val="008A20F7"/>
    <w:rsid w:val="008A20FF"/>
    <w:rsid w:val="008A2129"/>
    <w:rsid w:val="008A21E2"/>
    <w:rsid w:val="008A2282"/>
    <w:rsid w:val="008A238E"/>
    <w:rsid w:val="008A23FC"/>
    <w:rsid w:val="008A24B4"/>
    <w:rsid w:val="008A24F9"/>
    <w:rsid w:val="008A266E"/>
    <w:rsid w:val="008A26D0"/>
    <w:rsid w:val="008A278A"/>
    <w:rsid w:val="008A27DA"/>
    <w:rsid w:val="008A280B"/>
    <w:rsid w:val="008A28A6"/>
    <w:rsid w:val="008A28F8"/>
    <w:rsid w:val="008A290A"/>
    <w:rsid w:val="008A290D"/>
    <w:rsid w:val="008A298E"/>
    <w:rsid w:val="008A299B"/>
    <w:rsid w:val="008A29A4"/>
    <w:rsid w:val="008A2AF1"/>
    <w:rsid w:val="008A2B84"/>
    <w:rsid w:val="008A2BC5"/>
    <w:rsid w:val="008A2BCA"/>
    <w:rsid w:val="008A2D67"/>
    <w:rsid w:val="008A2D9E"/>
    <w:rsid w:val="008A2DC9"/>
    <w:rsid w:val="008A2E00"/>
    <w:rsid w:val="008A2E63"/>
    <w:rsid w:val="008A2EFA"/>
    <w:rsid w:val="008A2FFB"/>
    <w:rsid w:val="008A3039"/>
    <w:rsid w:val="008A3053"/>
    <w:rsid w:val="008A307B"/>
    <w:rsid w:val="008A30A4"/>
    <w:rsid w:val="008A3141"/>
    <w:rsid w:val="008A3198"/>
    <w:rsid w:val="008A31B4"/>
    <w:rsid w:val="008A31DA"/>
    <w:rsid w:val="008A31DB"/>
    <w:rsid w:val="008A335D"/>
    <w:rsid w:val="008A33FD"/>
    <w:rsid w:val="008A3426"/>
    <w:rsid w:val="008A3498"/>
    <w:rsid w:val="008A34E7"/>
    <w:rsid w:val="008A34F1"/>
    <w:rsid w:val="008A350B"/>
    <w:rsid w:val="008A358F"/>
    <w:rsid w:val="008A3599"/>
    <w:rsid w:val="008A3633"/>
    <w:rsid w:val="008A369E"/>
    <w:rsid w:val="008A37C6"/>
    <w:rsid w:val="008A3826"/>
    <w:rsid w:val="008A38B5"/>
    <w:rsid w:val="008A3966"/>
    <w:rsid w:val="008A3983"/>
    <w:rsid w:val="008A39D5"/>
    <w:rsid w:val="008A3A6E"/>
    <w:rsid w:val="008A3B03"/>
    <w:rsid w:val="008A3BAB"/>
    <w:rsid w:val="008A3BF2"/>
    <w:rsid w:val="008A3DD9"/>
    <w:rsid w:val="008A3DFC"/>
    <w:rsid w:val="008A3E05"/>
    <w:rsid w:val="008A3E9E"/>
    <w:rsid w:val="008A3EC8"/>
    <w:rsid w:val="008A3F06"/>
    <w:rsid w:val="008A3F37"/>
    <w:rsid w:val="008A3F78"/>
    <w:rsid w:val="008A3F7B"/>
    <w:rsid w:val="008A3FEC"/>
    <w:rsid w:val="008A4055"/>
    <w:rsid w:val="008A405F"/>
    <w:rsid w:val="008A4065"/>
    <w:rsid w:val="008A40D9"/>
    <w:rsid w:val="008A415F"/>
    <w:rsid w:val="008A416F"/>
    <w:rsid w:val="008A4242"/>
    <w:rsid w:val="008A4257"/>
    <w:rsid w:val="008A42A9"/>
    <w:rsid w:val="008A42D6"/>
    <w:rsid w:val="008A43A9"/>
    <w:rsid w:val="008A43B4"/>
    <w:rsid w:val="008A4420"/>
    <w:rsid w:val="008A44BA"/>
    <w:rsid w:val="008A44F5"/>
    <w:rsid w:val="008A4527"/>
    <w:rsid w:val="008A4556"/>
    <w:rsid w:val="008A4577"/>
    <w:rsid w:val="008A45D5"/>
    <w:rsid w:val="008A4619"/>
    <w:rsid w:val="008A46A7"/>
    <w:rsid w:val="008A46AE"/>
    <w:rsid w:val="008A4751"/>
    <w:rsid w:val="008A47F5"/>
    <w:rsid w:val="008A4811"/>
    <w:rsid w:val="008A48B5"/>
    <w:rsid w:val="008A491E"/>
    <w:rsid w:val="008A4973"/>
    <w:rsid w:val="008A4A02"/>
    <w:rsid w:val="008A4A09"/>
    <w:rsid w:val="008A4A4C"/>
    <w:rsid w:val="008A4B8B"/>
    <w:rsid w:val="008A4BC2"/>
    <w:rsid w:val="008A4C10"/>
    <w:rsid w:val="008A4C39"/>
    <w:rsid w:val="008A4C59"/>
    <w:rsid w:val="008A4C98"/>
    <w:rsid w:val="008A4CC8"/>
    <w:rsid w:val="008A4CCC"/>
    <w:rsid w:val="008A4D0D"/>
    <w:rsid w:val="008A4D0E"/>
    <w:rsid w:val="008A4D61"/>
    <w:rsid w:val="008A4D80"/>
    <w:rsid w:val="008A4DD8"/>
    <w:rsid w:val="008A4DF6"/>
    <w:rsid w:val="008A4E44"/>
    <w:rsid w:val="008A4E4A"/>
    <w:rsid w:val="008A4E7D"/>
    <w:rsid w:val="008A4EAE"/>
    <w:rsid w:val="008A4F48"/>
    <w:rsid w:val="008A4FA8"/>
    <w:rsid w:val="008A50D3"/>
    <w:rsid w:val="008A50E3"/>
    <w:rsid w:val="008A514F"/>
    <w:rsid w:val="008A515E"/>
    <w:rsid w:val="008A51A3"/>
    <w:rsid w:val="008A51B9"/>
    <w:rsid w:val="008A5249"/>
    <w:rsid w:val="008A529D"/>
    <w:rsid w:val="008A536C"/>
    <w:rsid w:val="008A538F"/>
    <w:rsid w:val="008A542D"/>
    <w:rsid w:val="008A55BE"/>
    <w:rsid w:val="008A55C2"/>
    <w:rsid w:val="008A55D2"/>
    <w:rsid w:val="008A562E"/>
    <w:rsid w:val="008A5637"/>
    <w:rsid w:val="008A5683"/>
    <w:rsid w:val="008A574A"/>
    <w:rsid w:val="008A581B"/>
    <w:rsid w:val="008A5820"/>
    <w:rsid w:val="008A584A"/>
    <w:rsid w:val="008A58F5"/>
    <w:rsid w:val="008A5932"/>
    <w:rsid w:val="008A5941"/>
    <w:rsid w:val="008A59A6"/>
    <w:rsid w:val="008A5A0A"/>
    <w:rsid w:val="008A5B0B"/>
    <w:rsid w:val="008A5B0C"/>
    <w:rsid w:val="008A5B6F"/>
    <w:rsid w:val="008A5BAF"/>
    <w:rsid w:val="008A5C1F"/>
    <w:rsid w:val="008A5CAC"/>
    <w:rsid w:val="008A5CB2"/>
    <w:rsid w:val="008A5CE4"/>
    <w:rsid w:val="008A5D86"/>
    <w:rsid w:val="008A5DCE"/>
    <w:rsid w:val="008A5DEB"/>
    <w:rsid w:val="008A5E0D"/>
    <w:rsid w:val="008A5E8B"/>
    <w:rsid w:val="008A5F03"/>
    <w:rsid w:val="008A5F71"/>
    <w:rsid w:val="008A6046"/>
    <w:rsid w:val="008A6059"/>
    <w:rsid w:val="008A609D"/>
    <w:rsid w:val="008A60A6"/>
    <w:rsid w:val="008A6120"/>
    <w:rsid w:val="008A6151"/>
    <w:rsid w:val="008A6219"/>
    <w:rsid w:val="008A6333"/>
    <w:rsid w:val="008A6340"/>
    <w:rsid w:val="008A63A6"/>
    <w:rsid w:val="008A63B1"/>
    <w:rsid w:val="008A6493"/>
    <w:rsid w:val="008A65C4"/>
    <w:rsid w:val="008A65DC"/>
    <w:rsid w:val="008A6697"/>
    <w:rsid w:val="008A66B1"/>
    <w:rsid w:val="008A66B7"/>
    <w:rsid w:val="008A66E1"/>
    <w:rsid w:val="008A6733"/>
    <w:rsid w:val="008A67F0"/>
    <w:rsid w:val="008A682F"/>
    <w:rsid w:val="008A6A70"/>
    <w:rsid w:val="008A6A74"/>
    <w:rsid w:val="008A6AAD"/>
    <w:rsid w:val="008A6ABA"/>
    <w:rsid w:val="008A6AD0"/>
    <w:rsid w:val="008A6B16"/>
    <w:rsid w:val="008A6B77"/>
    <w:rsid w:val="008A6B87"/>
    <w:rsid w:val="008A6BC7"/>
    <w:rsid w:val="008A6BCC"/>
    <w:rsid w:val="008A6BFA"/>
    <w:rsid w:val="008A6C7A"/>
    <w:rsid w:val="008A6C7F"/>
    <w:rsid w:val="008A6CA6"/>
    <w:rsid w:val="008A6CED"/>
    <w:rsid w:val="008A6DA8"/>
    <w:rsid w:val="008A6DAC"/>
    <w:rsid w:val="008A6E74"/>
    <w:rsid w:val="008A6EC7"/>
    <w:rsid w:val="008A6F75"/>
    <w:rsid w:val="008A6FD9"/>
    <w:rsid w:val="008A6FE3"/>
    <w:rsid w:val="008A6FE4"/>
    <w:rsid w:val="008A6FF8"/>
    <w:rsid w:val="008A701A"/>
    <w:rsid w:val="008A7076"/>
    <w:rsid w:val="008A7110"/>
    <w:rsid w:val="008A715A"/>
    <w:rsid w:val="008A716F"/>
    <w:rsid w:val="008A71AE"/>
    <w:rsid w:val="008A71E1"/>
    <w:rsid w:val="008A7263"/>
    <w:rsid w:val="008A72C6"/>
    <w:rsid w:val="008A73A8"/>
    <w:rsid w:val="008A73AC"/>
    <w:rsid w:val="008A746E"/>
    <w:rsid w:val="008A74B4"/>
    <w:rsid w:val="008A74E4"/>
    <w:rsid w:val="008A760D"/>
    <w:rsid w:val="008A761C"/>
    <w:rsid w:val="008A7642"/>
    <w:rsid w:val="008A76BC"/>
    <w:rsid w:val="008A7727"/>
    <w:rsid w:val="008A7762"/>
    <w:rsid w:val="008A7766"/>
    <w:rsid w:val="008A782F"/>
    <w:rsid w:val="008A790D"/>
    <w:rsid w:val="008A7970"/>
    <w:rsid w:val="008A7B6C"/>
    <w:rsid w:val="008A7B9D"/>
    <w:rsid w:val="008A7BD9"/>
    <w:rsid w:val="008A7BFA"/>
    <w:rsid w:val="008A7C4E"/>
    <w:rsid w:val="008A7C73"/>
    <w:rsid w:val="008A7D8B"/>
    <w:rsid w:val="008A7E0A"/>
    <w:rsid w:val="008A7F29"/>
    <w:rsid w:val="008A7FA6"/>
    <w:rsid w:val="008A7FB5"/>
    <w:rsid w:val="008B000C"/>
    <w:rsid w:val="008B0014"/>
    <w:rsid w:val="008B0028"/>
    <w:rsid w:val="008B0029"/>
    <w:rsid w:val="008B00C0"/>
    <w:rsid w:val="008B00E2"/>
    <w:rsid w:val="008B0102"/>
    <w:rsid w:val="008B0107"/>
    <w:rsid w:val="008B014A"/>
    <w:rsid w:val="008B016B"/>
    <w:rsid w:val="008B018D"/>
    <w:rsid w:val="008B0282"/>
    <w:rsid w:val="008B02B3"/>
    <w:rsid w:val="008B03A3"/>
    <w:rsid w:val="008B03D6"/>
    <w:rsid w:val="008B041F"/>
    <w:rsid w:val="008B0579"/>
    <w:rsid w:val="008B0609"/>
    <w:rsid w:val="008B0714"/>
    <w:rsid w:val="008B07A9"/>
    <w:rsid w:val="008B089E"/>
    <w:rsid w:val="008B0A06"/>
    <w:rsid w:val="008B0A4A"/>
    <w:rsid w:val="008B0A5B"/>
    <w:rsid w:val="008B0B54"/>
    <w:rsid w:val="008B0C48"/>
    <w:rsid w:val="008B0C5A"/>
    <w:rsid w:val="008B0CE7"/>
    <w:rsid w:val="008B0D23"/>
    <w:rsid w:val="008B0DE5"/>
    <w:rsid w:val="008B0E00"/>
    <w:rsid w:val="008B0E22"/>
    <w:rsid w:val="008B0EAD"/>
    <w:rsid w:val="008B0F39"/>
    <w:rsid w:val="008B0F7D"/>
    <w:rsid w:val="008B1065"/>
    <w:rsid w:val="008B10F7"/>
    <w:rsid w:val="008B11BB"/>
    <w:rsid w:val="008B11F2"/>
    <w:rsid w:val="008B125C"/>
    <w:rsid w:val="008B1295"/>
    <w:rsid w:val="008B1298"/>
    <w:rsid w:val="008B1317"/>
    <w:rsid w:val="008B136F"/>
    <w:rsid w:val="008B1377"/>
    <w:rsid w:val="008B13D7"/>
    <w:rsid w:val="008B1468"/>
    <w:rsid w:val="008B148D"/>
    <w:rsid w:val="008B14B0"/>
    <w:rsid w:val="008B14EA"/>
    <w:rsid w:val="008B155C"/>
    <w:rsid w:val="008B1746"/>
    <w:rsid w:val="008B18AC"/>
    <w:rsid w:val="008B18BE"/>
    <w:rsid w:val="008B1975"/>
    <w:rsid w:val="008B1C6A"/>
    <w:rsid w:val="008B1CD0"/>
    <w:rsid w:val="008B1D12"/>
    <w:rsid w:val="008B1D14"/>
    <w:rsid w:val="008B1DBD"/>
    <w:rsid w:val="008B1E09"/>
    <w:rsid w:val="008B1E5B"/>
    <w:rsid w:val="008B1E6D"/>
    <w:rsid w:val="008B1EB2"/>
    <w:rsid w:val="008B1ECF"/>
    <w:rsid w:val="008B1F21"/>
    <w:rsid w:val="008B1F8E"/>
    <w:rsid w:val="008B1F9A"/>
    <w:rsid w:val="008B1FEB"/>
    <w:rsid w:val="008B2008"/>
    <w:rsid w:val="008B204A"/>
    <w:rsid w:val="008B2055"/>
    <w:rsid w:val="008B205B"/>
    <w:rsid w:val="008B2090"/>
    <w:rsid w:val="008B211E"/>
    <w:rsid w:val="008B2123"/>
    <w:rsid w:val="008B2183"/>
    <w:rsid w:val="008B21EF"/>
    <w:rsid w:val="008B239E"/>
    <w:rsid w:val="008B2418"/>
    <w:rsid w:val="008B2432"/>
    <w:rsid w:val="008B244C"/>
    <w:rsid w:val="008B24F6"/>
    <w:rsid w:val="008B254F"/>
    <w:rsid w:val="008B2577"/>
    <w:rsid w:val="008B25B9"/>
    <w:rsid w:val="008B271C"/>
    <w:rsid w:val="008B275B"/>
    <w:rsid w:val="008B27B7"/>
    <w:rsid w:val="008B2822"/>
    <w:rsid w:val="008B28D2"/>
    <w:rsid w:val="008B2980"/>
    <w:rsid w:val="008B29FC"/>
    <w:rsid w:val="008B2A57"/>
    <w:rsid w:val="008B2A71"/>
    <w:rsid w:val="008B2AB4"/>
    <w:rsid w:val="008B2AD9"/>
    <w:rsid w:val="008B2B01"/>
    <w:rsid w:val="008B2B4F"/>
    <w:rsid w:val="008B2BA8"/>
    <w:rsid w:val="008B2BDF"/>
    <w:rsid w:val="008B2CD8"/>
    <w:rsid w:val="008B2D59"/>
    <w:rsid w:val="008B2DE5"/>
    <w:rsid w:val="008B2E19"/>
    <w:rsid w:val="008B2E92"/>
    <w:rsid w:val="008B2E99"/>
    <w:rsid w:val="008B2EE5"/>
    <w:rsid w:val="008B2EF2"/>
    <w:rsid w:val="008B2FB2"/>
    <w:rsid w:val="008B3046"/>
    <w:rsid w:val="008B30B8"/>
    <w:rsid w:val="008B30FE"/>
    <w:rsid w:val="008B3143"/>
    <w:rsid w:val="008B325D"/>
    <w:rsid w:val="008B32D6"/>
    <w:rsid w:val="008B341E"/>
    <w:rsid w:val="008B3475"/>
    <w:rsid w:val="008B34BA"/>
    <w:rsid w:val="008B34F1"/>
    <w:rsid w:val="008B3678"/>
    <w:rsid w:val="008B36B5"/>
    <w:rsid w:val="008B3703"/>
    <w:rsid w:val="008B3741"/>
    <w:rsid w:val="008B375A"/>
    <w:rsid w:val="008B389C"/>
    <w:rsid w:val="008B38DC"/>
    <w:rsid w:val="008B390B"/>
    <w:rsid w:val="008B3A37"/>
    <w:rsid w:val="008B3AE0"/>
    <w:rsid w:val="008B3B78"/>
    <w:rsid w:val="008B3C29"/>
    <w:rsid w:val="008B3C43"/>
    <w:rsid w:val="008B3C62"/>
    <w:rsid w:val="008B3D9B"/>
    <w:rsid w:val="008B3E1F"/>
    <w:rsid w:val="008B3E8D"/>
    <w:rsid w:val="008B3F44"/>
    <w:rsid w:val="008B3F93"/>
    <w:rsid w:val="008B3FA8"/>
    <w:rsid w:val="008B3FB2"/>
    <w:rsid w:val="008B4025"/>
    <w:rsid w:val="008B4043"/>
    <w:rsid w:val="008B40DD"/>
    <w:rsid w:val="008B40EE"/>
    <w:rsid w:val="008B412C"/>
    <w:rsid w:val="008B41ED"/>
    <w:rsid w:val="008B420D"/>
    <w:rsid w:val="008B4338"/>
    <w:rsid w:val="008B44EC"/>
    <w:rsid w:val="008B44F3"/>
    <w:rsid w:val="008B455B"/>
    <w:rsid w:val="008B455F"/>
    <w:rsid w:val="008B4646"/>
    <w:rsid w:val="008B4697"/>
    <w:rsid w:val="008B46A1"/>
    <w:rsid w:val="008B46DF"/>
    <w:rsid w:val="008B475A"/>
    <w:rsid w:val="008B477D"/>
    <w:rsid w:val="008B478A"/>
    <w:rsid w:val="008B483B"/>
    <w:rsid w:val="008B487E"/>
    <w:rsid w:val="008B48A0"/>
    <w:rsid w:val="008B48BA"/>
    <w:rsid w:val="008B48DF"/>
    <w:rsid w:val="008B4992"/>
    <w:rsid w:val="008B49D0"/>
    <w:rsid w:val="008B4A38"/>
    <w:rsid w:val="008B4AD7"/>
    <w:rsid w:val="008B4B1B"/>
    <w:rsid w:val="008B4BDE"/>
    <w:rsid w:val="008B4C30"/>
    <w:rsid w:val="008B4CE3"/>
    <w:rsid w:val="008B4CE5"/>
    <w:rsid w:val="008B4D75"/>
    <w:rsid w:val="008B4DAA"/>
    <w:rsid w:val="008B4DB4"/>
    <w:rsid w:val="008B4E35"/>
    <w:rsid w:val="008B4EA6"/>
    <w:rsid w:val="008B4EBF"/>
    <w:rsid w:val="008B4FDE"/>
    <w:rsid w:val="008B5006"/>
    <w:rsid w:val="008B5170"/>
    <w:rsid w:val="008B5181"/>
    <w:rsid w:val="008B524F"/>
    <w:rsid w:val="008B52FF"/>
    <w:rsid w:val="008B5310"/>
    <w:rsid w:val="008B532B"/>
    <w:rsid w:val="008B534D"/>
    <w:rsid w:val="008B5408"/>
    <w:rsid w:val="008B544B"/>
    <w:rsid w:val="008B548A"/>
    <w:rsid w:val="008B5567"/>
    <w:rsid w:val="008B55AB"/>
    <w:rsid w:val="008B55DB"/>
    <w:rsid w:val="008B57EE"/>
    <w:rsid w:val="008B586D"/>
    <w:rsid w:val="008B5A37"/>
    <w:rsid w:val="008B5A43"/>
    <w:rsid w:val="008B5A63"/>
    <w:rsid w:val="008B5A7E"/>
    <w:rsid w:val="008B5A87"/>
    <w:rsid w:val="008B5A97"/>
    <w:rsid w:val="008B5B44"/>
    <w:rsid w:val="008B5B6E"/>
    <w:rsid w:val="008B5C3B"/>
    <w:rsid w:val="008B5CDD"/>
    <w:rsid w:val="008B5D0F"/>
    <w:rsid w:val="008B5DB4"/>
    <w:rsid w:val="008B5DD5"/>
    <w:rsid w:val="008B5E07"/>
    <w:rsid w:val="008B5E4B"/>
    <w:rsid w:val="008B5ED6"/>
    <w:rsid w:val="008B5FB8"/>
    <w:rsid w:val="008B602A"/>
    <w:rsid w:val="008B60FB"/>
    <w:rsid w:val="008B61AB"/>
    <w:rsid w:val="008B61CC"/>
    <w:rsid w:val="008B61E0"/>
    <w:rsid w:val="008B623E"/>
    <w:rsid w:val="008B6268"/>
    <w:rsid w:val="008B6293"/>
    <w:rsid w:val="008B62A0"/>
    <w:rsid w:val="008B63B0"/>
    <w:rsid w:val="008B64BB"/>
    <w:rsid w:val="008B651F"/>
    <w:rsid w:val="008B6521"/>
    <w:rsid w:val="008B652D"/>
    <w:rsid w:val="008B6577"/>
    <w:rsid w:val="008B668F"/>
    <w:rsid w:val="008B670C"/>
    <w:rsid w:val="008B6730"/>
    <w:rsid w:val="008B6773"/>
    <w:rsid w:val="008B67EB"/>
    <w:rsid w:val="008B680C"/>
    <w:rsid w:val="008B68E0"/>
    <w:rsid w:val="008B68F5"/>
    <w:rsid w:val="008B6958"/>
    <w:rsid w:val="008B6A3A"/>
    <w:rsid w:val="008B6A41"/>
    <w:rsid w:val="008B6AE1"/>
    <w:rsid w:val="008B6AFB"/>
    <w:rsid w:val="008B6B31"/>
    <w:rsid w:val="008B6B7D"/>
    <w:rsid w:val="008B6C55"/>
    <w:rsid w:val="008B6C7B"/>
    <w:rsid w:val="008B6C99"/>
    <w:rsid w:val="008B6D0C"/>
    <w:rsid w:val="008B6D4C"/>
    <w:rsid w:val="008B6D61"/>
    <w:rsid w:val="008B6D65"/>
    <w:rsid w:val="008B6D8E"/>
    <w:rsid w:val="008B6E11"/>
    <w:rsid w:val="008B6E52"/>
    <w:rsid w:val="008B6ED3"/>
    <w:rsid w:val="008B6F13"/>
    <w:rsid w:val="008B6F1C"/>
    <w:rsid w:val="008B6F20"/>
    <w:rsid w:val="008B6FF4"/>
    <w:rsid w:val="008B704D"/>
    <w:rsid w:val="008B70C2"/>
    <w:rsid w:val="008B70EF"/>
    <w:rsid w:val="008B7103"/>
    <w:rsid w:val="008B713E"/>
    <w:rsid w:val="008B7190"/>
    <w:rsid w:val="008B71AB"/>
    <w:rsid w:val="008B71D8"/>
    <w:rsid w:val="008B7297"/>
    <w:rsid w:val="008B72F6"/>
    <w:rsid w:val="008B73F7"/>
    <w:rsid w:val="008B7436"/>
    <w:rsid w:val="008B74D1"/>
    <w:rsid w:val="008B7517"/>
    <w:rsid w:val="008B7572"/>
    <w:rsid w:val="008B757B"/>
    <w:rsid w:val="008B760F"/>
    <w:rsid w:val="008B7637"/>
    <w:rsid w:val="008B768C"/>
    <w:rsid w:val="008B76B2"/>
    <w:rsid w:val="008B76D3"/>
    <w:rsid w:val="008B774E"/>
    <w:rsid w:val="008B775E"/>
    <w:rsid w:val="008B77A6"/>
    <w:rsid w:val="008B7818"/>
    <w:rsid w:val="008B781F"/>
    <w:rsid w:val="008B7845"/>
    <w:rsid w:val="008B7849"/>
    <w:rsid w:val="008B796E"/>
    <w:rsid w:val="008B798A"/>
    <w:rsid w:val="008B7A24"/>
    <w:rsid w:val="008B7BE2"/>
    <w:rsid w:val="008B7BE4"/>
    <w:rsid w:val="008B7C11"/>
    <w:rsid w:val="008B7C38"/>
    <w:rsid w:val="008B7C60"/>
    <w:rsid w:val="008B7C88"/>
    <w:rsid w:val="008B7D0A"/>
    <w:rsid w:val="008B7D69"/>
    <w:rsid w:val="008B7D92"/>
    <w:rsid w:val="008B7E49"/>
    <w:rsid w:val="008B7E54"/>
    <w:rsid w:val="008B7F1E"/>
    <w:rsid w:val="008B7FA2"/>
    <w:rsid w:val="008B7FF0"/>
    <w:rsid w:val="008C003A"/>
    <w:rsid w:val="008C00DD"/>
    <w:rsid w:val="008C00E8"/>
    <w:rsid w:val="008C00EB"/>
    <w:rsid w:val="008C025E"/>
    <w:rsid w:val="008C026F"/>
    <w:rsid w:val="008C0373"/>
    <w:rsid w:val="008C0383"/>
    <w:rsid w:val="008C0398"/>
    <w:rsid w:val="008C03C2"/>
    <w:rsid w:val="008C0476"/>
    <w:rsid w:val="008C0526"/>
    <w:rsid w:val="008C0559"/>
    <w:rsid w:val="008C0687"/>
    <w:rsid w:val="008C068A"/>
    <w:rsid w:val="008C074A"/>
    <w:rsid w:val="008C078C"/>
    <w:rsid w:val="008C07D1"/>
    <w:rsid w:val="008C0888"/>
    <w:rsid w:val="008C0892"/>
    <w:rsid w:val="008C08E5"/>
    <w:rsid w:val="008C0947"/>
    <w:rsid w:val="008C094C"/>
    <w:rsid w:val="008C09A7"/>
    <w:rsid w:val="008C0A1A"/>
    <w:rsid w:val="008C0A39"/>
    <w:rsid w:val="008C0A3D"/>
    <w:rsid w:val="008C0A8F"/>
    <w:rsid w:val="008C0C19"/>
    <w:rsid w:val="008C0C42"/>
    <w:rsid w:val="008C0CCC"/>
    <w:rsid w:val="008C0CF7"/>
    <w:rsid w:val="008C0D42"/>
    <w:rsid w:val="008C0D8C"/>
    <w:rsid w:val="008C0DA1"/>
    <w:rsid w:val="008C0DC3"/>
    <w:rsid w:val="008C0DED"/>
    <w:rsid w:val="008C0E41"/>
    <w:rsid w:val="008C0E56"/>
    <w:rsid w:val="008C0EB8"/>
    <w:rsid w:val="008C0FC8"/>
    <w:rsid w:val="008C10B6"/>
    <w:rsid w:val="008C10CE"/>
    <w:rsid w:val="008C118E"/>
    <w:rsid w:val="008C1198"/>
    <w:rsid w:val="008C11E1"/>
    <w:rsid w:val="008C12D9"/>
    <w:rsid w:val="008C1320"/>
    <w:rsid w:val="008C1342"/>
    <w:rsid w:val="008C1437"/>
    <w:rsid w:val="008C145F"/>
    <w:rsid w:val="008C1461"/>
    <w:rsid w:val="008C1513"/>
    <w:rsid w:val="008C15B2"/>
    <w:rsid w:val="008C15DB"/>
    <w:rsid w:val="008C15E8"/>
    <w:rsid w:val="008C1600"/>
    <w:rsid w:val="008C1606"/>
    <w:rsid w:val="008C1666"/>
    <w:rsid w:val="008C1696"/>
    <w:rsid w:val="008C1712"/>
    <w:rsid w:val="008C1765"/>
    <w:rsid w:val="008C17E0"/>
    <w:rsid w:val="008C18F3"/>
    <w:rsid w:val="008C1B0F"/>
    <w:rsid w:val="008C1B8A"/>
    <w:rsid w:val="008C1BBC"/>
    <w:rsid w:val="008C1CD3"/>
    <w:rsid w:val="008C1D29"/>
    <w:rsid w:val="008C1D31"/>
    <w:rsid w:val="008C1D57"/>
    <w:rsid w:val="008C1E7C"/>
    <w:rsid w:val="008C1ECC"/>
    <w:rsid w:val="008C1FC0"/>
    <w:rsid w:val="008C1FFA"/>
    <w:rsid w:val="008C2038"/>
    <w:rsid w:val="008C205A"/>
    <w:rsid w:val="008C208C"/>
    <w:rsid w:val="008C2090"/>
    <w:rsid w:val="008C2140"/>
    <w:rsid w:val="008C2141"/>
    <w:rsid w:val="008C21CD"/>
    <w:rsid w:val="008C2231"/>
    <w:rsid w:val="008C2247"/>
    <w:rsid w:val="008C2387"/>
    <w:rsid w:val="008C2390"/>
    <w:rsid w:val="008C23C4"/>
    <w:rsid w:val="008C2464"/>
    <w:rsid w:val="008C248B"/>
    <w:rsid w:val="008C24C5"/>
    <w:rsid w:val="008C25B5"/>
    <w:rsid w:val="008C2613"/>
    <w:rsid w:val="008C265A"/>
    <w:rsid w:val="008C26A1"/>
    <w:rsid w:val="008C26C5"/>
    <w:rsid w:val="008C26F2"/>
    <w:rsid w:val="008C2789"/>
    <w:rsid w:val="008C2806"/>
    <w:rsid w:val="008C28F4"/>
    <w:rsid w:val="008C2900"/>
    <w:rsid w:val="008C2932"/>
    <w:rsid w:val="008C2AA2"/>
    <w:rsid w:val="008C2AC5"/>
    <w:rsid w:val="008C2AD8"/>
    <w:rsid w:val="008C2DEF"/>
    <w:rsid w:val="008C2E55"/>
    <w:rsid w:val="008C2E9E"/>
    <w:rsid w:val="008C2EB7"/>
    <w:rsid w:val="008C2ED4"/>
    <w:rsid w:val="008C2F4A"/>
    <w:rsid w:val="008C2F5E"/>
    <w:rsid w:val="008C2FAF"/>
    <w:rsid w:val="008C2FD5"/>
    <w:rsid w:val="008C302F"/>
    <w:rsid w:val="008C3069"/>
    <w:rsid w:val="008C3089"/>
    <w:rsid w:val="008C30BA"/>
    <w:rsid w:val="008C3182"/>
    <w:rsid w:val="008C31B2"/>
    <w:rsid w:val="008C31B8"/>
    <w:rsid w:val="008C31B9"/>
    <w:rsid w:val="008C31DE"/>
    <w:rsid w:val="008C31F9"/>
    <w:rsid w:val="008C3201"/>
    <w:rsid w:val="008C321C"/>
    <w:rsid w:val="008C3253"/>
    <w:rsid w:val="008C32AC"/>
    <w:rsid w:val="008C32FE"/>
    <w:rsid w:val="008C3313"/>
    <w:rsid w:val="008C33B4"/>
    <w:rsid w:val="008C33E0"/>
    <w:rsid w:val="008C356F"/>
    <w:rsid w:val="008C362E"/>
    <w:rsid w:val="008C371A"/>
    <w:rsid w:val="008C371C"/>
    <w:rsid w:val="008C37BA"/>
    <w:rsid w:val="008C3894"/>
    <w:rsid w:val="008C38B6"/>
    <w:rsid w:val="008C3B52"/>
    <w:rsid w:val="008C3B78"/>
    <w:rsid w:val="008C3B79"/>
    <w:rsid w:val="008C3B7B"/>
    <w:rsid w:val="008C3C75"/>
    <w:rsid w:val="008C3CD4"/>
    <w:rsid w:val="008C3D5C"/>
    <w:rsid w:val="008C3D63"/>
    <w:rsid w:val="008C3DBE"/>
    <w:rsid w:val="008C3DED"/>
    <w:rsid w:val="008C3E6E"/>
    <w:rsid w:val="008C3F39"/>
    <w:rsid w:val="008C3F5D"/>
    <w:rsid w:val="008C3FA6"/>
    <w:rsid w:val="008C3FC4"/>
    <w:rsid w:val="008C3FE2"/>
    <w:rsid w:val="008C4020"/>
    <w:rsid w:val="008C4245"/>
    <w:rsid w:val="008C42B5"/>
    <w:rsid w:val="008C4315"/>
    <w:rsid w:val="008C449F"/>
    <w:rsid w:val="008C44A4"/>
    <w:rsid w:val="008C44B3"/>
    <w:rsid w:val="008C4537"/>
    <w:rsid w:val="008C458A"/>
    <w:rsid w:val="008C45FF"/>
    <w:rsid w:val="008C4621"/>
    <w:rsid w:val="008C4718"/>
    <w:rsid w:val="008C47E4"/>
    <w:rsid w:val="008C4896"/>
    <w:rsid w:val="008C48BE"/>
    <w:rsid w:val="008C48E8"/>
    <w:rsid w:val="008C48F7"/>
    <w:rsid w:val="008C4981"/>
    <w:rsid w:val="008C4A23"/>
    <w:rsid w:val="008C4A5D"/>
    <w:rsid w:val="008C4B36"/>
    <w:rsid w:val="008C4B3A"/>
    <w:rsid w:val="008C4B8C"/>
    <w:rsid w:val="008C4BB9"/>
    <w:rsid w:val="008C4BDD"/>
    <w:rsid w:val="008C4CB0"/>
    <w:rsid w:val="008C4CDF"/>
    <w:rsid w:val="008C4CEF"/>
    <w:rsid w:val="008C4D5A"/>
    <w:rsid w:val="008C4D73"/>
    <w:rsid w:val="008C4E9A"/>
    <w:rsid w:val="008C4F2E"/>
    <w:rsid w:val="008C4F30"/>
    <w:rsid w:val="008C4FBD"/>
    <w:rsid w:val="008C4FE6"/>
    <w:rsid w:val="008C50D2"/>
    <w:rsid w:val="008C5123"/>
    <w:rsid w:val="008C516B"/>
    <w:rsid w:val="008C5200"/>
    <w:rsid w:val="008C5201"/>
    <w:rsid w:val="008C5229"/>
    <w:rsid w:val="008C53B1"/>
    <w:rsid w:val="008C5428"/>
    <w:rsid w:val="008C542F"/>
    <w:rsid w:val="008C54C8"/>
    <w:rsid w:val="008C5595"/>
    <w:rsid w:val="008C577A"/>
    <w:rsid w:val="008C57FB"/>
    <w:rsid w:val="008C580C"/>
    <w:rsid w:val="008C5981"/>
    <w:rsid w:val="008C5A57"/>
    <w:rsid w:val="008C5B31"/>
    <w:rsid w:val="008C5BCE"/>
    <w:rsid w:val="008C5BDD"/>
    <w:rsid w:val="008C5C7B"/>
    <w:rsid w:val="008C5CD1"/>
    <w:rsid w:val="008C5D96"/>
    <w:rsid w:val="008C5DDE"/>
    <w:rsid w:val="008C5F82"/>
    <w:rsid w:val="008C5FD1"/>
    <w:rsid w:val="008C6070"/>
    <w:rsid w:val="008C607B"/>
    <w:rsid w:val="008C6097"/>
    <w:rsid w:val="008C609F"/>
    <w:rsid w:val="008C60A2"/>
    <w:rsid w:val="008C6137"/>
    <w:rsid w:val="008C6218"/>
    <w:rsid w:val="008C62A5"/>
    <w:rsid w:val="008C62AA"/>
    <w:rsid w:val="008C633D"/>
    <w:rsid w:val="008C63A5"/>
    <w:rsid w:val="008C64ED"/>
    <w:rsid w:val="008C6525"/>
    <w:rsid w:val="008C6543"/>
    <w:rsid w:val="008C6556"/>
    <w:rsid w:val="008C6572"/>
    <w:rsid w:val="008C6576"/>
    <w:rsid w:val="008C65FA"/>
    <w:rsid w:val="008C6612"/>
    <w:rsid w:val="008C6623"/>
    <w:rsid w:val="008C6691"/>
    <w:rsid w:val="008C66F7"/>
    <w:rsid w:val="008C6706"/>
    <w:rsid w:val="008C678F"/>
    <w:rsid w:val="008C679E"/>
    <w:rsid w:val="008C680C"/>
    <w:rsid w:val="008C6876"/>
    <w:rsid w:val="008C687E"/>
    <w:rsid w:val="008C68E3"/>
    <w:rsid w:val="008C69BD"/>
    <w:rsid w:val="008C69CC"/>
    <w:rsid w:val="008C6A0C"/>
    <w:rsid w:val="008C6B85"/>
    <w:rsid w:val="008C6B98"/>
    <w:rsid w:val="008C6BC1"/>
    <w:rsid w:val="008C6BFE"/>
    <w:rsid w:val="008C6C81"/>
    <w:rsid w:val="008C6CB4"/>
    <w:rsid w:val="008C6CB8"/>
    <w:rsid w:val="008C6CC4"/>
    <w:rsid w:val="008C6CC8"/>
    <w:rsid w:val="008C6D31"/>
    <w:rsid w:val="008C6D7F"/>
    <w:rsid w:val="008C6D84"/>
    <w:rsid w:val="008C6D96"/>
    <w:rsid w:val="008C6E30"/>
    <w:rsid w:val="008C6E9E"/>
    <w:rsid w:val="008C6EB6"/>
    <w:rsid w:val="008C6F06"/>
    <w:rsid w:val="008C6F79"/>
    <w:rsid w:val="008C6FE6"/>
    <w:rsid w:val="008C6FFC"/>
    <w:rsid w:val="008C707B"/>
    <w:rsid w:val="008C711C"/>
    <w:rsid w:val="008C7169"/>
    <w:rsid w:val="008C7181"/>
    <w:rsid w:val="008C71F5"/>
    <w:rsid w:val="008C7242"/>
    <w:rsid w:val="008C72CE"/>
    <w:rsid w:val="008C7302"/>
    <w:rsid w:val="008C73E0"/>
    <w:rsid w:val="008C752B"/>
    <w:rsid w:val="008C7627"/>
    <w:rsid w:val="008C76BE"/>
    <w:rsid w:val="008C76EC"/>
    <w:rsid w:val="008C76FD"/>
    <w:rsid w:val="008C7765"/>
    <w:rsid w:val="008C77BD"/>
    <w:rsid w:val="008C77CA"/>
    <w:rsid w:val="008C7844"/>
    <w:rsid w:val="008C7925"/>
    <w:rsid w:val="008C79CA"/>
    <w:rsid w:val="008C7AB0"/>
    <w:rsid w:val="008C7B91"/>
    <w:rsid w:val="008C7C05"/>
    <w:rsid w:val="008C7C25"/>
    <w:rsid w:val="008C7C68"/>
    <w:rsid w:val="008C7C9F"/>
    <w:rsid w:val="008C7CC7"/>
    <w:rsid w:val="008C7CE9"/>
    <w:rsid w:val="008C7D43"/>
    <w:rsid w:val="008C7E19"/>
    <w:rsid w:val="008C7E70"/>
    <w:rsid w:val="008C7E85"/>
    <w:rsid w:val="008C7E89"/>
    <w:rsid w:val="008C7E94"/>
    <w:rsid w:val="008C7EFA"/>
    <w:rsid w:val="008C7F1F"/>
    <w:rsid w:val="008C7F97"/>
    <w:rsid w:val="008C7FC8"/>
    <w:rsid w:val="008C7FF4"/>
    <w:rsid w:val="008D0030"/>
    <w:rsid w:val="008D0220"/>
    <w:rsid w:val="008D0226"/>
    <w:rsid w:val="008D026F"/>
    <w:rsid w:val="008D02B6"/>
    <w:rsid w:val="008D02B7"/>
    <w:rsid w:val="008D02DE"/>
    <w:rsid w:val="008D03C1"/>
    <w:rsid w:val="008D047B"/>
    <w:rsid w:val="008D04D0"/>
    <w:rsid w:val="008D04FC"/>
    <w:rsid w:val="008D0525"/>
    <w:rsid w:val="008D0562"/>
    <w:rsid w:val="008D058A"/>
    <w:rsid w:val="008D070C"/>
    <w:rsid w:val="008D07ED"/>
    <w:rsid w:val="008D07F8"/>
    <w:rsid w:val="008D0809"/>
    <w:rsid w:val="008D085D"/>
    <w:rsid w:val="008D0AE5"/>
    <w:rsid w:val="008D0AF1"/>
    <w:rsid w:val="008D0BCE"/>
    <w:rsid w:val="008D0C3B"/>
    <w:rsid w:val="008D0CB6"/>
    <w:rsid w:val="008D0CE7"/>
    <w:rsid w:val="008D0D2A"/>
    <w:rsid w:val="008D0E93"/>
    <w:rsid w:val="008D0EE0"/>
    <w:rsid w:val="008D100C"/>
    <w:rsid w:val="008D101E"/>
    <w:rsid w:val="008D1034"/>
    <w:rsid w:val="008D11B2"/>
    <w:rsid w:val="008D1283"/>
    <w:rsid w:val="008D133C"/>
    <w:rsid w:val="008D135E"/>
    <w:rsid w:val="008D1520"/>
    <w:rsid w:val="008D163C"/>
    <w:rsid w:val="008D1695"/>
    <w:rsid w:val="008D1749"/>
    <w:rsid w:val="008D1793"/>
    <w:rsid w:val="008D1834"/>
    <w:rsid w:val="008D1851"/>
    <w:rsid w:val="008D18B0"/>
    <w:rsid w:val="008D18B2"/>
    <w:rsid w:val="008D18C8"/>
    <w:rsid w:val="008D191C"/>
    <w:rsid w:val="008D1A3F"/>
    <w:rsid w:val="008D1A81"/>
    <w:rsid w:val="008D1A82"/>
    <w:rsid w:val="008D1B0C"/>
    <w:rsid w:val="008D1B48"/>
    <w:rsid w:val="008D1B7B"/>
    <w:rsid w:val="008D1BC8"/>
    <w:rsid w:val="008D1C02"/>
    <w:rsid w:val="008D1C0A"/>
    <w:rsid w:val="008D1C44"/>
    <w:rsid w:val="008D1C7F"/>
    <w:rsid w:val="008D1CDD"/>
    <w:rsid w:val="008D1CE3"/>
    <w:rsid w:val="008D1D62"/>
    <w:rsid w:val="008D1D7E"/>
    <w:rsid w:val="008D1D81"/>
    <w:rsid w:val="008D1D87"/>
    <w:rsid w:val="008D1E1A"/>
    <w:rsid w:val="008D1E5B"/>
    <w:rsid w:val="008D1F06"/>
    <w:rsid w:val="008D1F29"/>
    <w:rsid w:val="008D1F50"/>
    <w:rsid w:val="008D1F5D"/>
    <w:rsid w:val="008D1FF2"/>
    <w:rsid w:val="008D201B"/>
    <w:rsid w:val="008D2028"/>
    <w:rsid w:val="008D2052"/>
    <w:rsid w:val="008D2069"/>
    <w:rsid w:val="008D215A"/>
    <w:rsid w:val="008D21A1"/>
    <w:rsid w:val="008D21FC"/>
    <w:rsid w:val="008D22D0"/>
    <w:rsid w:val="008D22EF"/>
    <w:rsid w:val="008D230A"/>
    <w:rsid w:val="008D2313"/>
    <w:rsid w:val="008D24EB"/>
    <w:rsid w:val="008D2514"/>
    <w:rsid w:val="008D25ED"/>
    <w:rsid w:val="008D25FC"/>
    <w:rsid w:val="008D2645"/>
    <w:rsid w:val="008D2646"/>
    <w:rsid w:val="008D26B8"/>
    <w:rsid w:val="008D2776"/>
    <w:rsid w:val="008D27B6"/>
    <w:rsid w:val="008D28D0"/>
    <w:rsid w:val="008D29B4"/>
    <w:rsid w:val="008D2A0A"/>
    <w:rsid w:val="008D2A32"/>
    <w:rsid w:val="008D2A74"/>
    <w:rsid w:val="008D2A81"/>
    <w:rsid w:val="008D2BA8"/>
    <w:rsid w:val="008D2C61"/>
    <w:rsid w:val="008D2CAD"/>
    <w:rsid w:val="008D2CD2"/>
    <w:rsid w:val="008D2D55"/>
    <w:rsid w:val="008D2D7C"/>
    <w:rsid w:val="008D2D94"/>
    <w:rsid w:val="008D2E54"/>
    <w:rsid w:val="008D2E77"/>
    <w:rsid w:val="008D2EF6"/>
    <w:rsid w:val="008D2F2F"/>
    <w:rsid w:val="008D2F7D"/>
    <w:rsid w:val="008D30BD"/>
    <w:rsid w:val="008D31C9"/>
    <w:rsid w:val="008D31D0"/>
    <w:rsid w:val="008D334A"/>
    <w:rsid w:val="008D3583"/>
    <w:rsid w:val="008D35FA"/>
    <w:rsid w:val="008D3628"/>
    <w:rsid w:val="008D362D"/>
    <w:rsid w:val="008D3690"/>
    <w:rsid w:val="008D36DE"/>
    <w:rsid w:val="008D372F"/>
    <w:rsid w:val="008D374A"/>
    <w:rsid w:val="008D376F"/>
    <w:rsid w:val="008D3794"/>
    <w:rsid w:val="008D37D4"/>
    <w:rsid w:val="008D37E1"/>
    <w:rsid w:val="008D38E4"/>
    <w:rsid w:val="008D3909"/>
    <w:rsid w:val="008D3A81"/>
    <w:rsid w:val="008D3AA6"/>
    <w:rsid w:val="008D3B49"/>
    <w:rsid w:val="008D3C6D"/>
    <w:rsid w:val="008D3DFD"/>
    <w:rsid w:val="008D3F79"/>
    <w:rsid w:val="008D3FAA"/>
    <w:rsid w:val="008D401F"/>
    <w:rsid w:val="008D4105"/>
    <w:rsid w:val="008D410D"/>
    <w:rsid w:val="008D419B"/>
    <w:rsid w:val="008D41BC"/>
    <w:rsid w:val="008D41C5"/>
    <w:rsid w:val="008D41E4"/>
    <w:rsid w:val="008D435A"/>
    <w:rsid w:val="008D43CB"/>
    <w:rsid w:val="008D4537"/>
    <w:rsid w:val="008D45C1"/>
    <w:rsid w:val="008D45E0"/>
    <w:rsid w:val="008D4636"/>
    <w:rsid w:val="008D4757"/>
    <w:rsid w:val="008D4759"/>
    <w:rsid w:val="008D47B6"/>
    <w:rsid w:val="008D47C8"/>
    <w:rsid w:val="008D47D2"/>
    <w:rsid w:val="008D4938"/>
    <w:rsid w:val="008D49A9"/>
    <w:rsid w:val="008D4A88"/>
    <w:rsid w:val="008D4B20"/>
    <w:rsid w:val="008D4B27"/>
    <w:rsid w:val="008D4B55"/>
    <w:rsid w:val="008D4B91"/>
    <w:rsid w:val="008D4BED"/>
    <w:rsid w:val="008D4C31"/>
    <w:rsid w:val="008D4C52"/>
    <w:rsid w:val="008D4C6A"/>
    <w:rsid w:val="008D4CB4"/>
    <w:rsid w:val="008D4CF7"/>
    <w:rsid w:val="008D4D6D"/>
    <w:rsid w:val="008D4E21"/>
    <w:rsid w:val="008D4E72"/>
    <w:rsid w:val="008D4EA7"/>
    <w:rsid w:val="008D4F2F"/>
    <w:rsid w:val="008D4F9F"/>
    <w:rsid w:val="008D502D"/>
    <w:rsid w:val="008D50E9"/>
    <w:rsid w:val="008D518E"/>
    <w:rsid w:val="008D51CA"/>
    <w:rsid w:val="008D5279"/>
    <w:rsid w:val="008D531C"/>
    <w:rsid w:val="008D5342"/>
    <w:rsid w:val="008D534F"/>
    <w:rsid w:val="008D535D"/>
    <w:rsid w:val="008D5401"/>
    <w:rsid w:val="008D5458"/>
    <w:rsid w:val="008D54A6"/>
    <w:rsid w:val="008D54BC"/>
    <w:rsid w:val="008D54CC"/>
    <w:rsid w:val="008D54CD"/>
    <w:rsid w:val="008D54F7"/>
    <w:rsid w:val="008D54FB"/>
    <w:rsid w:val="008D5570"/>
    <w:rsid w:val="008D55F6"/>
    <w:rsid w:val="008D560D"/>
    <w:rsid w:val="008D560F"/>
    <w:rsid w:val="008D5625"/>
    <w:rsid w:val="008D568E"/>
    <w:rsid w:val="008D56D2"/>
    <w:rsid w:val="008D56F7"/>
    <w:rsid w:val="008D570A"/>
    <w:rsid w:val="008D57A4"/>
    <w:rsid w:val="008D584C"/>
    <w:rsid w:val="008D5881"/>
    <w:rsid w:val="008D5883"/>
    <w:rsid w:val="008D58B1"/>
    <w:rsid w:val="008D58BA"/>
    <w:rsid w:val="008D58E7"/>
    <w:rsid w:val="008D597B"/>
    <w:rsid w:val="008D59FA"/>
    <w:rsid w:val="008D5A01"/>
    <w:rsid w:val="008D5A2D"/>
    <w:rsid w:val="008D5B84"/>
    <w:rsid w:val="008D5BB7"/>
    <w:rsid w:val="008D5C27"/>
    <w:rsid w:val="008D5C5A"/>
    <w:rsid w:val="008D5D4C"/>
    <w:rsid w:val="008D5D65"/>
    <w:rsid w:val="008D5E83"/>
    <w:rsid w:val="008D5EF8"/>
    <w:rsid w:val="008D60F3"/>
    <w:rsid w:val="008D61FB"/>
    <w:rsid w:val="008D62E6"/>
    <w:rsid w:val="008D6321"/>
    <w:rsid w:val="008D6340"/>
    <w:rsid w:val="008D64AE"/>
    <w:rsid w:val="008D64CE"/>
    <w:rsid w:val="008D6596"/>
    <w:rsid w:val="008D659F"/>
    <w:rsid w:val="008D65F2"/>
    <w:rsid w:val="008D6644"/>
    <w:rsid w:val="008D665F"/>
    <w:rsid w:val="008D6703"/>
    <w:rsid w:val="008D6706"/>
    <w:rsid w:val="008D676C"/>
    <w:rsid w:val="008D67D1"/>
    <w:rsid w:val="008D680E"/>
    <w:rsid w:val="008D680F"/>
    <w:rsid w:val="008D6819"/>
    <w:rsid w:val="008D6869"/>
    <w:rsid w:val="008D68BD"/>
    <w:rsid w:val="008D694E"/>
    <w:rsid w:val="008D6A35"/>
    <w:rsid w:val="008D6AF4"/>
    <w:rsid w:val="008D6B69"/>
    <w:rsid w:val="008D6BCF"/>
    <w:rsid w:val="008D6BF5"/>
    <w:rsid w:val="008D6C6B"/>
    <w:rsid w:val="008D6CB3"/>
    <w:rsid w:val="008D6CEC"/>
    <w:rsid w:val="008D6D70"/>
    <w:rsid w:val="008D6DC2"/>
    <w:rsid w:val="008D6DC7"/>
    <w:rsid w:val="008D6E7F"/>
    <w:rsid w:val="008D6FC1"/>
    <w:rsid w:val="008D7085"/>
    <w:rsid w:val="008D70EE"/>
    <w:rsid w:val="008D71B3"/>
    <w:rsid w:val="008D71CB"/>
    <w:rsid w:val="008D71CD"/>
    <w:rsid w:val="008D7215"/>
    <w:rsid w:val="008D72A8"/>
    <w:rsid w:val="008D72FC"/>
    <w:rsid w:val="008D7333"/>
    <w:rsid w:val="008D73A2"/>
    <w:rsid w:val="008D73AC"/>
    <w:rsid w:val="008D73D3"/>
    <w:rsid w:val="008D7409"/>
    <w:rsid w:val="008D7535"/>
    <w:rsid w:val="008D75D8"/>
    <w:rsid w:val="008D76A4"/>
    <w:rsid w:val="008D777B"/>
    <w:rsid w:val="008D77F9"/>
    <w:rsid w:val="008D7845"/>
    <w:rsid w:val="008D78BF"/>
    <w:rsid w:val="008D790A"/>
    <w:rsid w:val="008D79D6"/>
    <w:rsid w:val="008D79DF"/>
    <w:rsid w:val="008D7A45"/>
    <w:rsid w:val="008D7ABB"/>
    <w:rsid w:val="008D7BF2"/>
    <w:rsid w:val="008D7C29"/>
    <w:rsid w:val="008D7CE0"/>
    <w:rsid w:val="008D7D08"/>
    <w:rsid w:val="008D7D2F"/>
    <w:rsid w:val="008D7D3A"/>
    <w:rsid w:val="008D7D75"/>
    <w:rsid w:val="008D7D8E"/>
    <w:rsid w:val="008D7E77"/>
    <w:rsid w:val="008D7E94"/>
    <w:rsid w:val="008D7F2F"/>
    <w:rsid w:val="008E001A"/>
    <w:rsid w:val="008E003F"/>
    <w:rsid w:val="008E0051"/>
    <w:rsid w:val="008E00EB"/>
    <w:rsid w:val="008E012D"/>
    <w:rsid w:val="008E0190"/>
    <w:rsid w:val="008E01DC"/>
    <w:rsid w:val="008E0275"/>
    <w:rsid w:val="008E0308"/>
    <w:rsid w:val="008E0367"/>
    <w:rsid w:val="008E0425"/>
    <w:rsid w:val="008E04D1"/>
    <w:rsid w:val="008E04FA"/>
    <w:rsid w:val="008E05A5"/>
    <w:rsid w:val="008E0798"/>
    <w:rsid w:val="008E07A4"/>
    <w:rsid w:val="008E07B8"/>
    <w:rsid w:val="008E0913"/>
    <w:rsid w:val="008E0928"/>
    <w:rsid w:val="008E092D"/>
    <w:rsid w:val="008E0938"/>
    <w:rsid w:val="008E09C8"/>
    <w:rsid w:val="008E0A15"/>
    <w:rsid w:val="008E0A7B"/>
    <w:rsid w:val="008E0ADE"/>
    <w:rsid w:val="008E0B1E"/>
    <w:rsid w:val="008E0B43"/>
    <w:rsid w:val="008E0BE2"/>
    <w:rsid w:val="008E0BF4"/>
    <w:rsid w:val="008E0C14"/>
    <w:rsid w:val="008E0C35"/>
    <w:rsid w:val="008E0C41"/>
    <w:rsid w:val="008E0C48"/>
    <w:rsid w:val="008E0E3F"/>
    <w:rsid w:val="008E0E42"/>
    <w:rsid w:val="008E0E86"/>
    <w:rsid w:val="008E0FA4"/>
    <w:rsid w:val="008E0FF1"/>
    <w:rsid w:val="008E0FFA"/>
    <w:rsid w:val="008E103F"/>
    <w:rsid w:val="008E1066"/>
    <w:rsid w:val="008E10AB"/>
    <w:rsid w:val="008E1179"/>
    <w:rsid w:val="008E1184"/>
    <w:rsid w:val="008E11CA"/>
    <w:rsid w:val="008E124A"/>
    <w:rsid w:val="008E127B"/>
    <w:rsid w:val="008E1370"/>
    <w:rsid w:val="008E13DC"/>
    <w:rsid w:val="008E14AB"/>
    <w:rsid w:val="008E14D9"/>
    <w:rsid w:val="008E14DD"/>
    <w:rsid w:val="008E1557"/>
    <w:rsid w:val="008E164E"/>
    <w:rsid w:val="008E1735"/>
    <w:rsid w:val="008E1748"/>
    <w:rsid w:val="008E174D"/>
    <w:rsid w:val="008E17AF"/>
    <w:rsid w:val="008E17BA"/>
    <w:rsid w:val="008E18DE"/>
    <w:rsid w:val="008E1901"/>
    <w:rsid w:val="008E190C"/>
    <w:rsid w:val="008E1A0C"/>
    <w:rsid w:val="008E1A82"/>
    <w:rsid w:val="008E1A87"/>
    <w:rsid w:val="008E1AAB"/>
    <w:rsid w:val="008E1AE7"/>
    <w:rsid w:val="008E1AF3"/>
    <w:rsid w:val="008E1B38"/>
    <w:rsid w:val="008E1B97"/>
    <w:rsid w:val="008E1BCC"/>
    <w:rsid w:val="008E1C30"/>
    <w:rsid w:val="008E1C4B"/>
    <w:rsid w:val="008E1D21"/>
    <w:rsid w:val="008E1D83"/>
    <w:rsid w:val="008E1DC0"/>
    <w:rsid w:val="008E1DC3"/>
    <w:rsid w:val="008E1DD6"/>
    <w:rsid w:val="008E1E04"/>
    <w:rsid w:val="008E1E99"/>
    <w:rsid w:val="008E1F11"/>
    <w:rsid w:val="008E1F2D"/>
    <w:rsid w:val="008E1F90"/>
    <w:rsid w:val="008E20D5"/>
    <w:rsid w:val="008E2157"/>
    <w:rsid w:val="008E217B"/>
    <w:rsid w:val="008E2187"/>
    <w:rsid w:val="008E21B0"/>
    <w:rsid w:val="008E21D8"/>
    <w:rsid w:val="008E21F7"/>
    <w:rsid w:val="008E2281"/>
    <w:rsid w:val="008E22C7"/>
    <w:rsid w:val="008E22D9"/>
    <w:rsid w:val="008E22DC"/>
    <w:rsid w:val="008E234F"/>
    <w:rsid w:val="008E239C"/>
    <w:rsid w:val="008E23E4"/>
    <w:rsid w:val="008E2458"/>
    <w:rsid w:val="008E2505"/>
    <w:rsid w:val="008E2665"/>
    <w:rsid w:val="008E268D"/>
    <w:rsid w:val="008E26AA"/>
    <w:rsid w:val="008E2709"/>
    <w:rsid w:val="008E2762"/>
    <w:rsid w:val="008E27A8"/>
    <w:rsid w:val="008E27BA"/>
    <w:rsid w:val="008E27C4"/>
    <w:rsid w:val="008E27C7"/>
    <w:rsid w:val="008E2860"/>
    <w:rsid w:val="008E28AC"/>
    <w:rsid w:val="008E28D6"/>
    <w:rsid w:val="008E28FD"/>
    <w:rsid w:val="008E2922"/>
    <w:rsid w:val="008E293C"/>
    <w:rsid w:val="008E2A2E"/>
    <w:rsid w:val="008E2A83"/>
    <w:rsid w:val="008E2C7D"/>
    <w:rsid w:val="008E2C95"/>
    <w:rsid w:val="008E2D38"/>
    <w:rsid w:val="008E2D61"/>
    <w:rsid w:val="008E2D93"/>
    <w:rsid w:val="008E2D9A"/>
    <w:rsid w:val="008E2DC8"/>
    <w:rsid w:val="008E2ED5"/>
    <w:rsid w:val="008E2F32"/>
    <w:rsid w:val="008E2FBC"/>
    <w:rsid w:val="008E3040"/>
    <w:rsid w:val="008E3051"/>
    <w:rsid w:val="008E30CC"/>
    <w:rsid w:val="008E3148"/>
    <w:rsid w:val="008E31F8"/>
    <w:rsid w:val="008E3248"/>
    <w:rsid w:val="008E3282"/>
    <w:rsid w:val="008E3306"/>
    <w:rsid w:val="008E3346"/>
    <w:rsid w:val="008E3349"/>
    <w:rsid w:val="008E33F5"/>
    <w:rsid w:val="008E3450"/>
    <w:rsid w:val="008E346C"/>
    <w:rsid w:val="008E34EB"/>
    <w:rsid w:val="008E3519"/>
    <w:rsid w:val="008E36BD"/>
    <w:rsid w:val="008E3736"/>
    <w:rsid w:val="008E37B6"/>
    <w:rsid w:val="008E381E"/>
    <w:rsid w:val="008E3829"/>
    <w:rsid w:val="008E38C8"/>
    <w:rsid w:val="008E3949"/>
    <w:rsid w:val="008E396A"/>
    <w:rsid w:val="008E39B6"/>
    <w:rsid w:val="008E39DF"/>
    <w:rsid w:val="008E3A35"/>
    <w:rsid w:val="008E3B31"/>
    <w:rsid w:val="008E3B5A"/>
    <w:rsid w:val="008E3C1B"/>
    <w:rsid w:val="008E3C3D"/>
    <w:rsid w:val="008E3CD8"/>
    <w:rsid w:val="008E3D29"/>
    <w:rsid w:val="008E3DC5"/>
    <w:rsid w:val="008E3E87"/>
    <w:rsid w:val="008E3EA6"/>
    <w:rsid w:val="008E3F62"/>
    <w:rsid w:val="008E3FC3"/>
    <w:rsid w:val="008E40D5"/>
    <w:rsid w:val="008E4178"/>
    <w:rsid w:val="008E41CD"/>
    <w:rsid w:val="008E422C"/>
    <w:rsid w:val="008E4232"/>
    <w:rsid w:val="008E42E9"/>
    <w:rsid w:val="008E439E"/>
    <w:rsid w:val="008E445E"/>
    <w:rsid w:val="008E44E2"/>
    <w:rsid w:val="008E44E4"/>
    <w:rsid w:val="008E453A"/>
    <w:rsid w:val="008E45BD"/>
    <w:rsid w:val="008E45DB"/>
    <w:rsid w:val="008E468F"/>
    <w:rsid w:val="008E470A"/>
    <w:rsid w:val="008E47E3"/>
    <w:rsid w:val="008E4806"/>
    <w:rsid w:val="008E4921"/>
    <w:rsid w:val="008E49F0"/>
    <w:rsid w:val="008E49FD"/>
    <w:rsid w:val="008E4A25"/>
    <w:rsid w:val="008E4A26"/>
    <w:rsid w:val="008E4A32"/>
    <w:rsid w:val="008E4AAB"/>
    <w:rsid w:val="008E4AD9"/>
    <w:rsid w:val="008E4B51"/>
    <w:rsid w:val="008E4B5C"/>
    <w:rsid w:val="008E4B75"/>
    <w:rsid w:val="008E4C06"/>
    <w:rsid w:val="008E4C26"/>
    <w:rsid w:val="008E4CF3"/>
    <w:rsid w:val="008E4CF8"/>
    <w:rsid w:val="008E4D71"/>
    <w:rsid w:val="008E4DE0"/>
    <w:rsid w:val="008E4E1C"/>
    <w:rsid w:val="008E5092"/>
    <w:rsid w:val="008E5093"/>
    <w:rsid w:val="008E50B1"/>
    <w:rsid w:val="008E511F"/>
    <w:rsid w:val="008E5192"/>
    <w:rsid w:val="008E51ED"/>
    <w:rsid w:val="008E5273"/>
    <w:rsid w:val="008E535E"/>
    <w:rsid w:val="008E53CA"/>
    <w:rsid w:val="008E5434"/>
    <w:rsid w:val="008E54DD"/>
    <w:rsid w:val="008E54F1"/>
    <w:rsid w:val="008E5551"/>
    <w:rsid w:val="008E560A"/>
    <w:rsid w:val="008E56BB"/>
    <w:rsid w:val="008E56C6"/>
    <w:rsid w:val="008E56DB"/>
    <w:rsid w:val="008E5732"/>
    <w:rsid w:val="008E574F"/>
    <w:rsid w:val="008E5777"/>
    <w:rsid w:val="008E590F"/>
    <w:rsid w:val="008E5AD5"/>
    <w:rsid w:val="008E5B62"/>
    <w:rsid w:val="008E5B67"/>
    <w:rsid w:val="008E5B6D"/>
    <w:rsid w:val="008E5B7B"/>
    <w:rsid w:val="008E5BEF"/>
    <w:rsid w:val="008E5C7C"/>
    <w:rsid w:val="008E5CAD"/>
    <w:rsid w:val="008E5D66"/>
    <w:rsid w:val="008E5E48"/>
    <w:rsid w:val="008E5E99"/>
    <w:rsid w:val="008E5EED"/>
    <w:rsid w:val="008E5F01"/>
    <w:rsid w:val="008E5F53"/>
    <w:rsid w:val="008E6060"/>
    <w:rsid w:val="008E60EB"/>
    <w:rsid w:val="008E6114"/>
    <w:rsid w:val="008E612E"/>
    <w:rsid w:val="008E621B"/>
    <w:rsid w:val="008E6249"/>
    <w:rsid w:val="008E62A3"/>
    <w:rsid w:val="008E62D6"/>
    <w:rsid w:val="008E62E6"/>
    <w:rsid w:val="008E6362"/>
    <w:rsid w:val="008E6385"/>
    <w:rsid w:val="008E6390"/>
    <w:rsid w:val="008E63B5"/>
    <w:rsid w:val="008E63CF"/>
    <w:rsid w:val="008E63FE"/>
    <w:rsid w:val="008E6428"/>
    <w:rsid w:val="008E642A"/>
    <w:rsid w:val="008E644C"/>
    <w:rsid w:val="008E644D"/>
    <w:rsid w:val="008E6476"/>
    <w:rsid w:val="008E64F1"/>
    <w:rsid w:val="008E65DE"/>
    <w:rsid w:val="008E6666"/>
    <w:rsid w:val="008E669D"/>
    <w:rsid w:val="008E66BD"/>
    <w:rsid w:val="008E672A"/>
    <w:rsid w:val="008E673B"/>
    <w:rsid w:val="008E67B1"/>
    <w:rsid w:val="008E698E"/>
    <w:rsid w:val="008E6994"/>
    <w:rsid w:val="008E69A2"/>
    <w:rsid w:val="008E69FC"/>
    <w:rsid w:val="008E6A1F"/>
    <w:rsid w:val="008E6A29"/>
    <w:rsid w:val="008E6B23"/>
    <w:rsid w:val="008E6B37"/>
    <w:rsid w:val="008E6D6F"/>
    <w:rsid w:val="008E6D7A"/>
    <w:rsid w:val="008E6DAE"/>
    <w:rsid w:val="008E6DE2"/>
    <w:rsid w:val="008E6E50"/>
    <w:rsid w:val="008E6EE4"/>
    <w:rsid w:val="008E6EE9"/>
    <w:rsid w:val="008E6F33"/>
    <w:rsid w:val="008E6F99"/>
    <w:rsid w:val="008E6FEF"/>
    <w:rsid w:val="008E7011"/>
    <w:rsid w:val="008E706D"/>
    <w:rsid w:val="008E7084"/>
    <w:rsid w:val="008E70D5"/>
    <w:rsid w:val="008E72FA"/>
    <w:rsid w:val="008E730A"/>
    <w:rsid w:val="008E7324"/>
    <w:rsid w:val="008E7347"/>
    <w:rsid w:val="008E7461"/>
    <w:rsid w:val="008E74B7"/>
    <w:rsid w:val="008E7513"/>
    <w:rsid w:val="008E75DC"/>
    <w:rsid w:val="008E76A6"/>
    <w:rsid w:val="008E7705"/>
    <w:rsid w:val="008E77EA"/>
    <w:rsid w:val="008E781D"/>
    <w:rsid w:val="008E7900"/>
    <w:rsid w:val="008E791B"/>
    <w:rsid w:val="008E7962"/>
    <w:rsid w:val="008E7971"/>
    <w:rsid w:val="008E79C7"/>
    <w:rsid w:val="008E79E8"/>
    <w:rsid w:val="008E7A06"/>
    <w:rsid w:val="008E7A0D"/>
    <w:rsid w:val="008E7AFE"/>
    <w:rsid w:val="008E7C9E"/>
    <w:rsid w:val="008E7CD7"/>
    <w:rsid w:val="008E7D8B"/>
    <w:rsid w:val="008E7DC5"/>
    <w:rsid w:val="008E7E04"/>
    <w:rsid w:val="008E7E66"/>
    <w:rsid w:val="008E7E8E"/>
    <w:rsid w:val="008E7EA9"/>
    <w:rsid w:val="008E7F36"/>
    <w:rsid w:val="008F0025"/>
    <w:rsid w:val="008F007D"/>
    <w:rsid w:val="008F00C7"/>
    <w:rsid w:val="008F0167"/>
    <w:rsid w:val="008F0189"/>
    <w:rsid w:val="008F022B"/>
    <w:rsid w:val="008F03EF"/>
    <w:rsid w:val="008F046F"/>
    <w:rsid w:val="008F0481"/>
    <w:rsid w:val="008F0549"/>
    <w:rsid w:val="008F0588"/>
    <w:rsid w:val="008F05C4"/>
    <w:rsid w:val="008F0654"/>
    <w:rsid w:val="008F06CA"/>
    <w:rsid w:val="008F06CC"/>
    <w:rsid w:val="008F0744"/>
    <w:rsid w:val="008F085C"/>
    <w:rsid w:val="008F0909"/>
    <w:rsid w:val="008F090A"/>
    <w:rsid w:val="008F0942"/>
    <w:rsid w:val="008F0A50"/>
    <w:rsid w:val="008F0AA0"/>
    <w:rsid w:val="008F0ADE"/>
    <w:rsid w:val="008F0B5A"/>
    <w:rsid w:val="008F0B7C"/>
    <w:rsid w:val="008F0C87"/>
    <w:rsid w:val="008F0CB0"/>
    <w:rsid w:val="008F0CB5"/>
    <w:rsid w:val="008F0D2D"/>
    <w:rsid w:val="008F0DB3"/>
    <w:rsid w:val="008F0E10"/>
    <w:rsid w:val="008F0EEC"/>
    <w:rsid w:val="008F0F53"/>
    <w:rsid w:val="008F0F85"/>
    <w:rsid w:val="008F0FFF"/>
    <w:rsid w:val="008F1071"/>
    <w:rsid w:val="008F10F6"/>
    <w:rsid w:val="008F1116"/>
    <w:rsid w:val="008F117C"/>
    <w:rsid w:val="008F117D"/>
    <w:rsid w:val="008F11ED"/>
    <w:rsid w:val="008F1227"/>
    <w:rsid w:val="008F1270"/>
    <w:rsid w:val="008F12A4"/>
    <w:rsid w:val="008F12E8"/>
    <w:rsid w:val="008F134A"/>
    <w:rsid w:val="008F13BC"/>
    <w:rsid w:val="008F13F1"/>
    <w:rsid w:val="008F142D"/>
    <w:rsid w:val="008F148F"/>
    <w:rsid w:val="008F1492"/>
    <w:rsid w:val="008F158A"/>
    <w:rsid w:val="008F15B6"/>
    <w:rsid w:val="008F15EC"/>
    <w:rsid w:val="008F168C"/>
    <w:rsid w:val="008F16F2"/>
    <w:rsid w:val="008F1700"/>
    <w:rsid w:val="008F174D"/>
    <w:rsid w:val="008F17B8"/>
    <w:rsid w:val="008F17BD"/>
    <w:rsid w:val="008F17E1"/>
    <w:rsid w:val="008F17E9"/>
    <w:rsid w:val="008F1875"/>
    <w:rsid w:val="008F18AB"/>
    <w:rsid w:val="008F19D0"/>
    <w:rsid w:val="008F19D6"/>
    <w:rsid w:val="008F1A05"/>
    <w:rsid w:val="008F1A0E"/>
    <w:rsid w:val="008F1AD2"/>
    <w:rsid w:val="008F1ADE"/>
    <w:rsid w:val="008F1B78"/>
    <w:rsid w:val="008F1B92"/>
    <w:rsid w:val="008F1CA0"/>
    <w:rsid w:val="008F1DCA"/>
    <w:rsid w:val="008F1EC5"/>
    <w:rsid w:val="008F1F57"/>
    <w:rsid w:val="008F1F58"/>
    <w:rsid w:val="008F1F7B"/>
    <w:rsid w:val="008F207D"/>
    <w:rsid w:val="008F20A8"/>
    <w:rsid w:val="008F20CD"/>
    <w:rsid w:val="008F211D"/>
    <w:rsid w:val="008F215C"/>
    <w:rsid w:val="008F21E4"/>
    <w:rsid w:val="008F2229"/>
    <w:rsid w:val="008F227D"/>
    <w:rsid w:val="008F22AA"/>
    <w:rsid w:val="008F22BE"/>
    <w:rsid w:val="008F22DF"/>
    <w:rsid w:val="008F231E"/>
    <w:rsid w:val="008F23A7"/>
    <w:rsid w:val="008F2412"/>
    <w:rsid w:val="008F248E"/>
    <w:rsid w:val="008F250B"/>
    <w:rsid w:val="008F2580"/>
    <w:rsid w:val="008F2585"/>
    <w:rsid w:val="008F25C4"/>
    <w:rsid w:val="008F26D7"/>
    <w:rsid w:val="008F27AC"/>
    <w:rsid w:val="008F27B8"/>
    <w:rsid w:val="008F283C"/>
    <w:rsid w:val="008F2857"/>
    <w:rsid w:val="008F288E"/>
    <w:rsid w:val="008F2897"/>
    <w:rsid w:val="008F28AD"/>
    <w:rsid w:val="008F2979"/>
    <w:rsid w:val="008F2A03"/>
    <w:rsid w:val="008F2B02"/>
    <w:rsid w:val="008F2B5A"/>
    <w:rsid w:val="008F2C64"/>
    <w:rsid w:val="008F2C69"/>
    <w:rsid w:val="008F2CF9"/>
    <w:rsid w:val="008F2D38"/>
    <w:rsid w:val="008F2D75"/>
    <w:rsid w:val="008F2E04"/>
    <w:rsid w:val="008F2ECD"/>
    <w:rsid w:val="008F2EF7"/>
    <w:rsid w:val="008F2F0F"/>
    <w:rsid w:val="008F2F5C"/>
    <w:rsid w:val="008F301A"/>
    <w:rsid w:val="008F3052"/>
    <w:rsid w:val="008F306C"/>
    <w:rsid w:val="008F307A"/>
    <w:rsid w:val="008F3128"/>
    <w:rsid w:val="008F3283"/>
    <w:rsid w:val="008F33AF"/>
    <w:rsid w:val="008F33CF"/>
    <w:rsid w:val="008F33F3"/>
    <w:rsid w:val="008F347D"/>
    <w:rsid w:val="008F348D"/>
    <w:rsid w:val="008F34A1"/>
    <w:rsid w:val="008F3514"/>
    <w:rsid w:val="008F3598"/>
    <w:rsid w:val="008F35F7"/>
    <w:rsid w:val="008F3607"/>
    <w:rsid w:val="008F368F"/>
    <w:rsid w:val="008F3695"/>
    <w:rsid w:val="008F36CD"/>
    <w:rsid w:val="008F376F"/>
    <w:rsid w:val="008F3791"/>
    <w:rsid w:val="008F3833"/>
    <w:rsid w:val="008F384C"/>
    <w:rsid w:val="008F3887"/>
    <w:rsid w:val="008F389B"/>
    <w:rsid w:val="008F38BA"/>
    <w:rsid w:val="008F38C4"/>
    <w:rsid w:val="008F38D4"/>
    <w:rsid w:val="008F3982"/>
    <w:rsid w:val="008F39DA"/>
    <w:rsid w:val="008F3A37"/>
    <w:rsid w:val="008F3AC2"/>
    <w:rsid w:val="008F3BE6"/>
    <w:rsid w:val="008F3C52"/>
    <w:rsid w:val="008F3C5A"/>
    <w:rsid w:val="008F3CA3"/>
    <w:rsid w:val="008F3CEB"/>
    <w:rsid w:val="008F3D39"/>
    <w:rsid w:val="008F3D5C"/>
    <w:rsid w:val="008F3DA3"/>
    <w:rsid w:val="008F3DBE"/>
    <w:rsid w:val="008F3E46"/>
    <w:rsid w:val="008F3F84"/>
    <w:rsid w:val="008F3FB8"/>
    <w:rsid w:val="008F3FB9"/>
    <w:rsid w:val="008F3FC1"/>
    <w:rsid w:val="008F3FE8"/>
    <w:rsid w:val="008F4172"/>
    <w:rsid w:val="008F418C"/>
    <w:rsid w:val="008F422B"/>
    <w:rsid w:val="008F42D9"/>
    <w:rsid w:val="008F4307"/>
    <w:rsid w:val="008F4312"/>
    <w:rsid w:val="008F4357"/>
    <w:rsid w:val="008F445F"/>
    <w:rsid w:val="008F4482"/>
    <w:rsid w:val="008F448E"/>
    <w:rsid w:val="008F4604"/>
    <w:rsid w:val="008F468A"/>
    <w:rsid w:val="008F46C9"/>
    <w:rsid w:val="008F4702"/>
    <w:rsid w:val="008F478D"/>
    <w:rsid w:val="008F47C9"/>
    <w:rsid w:val="008F47DD"/>
    <w:rsid w:val="008F48BA"/>
    <w:rsid w:val="008F48D3"/>
    <w:rsid w:val="008F499D"/>
    <w:rsid w:val="008F49A0"/>
    <w:rsid w:val="008F49EC"/>
    <w:rsid w:val="008F4A14"/>
    <w:rsid w:val="008F4A56"/>
    <w:rsid w:val="008F4A79"/>
    <w:rsid w:val="008F4AEC"/>
    <w:rsid w:val="008F4B94"/>
    <w:rsid w:val="008F4BA7"/>
    <w:rsid w:val="008F4C36"/>
    <w:rsid w:val="008F4C5B"/>
    <w:rsid w:val="008F4CA8"/>
    <w:rsid w:val="008F4CD6"/>
    <w:rsid w:val="008F4CDB"/>
    <w:rsid w:val="008F4D45"/>
    <w:rsid w:val="008F4E2B"/>
    <w:rsid w:val="008F4E6A"/>
    <w:rsid w:val="008F4E6C"/>
    <w:rsid w:val="008F4F8D"/>
    <w:rsid w:val="008F4FFE"/>
    <w:rsid w:val="008F50BE"/>
    <w:rsid w:val="008F5133"/>
    <w:rsid w:val="008F5170"/>
    <w:rsid w:val="008F51DC"/>
    <w:rsid w:val="008F51DF"/>
    <w:rsid w:val="008F5225"/>
    <w:rsid w:val="008F52A7"/>
    <w:rsid w:val="008F53D8"/>
    <w:rsid w:val="008F53FA"/>
    <w:rsid w:val="008F5532"/>
    <w:rsid w:val="008F556E"/>
    <w:rsid w:val="008F5594"/>
    <w:rsid w:val="008F55CC"/>
    <w:rsid w:val="008F55F3"/>
    <w:rsid w:val="008F56EA"/>
    <w:rsid w:val="008F5730"/>
    <w:rsid w:val="008F574D"/>
    <w:rsid w:val="008F5751"/>
    <w:rsid w:val="008F583D"/>
    <w:rsid w:val="008F5B89"/>
    <w:rsid w:val="008F5BA3"/>
    <w:rsid w:val="008F5C6C"/>
    <w:rsid w:val="008F5C75"/>
    <w:rsid w:val="008F5C9F"/>
    <w:rsid w:val="008F5D20"/>
    <w:rsid w:val="008F5DFC"/>
    <w:rsid w:val="008F5E38"/>
    <w:rsid w:val="008F5E6B"/>
    <w:rsid w:val="008F5E7C"/>
    <w:rsid w:val="008F5F79"/>
    <w:rsid w:val="008F5FAF"/>
    <w:rsid w:val="008F605C"/>
    <w:rsid w:val="008F60B2"/>
    <w:rsid w:val="008F6100"/>
    <w:rsid w:val="008F616F"/>
    <w:rsid w:val="008F618A"/>
    <w:rsid w:val="008F61CE"/>
    <w:rsid w:val="008F620C"/>
    <w:rsid w:val="008F62F7"/>
    <w:rsid w:val="008F6340"/>
    <w:rsid w:val="008F635A"/>
    <w:rsid w:val="008F636C"/>
    <w:rsid w:val="008F63A2"/>
    <w:rsid w:val="008F63B1"/>
    <w:rsid w:val="008F640A"/>
    <w:rsid w:val="008F645A"/>
    <w:rsid w:val="008F648D"/>
    <w:rsid w:val="008F64D4"/>
    <w:rsid w:val="008F6535"/>
    <w:rsid w:val="008F6546"/>
    <w:rsid w:val="008F6582"/>
    <w:rsid w:val="008F65FD"/>
    <w:rsid w:val="008F6618"/>
    <w:rsid w:val="008F6631"/>
    <w:rsid w:val="008F665C"/>
    <w:rsid w:val="008F66BC"/>
    <w:rsid w:val="008F66BF"/>
    <w:rsid w:val="008F66F3"/>
    <w:rsid w:val="008F6707"/>
    <w:rsid w:val="008F6761"/>
    <w:rsid w:val="008F6796"/>
    <w:rsid w:val="008F67C4"/>
    <w:rsid w:val="008F67DA"/>
    <w:rsid w:val="008F67EF"/>
    <w:rsid w:val="008F6804"/>
    <w:rsid w:val="008F684F"/>
    <w:rsid w:val="008F68C9"/>
    <w:rsid w:val="008F695C"/>
    <w:rsid w:val="008F69C0"/>
    <w:rsid w:val="008F69CC"/>
    <w:rsid w:val="008F69EA"/>
    <w:rsid w:val="008F6AA5"/>
    <w:rsid w:val="008F6AB8"/>
    <w:rsid w:val="008F6ADF"/>
    <w:rsid w:val="008F6AE6"/>
    <w:rsid w:val="008F6B23"/>
    <w:rsid w:val="008F6B50"/>
    <w:rsid w:val="008F6BC1"/>
    <w:rsid w:val="008F6BE8"/>
    <w:rsid w:val="008F6BFB"/>
    <w:rsid w:val="008F6C0A"/>
    <w:rsid w:val="008F6D6A"/>
    <w:rsid w:val="008F6DE5"/>
    <w:rsid w:val="008F6E13"/>
    <w:rsid w:val="008F6E34"/>
    <w:rsid w:val="008F6E6D"/>
    <w:rsid w:val="008F6F1F"/>
    <w:rsid w:val="008F6F9A"/>
    <w:rsid w:val="008F6FEC"/>
    <w:rsid w:val="008F701A"/>
    <w:rsid w:val="008F70F8"/>
    <w:rsid w:val="008F714E"/>
    <w:rsid w:val="008F7168"/>
    <w:rsid w:val="008F7199"/>
    <w:rsid w:val="008F71D5"/>
    <w:rsid w:val="008F7265"/>
    <w:rsid w:val="008F7282"/>
    <w:rsid w:val="008F729A"/>
    <w:rsid w:val="008F7329"/>
    <w:rsid w:val="008F732D"/>
    <w:rsid w:val="008F736A"/>
    <w:rsid w:val="008F737F"/>
    <w:rsid w:val="008F7380"/>
    <w:rsid w:val="008F739C"/>
    <w:rsid w:val="008F740E"/>
    <w:rsid w:val="008F7436"/>
    <w:rsid w:val="008F74CC"/>
    <w:rsid w:val="008F74E8"/>
    <w:rsid w:val="008F7566"/>
    <w:rsid w:val="008F7595"/>
    <w:rsid w:val="008F75FA"/>
    <w:rsid w:val="008F7649"/>
    <w:rsid w:val="008F76CD"/>
    <w:rsid w:val="008F7717"/>
    <w:rsid w:val="008F7796"/>
    <w:rsid w:val="008F7797"/>
    <w:rsid w:val="008F77A4"/>
    <w:rsid w:val="008F77B5"/>
    <w:rsid w:val="008F77F0"/>
    <w:rsid w:val="008F7846"/>
    <w:rsid w:val="008F7879"/>
    <w:rsid w:val="008F7904"/>
    <w:rsid w:val="008F7961"/>
    <w:rsid w:val="008F7962"/>
    <w:rsid w:val="008F799D"/>
    <w:rsid w:val="008F79A7"/>
    <w:rsid w:val="008F7AED"/>
    <w:rsid w:val="008F7BF5"/>
    <w:rsid w:val="008F7BF7"/>
    <w:rsid w:val="008F7BFB"/>
    <w:rsid w:val="008F7C22"/>
    <w:rsid w:val="008F7C26"/>
    <w:rsid w:val="008F7C82"/>
    <w:rsid w:val="008F7CB2"/>
    <w:rsid w:val="008F7D3A"/>
    <w:rsid w:val="008F7D89"/>
    <w:rsid w:val="008F7DD4"/>
    <w:rsid w:val="008F7E56"/>
    <w:rsid w:val="008F7F3C"/>
    <w:rsid w:val="008F7F3D"/>
    <w:rsid w:val="008F7FEA"/>
    <w:rsid w:val="00900029"/>
    <w:rsid w:val="00900065"/>
    <w:rsid w:val="00900133"/>
    <w:rsid w:val="00900165"/>
    <w:rsid w:val="009001E9"/>
    <w:rsid w:val="009002C4"/>
    <w:rsid w:val="009002CC"/>
    <w:rsid w:val="009002EF"/>
    <w:rsid w:val="00900347"/>
    <w:rsid w:val="00900386"/>
    <w:rsid w:val="0090038A"/>
    <w:rsid w:val="0090038E"/>
    <w:rsid w:val="009003E3"/>
    <w:rsid w:val="009003E4"/>
    <w:rsid w:val="009003E6"/>
    <w:rsid w:val="0090042A"/>
    <w:rsid w:val="00900448"/>
    <w:rsid w:val="009004A5"/>
    <w:rsid w:val="00900535"/>
    <w:rsid w:val="00900578"/>
    <w:rsid w:val="00900582"/>
    <w:rsid w:val="009005B9"/>
    <w:rsid w:val="009005BF"/>
    <w:rsid w:val="0090062F"/>
    <w:rsid w:val="00900680"/>
    <w:rsid w:val="0090068E"/>
    <w:rsid w:val="00900698"/>
    <w:rsid w:val="009006DB"/>
    <w:rsid w:val="00900736"/>
    <w:rsid w:val="00900783"/>
    <w:rsid w:val="0090083C"/>
    <w:rsid w:val="00900878"/>
    <w:rsid w:val="00900948"/>
    <w:rsid w:val="0090097B"/>
    <w:rsid w:val="00900995"/>
    <w:rsid w:val="009009B3"/>
    <w:rsid w:val="00900B00"/>
    <w:rsid w:val="00900B5B"/>
    <w:rsid w:val="00900B87"/>
    <w:rsid w:val="00900D63"/>
    <w:rsid w:val="00900DDF"/>
    <w:rsid w:val="00900E66"/>
    <w:rsid w:val="00900E90"/>
    <w:rsid w:val="00900EE5"/>
    <w:rsid w:val="00900F8B"/>
    <w:rsid w:val="00900FB2"/>
    <w:rsid w:val="00900FCF"/>
    <w:rsid w:val="00900FD2"/>
    <w:rsid w:val="0090106F"/>
    <w:rsid w:val="0090113C"/>
    <w:rsid w:val="0090115C"/>
    <w:rsid w:val="00901357"/>
    <w:rsid w:val="00901379"/>
    <w:rsid w:val="009013FA"/>
    <w:rsid w:val="00901490"/>
    <w:rsid w:val="0090151F"/>
    <w:rsid w:val="00901605"/>
    <w:rsid w:val="00901678"/>
    <w:rsid w:val="009016F6"/>
    <w:rsid w:val="00901750"/>
    <w:rsid w:val="0090175D"/>
    <w:rsid w:val="009017A3"/>
    <w:rsid w:val="009017AE"/>
    <w:rsid w:val="00901877"/>
    <w:rsid w:val="009018E4"/>
    <w:rsid w:val="00901978"/>
    <w:rsid w:val="0090199C"/>
    <w:rsid w:val="009019B1"/>
    <w:rsid w:val="009019DA"/>
    <w:rsid w:val="009019F5"/>
    <w:rsid w:val="00901A38"/>
    <w:rsid w:val="00901A95"/>
    <w:rsid w:val="00901AA2"/>
    <w:rsid w:val="00901B33"/>
    <w:rsid w:val="00901B89"/>
    <w:rsid w:val="00901BEB"/>
    <w:rsid w:val="00901CD6"/>
    <w:rsid w:val="00901DA0"/>
    <w:rsid w:val="00901E1F"/>
    <w:rsid w:val="00901E76"/>
    <w:rsid w:val="00901E86"/>
    <w:rsid w:val="00901EA5"/>
    <w:rsid w:val="00902006"/>
    <w:rsid w:val="009020A4"/>
    <w:rsid w:val="0090217B"/>
    <w:rsid w:val="00902224"/>
    <w:rsid w:val="00902236"/>
    <w:rsid w:val="00902287"/>
    <w:rsid w:val="0090228B"/>
    <w:rsid w:val="009022DA"/>
    <w:rsid w:val="009023C1"/>
    <w:rsid w:val="00902423"/>
    <w:rsid w:val="00902528"/>
    <w:rsid w:val="0090252C"/>
    <w:rsid w:val="00902602"/>
    <w:rsid w:val="00902633"/>
    <w:rsid w:val="00902692"/>
    <w:rsid w:val="009026EC"/>
    <w:rsid w:val="00902812"/>
    <w:rsid w:val="00902A31"/>
    <w:rsid w:val="00902A37"/>
    <w:rsid w:val="00902A54"/>
    <w:rsid w:val="00902AF6"/>
    <w:rsid w:val="00902B40"/>
    <w:rsid w:val="00902B4F"/>
    <w:rsid w:val="00902BA5"/>
    <w:rsid w:val="00902CA7"/>
    <w:rsid w:val="00902CD9"/>
    <w:rsid w:val="00902D37"/>
    <w:rsid w:val="00902D5F"/>
    <w:rsid w:val="00902D76"/>
    <w:rsid w:val="00902DCA"/>
    <w:rsid w:val="00902E77"/>
    <w:rsid w:val="00902EE2"/>
    <w:rsid w:val="00902FE5"/>
    <w:rsid w:val="0090301D"/>
    <w:rsid w:val="0090307B"/>
    <w:rsid w:val="00903112"/>
    <w:rsid w:val="0090311F"/>
    <w:rsid w:val="009031BF"/>
    <w:rsid w:val="00903230"/>
    <w:rsid w:val="0090329A"/>
    <w:rsid w:val="00903377"/>
    <w:rsid w:val="009033B3"/>
    <w:rsid w:val="00903472"/>
    <w:rsid w:val="009034FD"/>
    <w:rsid w:val="00903555"/>
    <w:rsid w:val="009035B6"/>
    <w:rsid w:val="0090368D"/>
    <w:rsid w:val="00903780"/>
    <w:rsid w:val="00903786"/>
    <w:rsid w:val="00903787"/>
    <w:rsid w:val="00903874"/>
    <w:rsid w:val="00903889"/>
    <w:rsid w:val="00903979"/>
    <w:rsid w:val="009039C2"/>
    <w:rsid w:val="009039EC"/>
    <w:rsid w:val="009039EE"/>
    <w:rsid w:val="00903A73"/>
    <w:rsid w:val="00903AE2"/>
    <w:rsid w:val="00903BA6"/>
    <w:rsid w:val="00903BE3"/>
    <w:rsid w:val="00903C3B"/>
    <w:rsid w:val="00903CF8"/>
    <w:rsid w:val="00903FC3"/>
    <w:rsid w:val="00903FE8"/>
    <w:rsid w:val="00904024"/>
    <w:rsid w:val="0090408F"/>
    <w:rsid w:val="00904091"/>
    <w:rsid w:val="009041F3"/>
    <w:rsid w:val="009041FA"/>
    <w:rsid w:val="0090423E"/>
    <w:rsid w:val="00904255"/>
    <w:rsid w:val="00904269"/>
    <w:rsid w:val="0090459D"/>
    <w:rsid w:val="009045B9"/>
    <w:rsid w:val="009045C9"/>
    <w:rsid w:val="009046FA"/>
    <w:rsid w:val="0090473F"/>
    <w:rsid w:val="009049DE"/>
    <w:rsid w:val="00904A09"/>
    <w:rsid w:val="00904A10"/>
    <w:rsid w:val="00904B1E"/>
    <w:rsid w:val="00904B2C"/>
    <w:rsid w:val="00904C6F"/>
    <w:rsid w:val="00904C80"/>
    <w:rsid w:val="00904C92"/>
    <w:rsid w:val="00904D39"/>
    <w:rsid w:val="00904DA0"/>
    <w:rsid w:val="00904ECA"/>
    <w:rsid w:val="00904EE0"/>
    <w:rsid w:val="00904F05"/>
    <w:rsid w:val="00904F81"/>
    <w:rsid w:val="00904FC3"/>
    <w:rsid w:val="00904FD9"/>
    <w:rsid w:val="0090503B"/>
    <w:rsid w:val="009050D9"/>
    <w:rsid w:val="009050F5"/>
    <w:rsid w:val="009050F6"/>
    <w:rsid w:val="009051AB"/>
    <w:rsid w:val="009051D2"/>
    <w:rsid w:val="0090525B"/>
    <w:rsid w:val="0090529A"/>
    <w:rsid w:val="009052CA"/>
    <w:rsid w:val="00905415"/>
    <w:rsid w:val="00905484"/>
    <w:rsid w:val="00905490"/>
    <w:rsid w:val="0090570E"/>
    <w:rsid w:val="0090577C"/>
    <w:rsid w:val="0090579D"/>
    <w:rsid w:val="009057C4"/>
    <w:rsid w:val="0090583B"/>
    <w:rsid w:val="009058ED"/>
    <w:rsid w:val="00905923"/>
    <w:rsid w:val="0090598D"/>
    <w:rsid w:val="009059E5"/>
    <w:rsid w:val="00905AA2"/>
    <w:rsid w:val="00905AAE"/>
    <w:rsid w:val="00905C40"/>
    <w:rsid w:val="00905C6B"/>
    <w:rsid w:val="00905D38"/>
    <w:rsid w:val="00905D4B"/>
    <w:rsid w:val="00905D56"/>
    <w:rsid w:val="00905D98"/>
    <w:rsid w:val="00905DCD"/>
    <w:rsid w:val="00905E06"/>
    <w:rsid w:val="00905EA8"/>
    <w:rsid w:val="00905FC3"/>
    <w:rsid w:val="00906031"/>
    <w:rsid w:val="009060A1"/>
    <w:rsid w:val="00906116"/>
    <w:rsid w:val="00906133"/>
    <w:rsid w:val="00906145"/>
    <w:rsid w:val="009061C7"/>
    <w:rsid w:val="0090623A"/>
    <w:rsid w:val="00906250"/>
    <w:rsid w:val="009062B1"/>
    <w:rsid w:val="009062FC"/>
    <w:rsid w:val="009062FE"/>
    <w:rsid w:val="0090632D"/>
    <w:rsid w:val="0090640F"/>
    <w:rsid w:val="00906438"/>
    <w:rsid w:val="00906441"/>
    <w:rsid w:val="00906442"/>
    <w:rsid w:val="00906455"/>
    <w:rsid w:val="00906468"/>
    <w:rsid w:val="0090648F"/>
    <w:rsid w:val="009064C2"/>
    <w:rsid w:val="0090652F"/>
    <w:rsid w:val="009065BC"/>
    <w:rsid w:val="009065C8"/>
    <w:rsid w:val="00906678"/>
    <w:rsid w:val="00906780"/>
    <w:rsid w:val="00906868"/>
    <w:rsid w:val="00906933"/>
    <w:rsid w:val="009069AE"/>
    <w:rsid w:val="009069D7"/>
    <w:rsid w:val="009069F9"/>
    <w:rsid w:val="00906A00"/>
    <w:rsid w:val="00906A7F"/>
    <w:rsid w:val="00906AF7"/>
    <w:rsid w:val="00906B54"/>
    <w:rsid w:val="00906B79"/>
    <w:rsid w:val="00906C16"/>
    <w:rsid w:val="00906CF0"/>
    <w:rsid w:val="00906D04"/>
    <w:rsid w:val="00906D30"/>
    <w:rsid w:val="00906D36"/>
    <w:rsid w:val="00906E0C"/>
    <w:rsid w:val="00906E6A"/>
    <w:rsid w:val="00906F26"/>
    <w:rsid w:val="00906F82"/>
    <w:rsid w:val="00906FC3"/>
    <w:rsid w:val="00906FFF"/>
    <w:rsid w:val="00907008"/>
    <w:rsid w:val="0090701A"/>
    <w:rsid w:val="00907167"/>
    <w:rsid w:val="0090725C"/>
    <w:rsid w:val="0090728A"/>
    <w:rsid w:val="009072BA"/>
    <w:rsid w:val="00907417"/>
    <w:rsid w:val="00907439"/>
    <w:rsid w:val="0090743E"/>
    <w:rsid w:val="0090750A"/>
    <w:rsid w:val="00907513"/>
    <w:rsid w:val="009075BA"/>
    <w:rsid w:val="00907608"/>
    <w:rsid w:val="00907644"/>
    <w:rsid w:val="009076D9"/>
    <w:rsid w:val="009077C2"/>
    <w:rsid w:val="009077CD"/>
    <w:rsid w:val="0090785C"/>
    <w:rsid w:val="00907896"/>
    <w:rsid w:val="009078BF"/>
    <w:rsid w:val="009078FA"/>
    <w:rsid w:val="00907909"/>
    <w:rsid w:val="00907986"/>
    <w:rsid w:val="0090798C"/>
    <w:rsid w:val="00907AD6"/>
    <w:rsid w:val="00907B7F"/>
    <w:rsid w:val="00907B91"/>
    <w:rsid w:val="00907BD8"/>
    <w:rsid w:val="00907C4D"/>
    <w:rsid w:val="00907C89"/>
    <w:rsid w:val="00907CE9"/>
    <w:rsid w:val="00907CF2"/>
    <w:rsid w:val="00907E02"/>
    <w:rsid w:val="00907F0B"/>
    <w:rsid w:val="00907F6D"/>
    <w:rsid w:val="00907FB0"/>
    <w:rsid w:val="00907FDA"/>
    <w:rsid w:val="00910010"/>
    <w:rsid w:val="009100C7"/>
    <w:rsid w:val="009100FC"/>
    <w:rsid w:val="00910197"/>
    <w:rsid w:val="009101C1"/>
    <w:rsid w:val="009102B7"/>
    <w:rsid w:val="00910307"/>
    <w:rsid w:val="00910340"/>
    <w:rsid w:val="009103CC"/>
    <w:rsid w:val="009104DC"/>
    <w:rsid w:val="009104EB"/>
    <w:rsid w:val="0091051F"/>
    <w:rsid w:val="00910572"/>
    <w:rsid w:val="00910620"/>
    <w:rsid w:val="0091064B"/>
    <w:rsid w:val="00910733"/>
    <w:rsid w:val="00910755"/>
    <w:rsid w:val="009107E1"/>
    <w:rsid w:val="00910895"/>
    <w:rsid w:val="00910905"/>
    <w:rsid w:val="00910973"/>
    <w:rsid w:val="00910985"/>
    <w:rsid w:val="009109BF"/>
    <w:rsid w:val="009109F0"/>
    <w:rsid w:val="00910A01"/>
    <w:rsid w:val="00910A40"/>
    <w:rsid w:val="00910A5A"/>
    <w:rsid w:val="00910A9E"/>
    <w:rsid w:val="00910AB5"/>
    <w:rsid w:val="00910B8B"/>
    <w:rsid w:val="00910BD9"/>
    <w:rsid w:val="00910CF3"/>
    <w:rsid w:val="00910D0B"/>
    <w:rsid w:val="00910DA9"/>
    <w:rsid w:val="00910E7E"/>
    <w:rsid w:val="00910E9A"/>
    <w:rsid w:val="00910EDE"/>
    <w:rsid w:val="00910F78"/>
    <w:rsid w:val="00911020"/>
    <w:rsid w:val="00911024"/>
    <w:rsid w:val="00911091"/>
    <w:rsid w:val="00911162"/>
    <w:rsid w:val="0091119F"/>
    <w:rsid w:val="00911224"/>
    <w:rsid w:val="00911258"/>
    <w:rsid w:val="0091126A"/>
    <w:rsid w:val="00911362"/>
    <w:rsid w:val="009113C8"/>
    <w:rsid w:val="009113D4"/>
    <w:rsid w:val="00911472"/>
    <w:rsid w:val="009114B3"/>
    <w:rsid w:val="009114EF"/>
    <w:rsid w:val="0091150D"/>
    <w:rsid w:val="009115E3"/>
    <w:rsid w:val="0091166E"/>
    <w:rsid w:val="00911778"/>
    <w:rsid w:val="0091178F"/>
    <w:rsid w:val="009117AF"/>
    <w:rsid w:val="009117E9"/>
    <w:rsid w:val="0091181D"/>
    <w:rsid w:val="0091198F"/>
    <w:rsid w:val="00911995"/>
    <w:rsid w:val="009119A7"/>
    <w:rsid w:val="009119B5"/>
    <w:rsid w:val="009119BF"/>
    <w:rsid w:val="00911A69"/>
    <w:rsid w:val="00911AEF"/>
    <w:rsid w:val="00911B20"/>
    <w:rsid w:val="00911B4C"/>
    <w:rsid w:val="00911BDD"/>
    <w:rsid w:val="00911C42"/>
    <w:rsid w:val="00911C5E"/>
    <w:rsid w:val="00911C60"/>
    <w:rsid w:val="00911CC2"/>
    <w:rsid w:val="00911D6A"/>
    <w:rsid w:val="00911DCA"/>
    <w:rsid w:val="00911DD8"/>
    <w:rsid w:val="00911DFA"/>
    <w:rsid w:val="00911E20"/>
    <w:rsid w:val="00911F6C"/>
    <w:rsid w:val="00912046"/>
    <w:rsid w:val="00912063"/>
    <w:rsid w:val="009120D1"/>
    <w:rsid w:val="009120EF"/>
    <w:rsid w:val="00912109"/>
    <w:rsid w:val="0091219E"/>
    <w:rsid w:val="00912249"/>
    <w:rsid w:val="0091233B"/>
    <w:rsid w:val="00912345"/>
    <w:rsid w:val="009123DC"/>
    <w:rsid w:val="009123ED"/>
    <w:rsid w:val="009123FA"/>
    <w:rsid w:val="0091242C"/>
    <w:rsid w:val="0091247E"/>
    <w:rsid w:val="009124E0"/>
    <w:rsid w:val="009125E7"/>
    <w:rsid w:val="00912746"/>
    <w:rsid w:val="009127D7"/>
    <w:rsid w:val="00912810"/>
    <w:rsid w:val="009128D8"/>
    <w:rsid w:val="009128E2"/>
    <w:rsid w:val="009128E7"/>
    <w:rsid w:val="009128FF"/>
    <w:rsid w:val="0091295D"/>
    <w:rsid w:val="009129C8"/>
    <w:rsid w:val="009129D4"/>
    <w:rsid w:val="00912A3E"/>
    <w:rsid w:val="00912B31"/>
    <w:rsid w:val="00912B69"/>
    <w:rsid w:val="00912BA8"/>
    <w:rsid w:val="00912C05"/>
    <w:rsid w:val="00912CE6"/>
    <w:rsid w:val="00912EDF"/>
    <w:rsid w:val="00912F79"/>
    <w:rsid w:val="00912FB2"/>
    <w:rsid w:val="00913075"/>
    <w:rsid w:val="00913150"/>
    <w:rsid w:val="009131BA"/>
    <w:rsid w:val="0091323C"/>
    <w:rsid w:val="0091323E"/>
    <w:rsid w:val="00913246"/>
    <w:rsid w:val="00913275"/>
    <w:rsid w:val="009132C2"/>
    <w:rsid w:val="009132E7"/>
    <w:rsid w:val="0091338F"/>
    <w:rsid w:val="009135BD"/>
    <w:rsid w:val="00913608"/>
    <w:rsid w:val="0091361F"/>
    <w:rsid w:val="00913622"/>
    <w:rsid w:val="00913627"/>
    <w:rsid w:val="0091369F"/>
    <w:rsid w:val="009136BB"/>
    <w:rsid w:val="00913721"/>
    <w:rsid w:val="00913747"/>
    <w:rsid w:val="009137F8"/>
    <w:rsid w:val="00913809"/>
    <w:rsid w:val="0091392D"/>
    <w:rsid w:val="0091398B"/>
    <w:rsid w:val="009139BD"/>
    <w:rsid w:val="009139CF"/>
    <w:rsid w:val="00913A15"/>
    <w:rsid w:val="00913A80"/>
    <w:rsid w:val="00913A85"/>
    <w:rsid w:val="00913ADF"/>
    <w:rsid w:val="00913B55"/>
    <w:rsid w:val="00913BC0"/>
    <w:rsid w:val="00913BFE"/>
    <w:rsid w:val="00913C5F"/>
    <w:rsid w:val="00913CCC"/>
    <w:rsid w:val="00913D33"/>
    <w:rsid w:val="00913D46"/>
    <w:rsid w:val="00913D77"/>
    <w:rsid w:val="00913EDB"/>
    <w:rsid w:val="00913FBB"/>
    <w:rsid w:val="00913FE8"/>
    <w:rsid w:val="009141A9"/>
    <w:rsid w:val="009141C4"/>
    <w:rsid w:val="009141E5"/>
    <w:rsid w:val="009141FB"/>
    <w:rsid w:val="00914267"/>
    <w:rsid w:val="0091427A"/>
    <w:rsid w:val="00914324"/>
    <w:rsid w:val="0091433B"/>
    <w:rsid w:val="009143F8"/>
    <w:rsid w:val="00914400"/>
    <w:rsid w:val="0091446E"/>
    <w:rsid w:val="009144E1"/>
    <w:rsid w:val="00914501"/>
    <w:rsid w:val="0091452D"/>
    <w:rsid w:val="0091453E"/>
    <w:rsid w:val="0091457B"/>
    <w:rsid w:val="009146AD"/>
    <w:rsid w:val="00914715"/>
    <w:rsid w:val="00914731"/>
    <w:rsid w:val="00914732"/>
    <w:rsid w:val="0091477A"/>
    <w:rsid w:val="009147EC"/>
    <w:rsid w:val="00914872"/>
    <w:rsid w:val="0091489B"/>
    <w:rsid w:val="009148A0"/>
    <w:rsid w:val="009148E4"/>
    <w:rsid w:val="00914955"/>
    <w:rsid w:val="00914962"/>
    <w:rsid w:val="0091498B"/>
    <w:rsid w:val="00914A12"/>
    <w:rsid w:val="00914A8F"/>
    <w:rsid w:val="00914B56"/>
    <w:rsid w:val="00914BE5"/>
    <w:rsid w:val="00914CD9"/>
    <w:rsid w:val="00914CF9"/>
    <w:rsid w:val="00914D7D"/>
    <w:rsid w:val="00914ED0"/>
    <w:rsid w:val="00914F00"/>
    <w:rsid w:val="00914F35"/>
    <w:rsid w:val="00914F43"/>
    <w:rsid w:val="00914F5D"/>
    <w:rsid w:val="00914FF1"/>
    <w:rsid w:val="0091500C"/>
    <w:rsid w:val="009150C3"/>
    <w:rsid w:val="009150DD"/>
    <w:rsid w:val="009150EB"/>
    <w:rsid w:val="00915176"/>
    <w:rsid w:val="00915240"/>
    <w:rsid w:val="009152B1"/>
    <w:rsid w:val="009152BC"/>
    <w:rsid w:val="00915373"/>
    <w:rsid w:val="00915498"/>
    <w:rsid w:val="009154CD"/>
    <w:rsid w:val="009155F8"/>
    <w:rsid w:val="00915650"/>
    <w:rsid w:val="00915678"/>
    <w:rsid w:val="009156E2"/>
    <w:rsid w:val="00915736"/>
    <w:rsid w:val="00915744"/>
    <w:rsid w:val="009157D1"/>
    <w:rsid w:val="00915838"/>
    <w:rsid w:val="009158EA"/>
    <w:rsid w:val="009158F4"/>
    <w:rsid w:val="009158F5"/>
    <w:rsid w:val="0091597D"/>
    <w:rsid w:val="009159D0"/>
    <w:rsid w:val="00915AC1"/>
    <w:rsid w:val="00915B1B"/>
    <w:rsid w:val="00915B34"/>
    <w:rsid w:val="00915B63"/>
    <w:rsid w:val="00915B7A"/>
    <w:rsid w:val="00915BDE"/>
    <w:rsid w:val="00915C4D"/>
    <w:rsid w:val="00915D34"/>
    <w:rsid w:val="00915D36"/>
    <w:rsid w:val="00915D6E"/>
    <w:rsid w:val="00915DD5"/>
    <w:rsid w:val="00915DEB"/>
    <w:rsid w:val="00915E25"/>
    <w:rsid w:val="00915E3D"/>
    <w:rsid w:val="00915E6B"/>
    <w:rsid w:val="00915E8C"/>
    <w:rsid w:val="00915EC9"/>
    <w:rsid w:val="00915EED"/>
    <w:rsid w:val="00915F06"/>
    <w:rsid w:val="00915F82"/>
    <w:rsid w:val="00915F93"/>
    <w:rsid w:val="00916187"/>
    <w:rsid w:val="00916234"/>
    <w:rsid w:val="00916303"/>
    <w:rsid w:val="00916348"/>
    <w:rsid w:val="0091635A"/>
    <w:rsid w:val="0091636E"/>
    <w:rsid w:val="0091639B"/>
    <w:rsid w:val="0091648E"/>
    <w:rsid w:val="009164BD"/>
    <w:rsid w:val="00916552"/>
    <w:rsid w:val="0091659D"/>
    <w:rsid w:val="009168C3"/>
    <w:rsid w:val="00916932"/>
    <w:rsid w:val="0091697C"/>
    <w:rsid w:val="00916A74"/>
    <w:rsid w:val="00916B2D"/>
    <w:rsid w:val="00916B56"/>
    <w:rsid w:val="00916C42"/>
    <w:rsid w:val="00916C56"/>
    <w:rsid w:val="00916C7E"/>
    <w:rsid w:val="00916CEB"/>
    <w:rsid w:val="00916D1E"/>
    <w:rsid w:val="00916D52"/>
    <w:rsid w:val="00916DEB"/>
    <w:rsid w:val="00916ED8"/>
    <w:rsid w:val="00916F1E"/>
    <w:rsid w:val="00916F32"/>
    <w:rsid w:val="00916F4A"/>
    <w:rsid w:val="00917023"/>
    <w:rsid w:val="00917079"/>
    <w:rsid w:val="009170F1"/>
    <w:rsid w:val="0091713B"/>
    <w:rsid w:val="0091714E"/>
    <w:rsid w:val="0091717E"/>
    <w:rsid w:val="009171D5"/>
    <w:rsid w:val="00917212"/>
    <w:rsid w:val="0091721D"/>
    <w:rsid w:val="00917245"/>
    <w:rsid w:val="0091732E"/>
    <w:rsid w:val="00917360"/>
    <w:rsid w:val="009173B9"/>
    <w:rsid w:val="009173DC"/>
    <w:rsid w:val="0091743C"/>
    <w:rsid w:val="009174DA"/>
    <w:rsid w:val="00917517"/>
    <w:rsid w:val="009175A0"/>
    <w:rsid w:val="009176DF"/>
    <w:rsid w:val="0091775D"/>
    <w:rsid w:val="00917858"/>
    <w:rsid w:val="00917910"/>
    <w:rsid w:val="009179B5"/>
    <w:rsid w:val="00917A1B"/>
    <w:rsid w:val="00917A63"/>
    <w:rsid w:val="00917AD3"/>
    <w:rsid w:val="00917B07"/>
    <w:rsid w:val="00917B11"/>
    <w:rsid w:val="00917C11"/>
    <w:rsid w:val="00917C6E"/>
    <w:rsid w:val="00917C9E"/>
    <w:rsid w:val="00917CCF"/>
    <w:rsid w:val="00917D3E"/>
    <w:rsid w:val="00917D42"/>
    <w:rsid w:val="00917D69"/>
    <w:rsid w:val="00917DE4"/>
    <w:rsid w:val="00917E16"/>
    <w:rsid w:val="00917E2C"/>
    <w:rsid w:val="00917EA8"/>
    <w:rsid w:val="00917EC7"/>
    <w:rsid w:val="00917ECA"/>
    <w:rsid w:val="00917FA8"/>
    <w:rsid w:val="00917FDF"/>
    <w:rsid w:val="00917FF6"/>
    <w:rsid w:val="00920029"/>
    <w:rsid w:val="00920076"/>
    <w:rsid w:val="009200D0"/>
    <w:rsid w:val="009200DD"/>
    <w:rsid w:val="0092011C"/>
    <w:rsid w:val="0092018E"/>
    <w:rsid w:val="009201AF"/>
    <w:rsid w:val="00920224"/>
    <w:rsid w:val="0092024B"/>
    <w:rsid w:val="009202D9"/>
    <w:rsid w:val="0092030D"/>
    <w:rsid w:val="0092031F"/>
    <w:rsid w:val="0092037E"/>
    <w:rsid w:val="0092043C"/>
    <w:rsid w:val="009204A0"/>
    <w:rsid w:val="009204D4"/>
    <w:rsid w:val="009204E8"/>
    <w:rsid w:val="00920546"/>
    <w:rsid w:val="0092058E"/>
    <w:rsid w:val="00920657"/>
    <w:rsid w:val="009206E6"/>
    <w:rsid w:val="0092074D"/>
    <w:rsid w:val="009208DB"/>
    <w:rsid w:val="00920AA0"/>
    <w:rsid w:val="00920AE0"/>
    <w:rsid w:val="00920B64"/>
    <w:rsid w:val="00920BF0"/>
    <w:rsid w:val="00920C02"/>
    <w:rsid w:val="00920C1D"/>
    <w:rsid w:val="00920C50"/>
    <w:rsid w:val="00920C61"/>
    <w:rsid w:val="00920DAA"/>
    <w:rsid w:val="00920EE7"/>
    <w:rsid w:val="00920F36"/>
    <w:rsid w:val="00920F54"/>
    <w:rsid w:val="00920F63"/>
    <w:rsid w:val="00920FA2"/>
    <w:rsid w:val="00920FF1"/>
    <w:rsid w:val="0092100D"/>
    <w:rsid w:val="009210E7"/>
    <w:rsid w:val="0092110B"/>
    <w:rsid w:val="009211A4"/>
    <w:rsid w:val="00921291"/>
    <w:rsid w:val="00921351"/>
    <w:rsid w:val="009213BF"/>
    <w:rsid w:val="00921407"/>
    <w:rsid w:val="0092144E"/>
    <w:rsid w:val="00921517"/>
    <w:rsid w:val="00921520"/>
    <w:rsid w:val="00921575"/>
    <w:rsid w:val="00921591"/>
    <w:rsid w:val="009215D0"/>
    <w:rsid w:val="009215DD"/>
    <w:rsid w:val="0092163A"/>
    <w:rsid w:val="00921668"/>
    <w:rsid w:val="0092167F"/>
    <w:rsid w:val="00921717"/>
    <w:rsid w:val="00921734"/>
    <w:rsid w:val="00921760"/>
    <w:rsid w:val="009217ED"/>
    <w:rsid w:val="009217F6"/>
    <w:rsid w:val="009217F7"/>
    <w:rsid w:val="009217FF"/>
    <w:rsid w:val="0092182A"/>
    <w:rsid w:val="0092186A"/>
    <w:rsid w:val="0092199A"/>
    <w:rsid w:val="009219C3"/>
    <w:rsid w:val="009219FB"/>
    <w:rsid w:val="009219FF"/>
    <w:rsid w:val="00921A74"/>
    <w:rsid w:val="00921B51"/>
    <w:rsid w:val="00921BE7"/>
    <w:rsid w:val="00921BED"/>
    <w:rsid w:val="00921BFC"/>
    <w:rsid w:val="00921C66"/>
    <w:rsid w:val="00921C8C"/>
    <w:rsid w:val="00921D9E"/>
    <w:rsid w:val="00921E11"/>
    <w:rsid w:val="00921EA0"/>
    <w:rsid w:val="00921ED8"/>
    <w:rsid w:val="00921FAB"/>
    <w:rsid w:val="0092200D"/>
    <w:rsid w:val="00922136"/>
    <w:rsid w:val="009221B8"/>
    <w:rsid w:val="009221E9"/>
    <w:rsid w:val="00922259"/>
    <w:rsid w:val="009222EC"/>
    <w:rsid w:val="009222EE"/>
    <w:rsid w:val="0092234A"/>
    <w:rsid w:val="00922386"/>
    <w:rsid w:val="009223E3"/>
    <w:rsid w:val="0092244D"/>
    <w:rsid w:val="00922521"/>
    <w:rsid w:val="00922527"/>
    <w:rsid w:val="0092256A"/>
    <w:rsid w:val="00922610"/>
    <w:rsid w:val="0092264D"/>
    <w:rsid w:val="009226FC"/>
    <w:rsid w:val="00922734"/>
    <w:rsid w:val="009227F4"/>
    <w:rsid w:val="00922850"/>
    <w:rsid w:val="0092286C"/>
    <w:rsid w:val="009228C9"/>
    <w:rsid w:val="009229CC"/>
    <w:rsid w:val="009229F4"/>
    <w:rsid w:val="00922A38"/>
    <w:rsid w:val="00922A3B"/>
    <w:rsid w:val="00922A6D"/>
    <w:rsid w:val="00922ADF"/>
    <w:rsid w:val="00922BE7"/>
    <w:rsid w:val="00922C52"/>
    <w:rsid w:val="00922C68"/>
    <w:rsid w:val="00922C6C"/>
    <w:rsid w:val="00922C86"/>
    <w:rsid w:val="00922D5D"/>
    <w:rsid w:val="00922E69"/>
    <w:rsid w:val="00922E9D"/>
    <w:rsid w:val="00922F88"/>
    <w:rsid w:val="00922FD8"/>
    <w:rsid w:val="00922FE7"/>
    <w:rsid w:val="009230F2"/>
    <w:rsid w:val="009230F6"/>
    <w:rsid w:val="0092310C"/>
    <w:rsid w:val="00923200"/>
    <w:rsid w:val="0092321D"/>
    <w:rsid w:val="0092322A"/>
    <w:rsid w:val="00923249"/>
    <w:rsid w:val="009234A6"/>
    <w:rsid w:val="009234CA"/>
    <w:rsid w:val="00923520"/>
    <w:rsid w:val="009236C5"/>
    <w:rsid w:val="0092371B"/>
    <w:rsid w:val="009238DA"/>
    <w:rsid w:val="009238F4"/>
    <w:rsid w:val="00923964"/>
    <w:rsid w:val="009239A9"/>
    <w:rsid w:val="00923A30"/>
    <w:rsid w:val="00923C02"/>
    <w:rsid w:val="00923C52"/>
    <w:rsid w:val="00923D49"/>
    <w:rsid w:val="00923D78"/>
    <w:rsid w:val="00923DE9"/>
    <w:rsid w:val="00923DFB"/>
    <w:rsid w:val="00923E56"/>
    <w:rsid w:val="00923EA8"/>
    <w:rsid w:val="00923EFA"/>
    <w:rsid w:val="00924091"/>
    <w:rsid w:val="009240A4"/>
    <w:rsid w:val="00924120"/>
    <w:rsid w:val="0092414C"/>
    <w:rsid w:val="00924156"/>
    <w:rsid w:val="0092417E"/>
    <w:rsid w:val="00924244"/>
    <w:rsid w:val="00924286"/>
    <w:rsid w:val="009242BE"/>
    <w:rsid w:val="009242C0"/>
    <w:rsid w:val="009242FA"/>
    <w:rsid w:val="00924411"/>
    <w:rsid w:val="00924431"/>
    <w:rsid w:val="00924435"/>
    <w:rsid w:val="009244A9"/>
    <w:rsid w:val="009244B4"/>
    <w:rsid w:val="00924547"/>
    <w:rsid w:val="00924556"/>
    <w:rsid w:val="00924632"/>
    <w:rsid w:val="009247AB"/>
    <w:rsid w:val="009247D9"/>
    <w:rsid w:val="00924826"/>
    <w:rsid w:val="00924956"/>
    <w:rsid w:val="009249AE"/>
    <w:rsid w:val="009249C4"/>
    <w:rsid w:val="00924A3B"/>
    <w:rsid w:val="00924A4A"/>
    <w:rsid w:val="00924B2F"/>
    <w:rsid w:val="00924B4D"/>
    <w:rsid w:val="00924B81"/>
    <w:rsid w:val="00924C99"/>
    <w:rsid w:val="00924D5D"/>
    <w:rsid w:val="00924D6E"/>
    <w:rsid w:val="00924DE3"/>
    <w:rsid w:val="00924E12"/>
    <w:rsid w:val="00924E54"/>
    <w:rsid w:val="00924E6C"/>
    <w:rsid w:val="00924F5B"/>
    <w:rsid w:val="00924FD2"/>
    <w:rsid w:val="0092500B"/>
    <w:rsid w:val="0092505B"/>
    <w:rsid w:val="00925094"/>
    <w:rsid w:val="009250A9"/>
    <w:rsid w:val="009250E3"/>
    <w:rsid w:val="00925178"/>
    <w:rsid w:val="009251C4"/>
    <w:rsid w:val="0092525D"/>
    <w:rsid w:val="00925312"/>
    <w:rsid w:val="0092531A"/>
    <w:rsid w:val="0092532C"/>
    <w:rsid w:val="0092535C"/>
    <w:rsid w:val="00925367"/>
    <w:rsid w:val="00925379"/>
    <w:rsid w:val="009254A4"/>
    <w:rsid w:val="009254AA"/>
    <w:rsid w:val="009254BC"/>
    <w:rsid w:val="0092555C"/>
    <w:rsid w:val="0092559B"/>
    <w:rsid w:val="009255A1"/>
    <w:rsid w:val="009256CB"/>
    <w:rsid w:val="00925760"/>
    <w:rsid w:val="0092577F"/>
    <w:rsid w:val="009257A0"/>
    <w:rsid w:val="009257B2"/>
    <w:rsid w:val="009257DB"/>
    <w:rsid w:val="0092580E"/>
    <w:rsid w:val="0092585D"/>
    <w:rsid w:val="00925962"/>
    <w:rsid w:val="00925A56"/>
    <w:rsid w:val="00925B17"/>
    <w:rsid w:val="00925B5E"/>
    <w:rsid w:val="00925C01"/>
    <w:rsid w:val="00925CC1"/>
    <w:rsid w:val="00925CCB"/>
    <w:rsid w:val="00925CDB"/>
    <w:rsid w:val="00925D03"/>
    <w:rsid w:val="00925D05"/>
    <w:rsid w:val="00925D44"/>
    <w:rsid w:val="00925D5F"/>
    <w:rsid w:val="00925D71"/>
    <w:rsid w:val="00925DF4"/>
    <w:rsid w:val="00925E6B"/>
    <w:rsid w:val="00925E8C"/>
    <w:rsid w:val="00925F5C"/>
    <w:rsid w:val="00925FD1"/>
    <w:rsid w:val="00925FE8"/>
    <w:rsid w:val="009260D0"/>
    <w:rsid w:val="009260D5"/>
    <w:rsid w:val="009260E5"/>
    <w:rsid w:val="009260FA"/>
    <w:rsid w:val="0092611F"/>
    <w:rsid w:val="00926276"/>
    <w:rsid w:val="009262F8"/>
    <w:rsid w:val="00926344"/>
    <w:rsid w:val="009263E8"/>
    <w:rsid w:val="00926414"/>
    <w:rsid w:val="00926488"/>
    <w:rsid w:val="009264C0"/>
    <w:rsid w:val="00926551"/>
    <w:rsid w:val="0092655D"/>
    <w:rsid w:val="009265DC"/>
    <w:rsid w:val="009265E8"/>
    <w:rsid w:val="00926616"/>
    <w:rsid w:val="00926620"/>
    <w:rsid w:val="00926656"/>
    <w:rsid w:val="009266C5"/>
    <w:rsid w:val="00926701"/>
    <w:rsid w:val="00926751"/>
    <w:rsid w:val="009267E1"/>
    <w:rsid w:val="0092681D"/>
    <w:rsid w:val="00926853"/>
    <w:rsid w:val="0092687D"/>
    <w:rsid w:val="00926929"/>
    <w:rsid w:val="00926939"/>
    <w:rsid w:val="009269A4"/>
    <w:rsid w:val="00926AD8"/>
    <w:rsid w:val="00926BFB"/>
    <w:rsid w:val="00926C64"/>
    <w:rsid w:val="00926D01"/>
    <w:rsid w:val="00926D5B"/>
    <w:rsid w:val="00926DCB"/>
    <w:rsid w:val="00926DEE"/>
    <w:rsid w:val="00926E95"/>
    <w:rsid w:val="00926F2F"/>
    <w:rsid w:val="00926F30"/>
    <w:rsid w:val="00926F58"/>
    <w:rsid w:val="00926F6D"/>
    <w:rsid w:val="00926FC6"/>
    <w:rsid w:val="0092700E"/>
    <w:rsid w:val="0092703A"/>
    <w:rsid w:val="0092715A"/>
    <w:rsid w:val="0092721E"/>
    <w:rsid w:val="00927229"/>
    <w:rsid w:val="0092723A"/>
    <w:rsid w:val="00927276"/>
    <w:rsid w:val="009272AF"/>
    <w:rsid w:val="00927343"/>
    <w:rsid w:val="009273C4"/>
    <w:rsid w:val="009273EF"/>
    <w:rsid w:val="0092748F"/>
    <w:rsid w:val="0092749E"/>
    <w:rsid w:val="009274E0"/>
    <w:rsid w:val="0092756D"/>
    <w:rsid w:val="0092757A"/>
    <w:rsid w:val="009275A4"/>
    <w:rsid w:val="009275DC"/>
    <w:rsid w:val="009275E2"/>
    <w:rsid w:val="009275F3"/>
    <w:rsid w:val="009276D9"/>
    <w:rsid w:val="0092772D"/>
    <w:rsid w:val="009277D3"/>
    <w:rsid w:val="00927815"/>
    <w:rsid w:val="0092783B"/>
    <w:rsid w:val="0092785D"/>
    <w:rsid w:val="009278E6"/>
    <w:rsid w:val="009278EE"/>
    <w:rsid w:val="009278FF"/>
    <w:rsid w:val="0092794C"/>
    <w:rsid w:val="00927962"/>
    <w:rsid w:val="009279A2"/>
    <w:rsid w:val="009279D1"/>
    <w:rsid w:val="00927A32"/>
    <w:rsid w:val="00927B98"/>
    <w:rsid w:val="00927BC8"/>
    <w:rsid w:val="00927BE5"/>
    <w:rsid w:val="00927C42"/>
    <w:rsid w:val="00927E79"/>
    <w:rsid w:val="00927EE4"/>
    <w:rsid w:val="00927F77"/>
    <w:rsid w:val="00927FC5"/>
    <w:rsid w:val="00930079"/>
    <w:rsid w:val="0093008C"/>
    <w:rsid w:val="009300FE"/>
    <w:rsid w:val="00930131"/>
    <w:rsid w:val="00930137"/>
    <w:rsid w:val="00930165"/>
    <w:rsid w:val="00930177"/>
    <w:rsid w:val="009301A0"/>
    <w:rsid w:val="00930214"/>
    <w:rsid w:val="0093021B"/>
    <w:rsid w:val="009302E8"/>
    <w:rsid w:val="0093031E"/>
    <w:rsid w:val="00930568"/>
    <w:rsid w:val="0093057B"/>
    <w:rsid w:val="009306E9"/>
    <w:rsid w:val="0093078E"/>
    <w:rsid w:val="00930798"/>
    <w:rsid w:val="00930800"/>
    <w:rsid w:val="0093086C"/>
    <w:rsid w:val="0093090A"/>
    <w:rsid w:val="00930993"/>
    <w:rsid w:val="009309A0"/>
    <w:rsid w:val="009309D3"/>
    <w:rsid w:val="00930A22"/>
    <w:rsid w:val="00930A36"/>
    <w:rsid w:val="00930A47"/>
    <w:rsid w:val="00930A5C"/>
    <w:rsid w:val="00930A69"/>
    <w:rsid w:val="00930AD3"/>
    <w:rsid w:val="00930BA8"/>
    <w:rsid w:val="00930BAF"/>
    <w:rsid w:val="00930C16"/>
    <w:rsid w:val="00930CCC"/>
    <w:rsid w:val="00930D0D"/>
    <w:rsid w:val="00930D15"/>
    <w:rsid w:val="00930D64"/>
    <w:rsid w:val="00930ECB"/>
    <w:rsid w:val="00930EF4"/>
    <w:rsid w:val="00930F2C"/>
    <w:rsid w:val="00930F3A"/>
    <w:rsid w:val="00930FC2"/>
    <w:rsid w:val="00930FE5"/>
    <w:rsid w:val="009310AA"/>
    <w:rsid w:val="00931167"/>
    <w:rsid w:val="009311BA"/>
    <w:rsid w:val="009311F7"/>
    <w:rsid w:val="0093134E"/>
    <w:rsid w:val="009313AF"/>
    <w:rsid w:val="009313CF"/>
    <w:rsid w:val="00931409"/>
    <w:rsid w:val="0093142A"/>
    <w:rsid w:val="00931442"/>
    <w:rsid w:val="0093144C"/>
    <w:rsid w:val="00931510"/>
    <w:rsid w:val="00931539"/>
    <w:rsid w:val="009315AD"/>
    <w:rsid w:val="0093160B"/>
    <w:rsid w:val="00931701"/>
    <w:rsid w:val="0093171B"/>
    <w:rsid w:val="0093177D"/>
    <w:rsid w:val="009317A2"/>
    <w:rsid w:val="009318BC"/>
    <w:rsid w:val="009318EB"/>
    <w:rsid w:val="00931A66"/>
    <w:rsid w:val="00931A78"/>
    <w:rsid w:val="00931ACE"/>
    <w:rsid w:val="00931B9F"/>
    <w:rsid w:val="00931C0F"/>
    <w:rsid w:val="00931C4D"/>
    <w:rsid w:val="00931C68"/>
    <w:rsid w:val="00931D0E"/>
    <w:rsid w:val="00931D15"/>
    <w:rsid w:val="00931D7B"/>
    <w:rsid w:val="00931DED"/>
    <w:rsid w:val="00931E9F"/>
    <w:rsid w:val="00931EE1"/>
    <w:rsid w:val="00931F39"/>
    <w:rsid w:val="00931FD6"/>
    <w:rsid w:val="00932039"/>
    <w:rsid w:val="00932110"/>
    <w:rsid w:val="00932125"/>
    <w:rsid w:val="00932240"/>
    <w:rsid w:val="00932241"/>
    <w:rsid w:val="0093237F"/>
    <w:rsid w:val="009323A5"/>
    <w:rsid w:val="009323D8"/>
    <w:rsid w:val="00932490"/>
    <w:rsid w:val="00932588"/>
    <w:rsid w:val="009325C3"/>
    <w:rsid w:val="0093268E"/>
    <w:rsid w:val="0093275C"/>
    <w:rsid w:val="00932797"/>
    <w:rsid w:val="009327D1"/>
    <w:rsid w:val="00932831"/>
    <w:rsid w:val="00932866"/>
    <w:rsid w:val="009328A3"/>
    <w:rsid w:val="009328C4"/>
    <w:rsid w:val="0093292F"/>
    <w:rsid w:val="0093294C"/>
    <w:rsid w:val="00932969"/>
    <w:rsid w:val="009329EE"/>
    <w:rsid w:val="00932A2E"/>
    <w:rsid w:val="00932A80"/>
    <w:rsid w:val="00932B29"/>
    <w:rsid w:val="00932C0D"/>
    <w:rsid w:val="00932C93"/>
    <w:rsid w:val="00932E0A"/>
    <w:rsid w:val="00933048"/>
    <w:rsid w:val="009330F6"/>
    <w:rsid w:val="0093314D"/>
    <w:rsid w:val="00933169"/>
    <w:rsid w:val="0093319C"/>
    <w:rsid w:val="009331C3"/>
    <w:rsid w:val="009331D9"/>
    <w:rsid w:val="009331EC"/>
    <w:rsid w:val="00933230"/>
    <w:rsid w:val="00933299"/>
    <w:rsid w:val="009332BD"/>
    <w:rsid w:val="0093332C"/>
    <w:rsid w:val="0093332F"/>
    <w:rsid w:val="009333ED"/>
    <w:rsid w:val="00933418"/>
    <w:rsid w:val="00933533"/>
    <w:rsid w:val="00933544"/>
    <w:rsid w:val="00933560"/>
    <w:rsid w:val="00933580"/>
    <w:rsid w:val="009335DD"/>
    <w:rsid w:val="00933686"/>
    <w:rsid w:val="0093369F"/>
    <w:rsid w:val="009337F7"/>
    <w:rsid w:val="00933842"/>
    <w:rsid w:val="00933856"/>
    <w:rsid w:val="009338F8"/>
    <w:rsid w:val="00933A4B"/>
    <w:rsid w:val="00933B00"/>
    <w:rsid w:val="00933B74"/>
    <w:rsid w:val="00933B85"/>
    <w:rsid w:val="00933BC1"/>
    <w:rsid w:val="00933BE5"/>
    <w:rsid w:val="00933C69"/>
    <w:rsid w:val="00933CC0"/>
    <w:rsid w:val="00933D98"/>
    <w:rsid w:val="00933E32"/>
    <w:rsid w:val="00933F17"/>
    <w:rsid w:val="00933F54"/>
    <w:rsid w:val="00933FF1"/>
    <w:rsid w:val="00934048"/>
    <w:rsid w:val="00934073"/>
    <w:rsid w:val="00934075"/>
    <w:rsid w:val="00934100"/>
    <w:rsid w:val="00934181"/>
    <w:rsid w:val="00934264"/>
    <w:rsid w:val="00934286"/>
    <w:rsid w:val="0093430E"/>
    <w:rsid w:val="0093431B"/>
    <w:rsid w:val="00934352"/>
    <w:rsid w:val="00934396"/>
    <w:rsid w:val="00934569"/>
    <w:rsid w:val="0093456D"/>
    <w:rsid w:val="0093456F"/>
    <w:rsid w:val="009345D8"/>
    <w:rsid w:val="009345ED"/>
    <w:rsid w:val="00934661"/>
    <w:rsid w:val="0093466E"/>
    <w:rsid w:val="009346BF"/>
    <w:rsid w:val="009346D5"/>
    <w:rsid w:val="00934852"/>
    <w:rsid w:val="0093486C"/>
    <w:rsid w:val="0093486D"/>
    <w:rsid w:val="00934871"/>
    <w:rsid w:val="009349AD"/>
    <w:rsid w:val="00934A0C"/>
    <w:rsid w:val="00934AA0"/>
    <w:rsid w:val="00934B06"/>
    <w:rsid w:val="00934BD3"/>
    <w:rsid w:val="00934BFB"/>
    <w:rsid w:val="00934C34"/>
    <w:rsid w:val="00934C64"/>
    <w:rsid w:val="00934EEA"/>
    <w:rsid w:val="00934FB0"/>
    <w:rsid w:val="00934FB9"/>
    <w:rsid w:val="00935023"/>
    <w:rsid w:val="00935042"/>
    <w:rsid w:val="009350CE"/>
    <w:rsid w:val="009350E4"/>
    <w:rsid w:val="00935156"/>
    <w:rsid w:val="009351F0"/>
    <w:rsid w:val="00935204"/>
    <w:rsid w:val="009352A9"/>
    <w:rsid w:val="009352BB"/>
    <w:rsid w:val="0093534C"/>
    <w:rsid w:val="00935385"/>
    <w:rsid w:val="00935387"/>
    <w:rsid w:val="00935464"/>
    <w:rsid w:val="00935587"/>
    <w:rsid w:val="009355AD"/>
    <w:rsid w:val="009355C5"/>
    <w:rsid w:val="0093560C"/>
    <w:rsid w:val="00935650"/>
    <w:rsid w:val="00935709"/>
    <w:rsid w:val="00935755"/>
    <w:rsid w:val="0093578E"/>
    <w:rsid w:val="0093579C"/>
    <w:rsid w:val="009357CB"/>
    <w:rsid w:val="0093580E"/>
    <w:rsid w:val="00935881"/>
    <w:rsid w:val="009358D5"/>
    <w:rsid w:val="009358F7"/>
    <w:rsid w:val="009359F9"/>
    <w:rsid w:val="009359FA"/>
    <w:rsid w:val="00935B7E"/>
    <w:rsid w:val="00935BC0"/>
    <w:rsid w:val="00935D86"/>
    <w:rsid w:val="00935D95"/>
    <w:rsid w:val="00935DB0"/>
    <w:rsid w:val="00935DB1"/>
    <w:rsid w:val="00935EA5"/>
    <w:rsid w:val="00935EBC"/>
    <w:rsid w:val="00935F4B"/>
    <w:rsid w:val="00935F4C"/>
    <w:rsid w:val="00935FA2"/>
    <w:rsid w:val="00935FEB"/>
    <w:rsid w:val="0093604E"/>
    <w:rsid w:val="00936067"/>
    <w:rsid w:val="00936099"/>
    <w:rsid w:val="009360AF"/>
    <w:rsid w:val="00936163"/>
    <w:rsid w:val="00936171"/>
    <w:rsid w:val="0093617C"/>
    <w:rsid w:val="0093618A"/>
    <w:rsid w:val="00936222"/>
    <w:rsid w:val="00936265"/>
    <w:rsid w:val="00936368"/>
    <w:rsid w:val="009363C7"/>
    <w:rsid w:val="009363EA"/>
    <w:rsid w:val="009364D2"/>
    <w:rsid w:val="00936525"/>
    <w:rsid w:val="0093666F"/>
    <w:rsid w:val="00936687"/>
    <w:rsid w:val="009366EC"/>
    <w:rsid w:val="00936713"/>
    <w:rsid w:val="009367AE"/>
    <w:rsid w:val="009367D7"/>
    <w:rsid w:val="0093686C"/>
    <w:rsid w:val="00936872"/>
    <w:rsid w:val="009368A2"/>
    <w:rsid w:val="009368C3"/>
    <w:rsid w:val="00936915"/>
    <w:rsid w:val="00936981"/>
    <w:rsid w:val="009369E4"/>
    <w:rsid w:val="00936A1C"/>
    <w:rsid w:val="00936A32"/>
    <w:rsid w:val="00936A66"/>
    <w:rsid w:val="00936A9B"/>
    <w:rsid w:val="00936ACB"/>
    <w:rsid w:val="00936B4B"/>
    <w:rsid w:val="00936CBE"/>
    <w:rsid w:val="00936CC9"/>
    <w:rsid w:val="00936D2A"/>
    <w:rsid w:val="00936D56"/>
    <w:rsid w:val="00936DA5"/>
    <w:rsid w:val="00936E35"/>
    <w:rsid w:val="00937042"/>
    <w:rsid w:val="00937081"/>
    <w:rsid w:val="009370C3"/>
    <w:rsid w:val="009371A1"/>
    <w:rsid w:val="009371CE"/>
    <w:rsid w:val="009372D2"/>
    <w:rsid w:val="0093730F"/>
    <w:rsid w:val="00937346"/>
    <w:rsid w:val="0093735D"/>
    <w:rsid w:val="0093737A"/>
    <w:rsid w:val="009373AA"/>
    <w:rsid w:val="009373E3"/>
    <w:rsid w:val="0093741C"/>
    <w:rsid w:val="00937428"/>
    <w:rsid w:val="009374EA"/>
    <w:rsid w:val="00937577"/>
    <w:rsid w:val="00937582"/>
    <w:rsid w:val="009375BB"/>
    <w:rsid w:val="00937602"/>
    <w:rsid w:val="00937676"/>
    <w:rsid w:val="009376B7"/>
    <w:rsid w:val="009376C5"/>
    <w:rsid w:val="009377BB"/>
    <w:rsid w:val="00937819"/>
    <w:rsid w:val="009378A2"/>
    <w:rsid w:val="009378B3"/>
    <w:rsid w:val="009379B0"/>
    <w:rsid w:val="009379B7"/>
    <w:rsid w:val="009379EF"/>
    <w:rsid w:val="00937A80"/>
    <w:rsid w:val="00937A90"/>
    <w:rsid w:val="00937AAC"/>
    <w:rsid w:val="00937B8C"/>
    <w:rsid w:val="00937BAF"/>
    <w:rsid w:val="00937BCB"/>
    <w:rsid w:val="00937C3B"/>
    <w:rsid w:val="00937DDA"/>
    <w:rsid w:val="00937E21"/>
    <w:rsid w:val="00937E84"/>
    <w:rsid w:val="00937E88"/>
    <w:rsid w:val="00937EE0"/>
    <w:rsid w:val="00937F23"/>
    <w:rsid w:val="00940019"/>
    <w:rsid w:val="009400A0"/>
    <w:rsid w:val="009400C5"/>
    <w:rsid w:val="0094019C"/>
    <w:rsid w:val="009402BF"/>
    <w:rsid w:val="00940374"/>
    <w:rsid w:val="009403B8"/>
    <w:rsid w:val="009403D6"/>
    <w:rsid w:val="00940504"/>
    <w:rsid w:val="0094052D"/>
    <w:rsid w:val="0094058A"/>
    <w:rsid w:val="0094061F"/>
    <w:rsid w:val="00940626"/>
    <w:rsid w:val="00940736"/>
    <w:rsid w:val="00940738"/>
    <w:rsid w:val="00940785"/>
    <w:rsid w:val="0094086A"/>
    <w:rsid w:val="0094087A"/>
    <w:rsid w:val="009408B9"/>
    <w:rsid w:val="00940902"/>
    <w:rsid w:val="00940917"/>
    <w:rsid w:val="00940923"/>
    <w:rsid w:val="0094093C"/>
    <w:rsid w:val="00940A55"/>
    <w:rsid w:val="00940AD8"/>
    <w:rsid w:val="00940ADB"/>
    <w:rsid w:val="00940B11"/>
    <w:rsid w:val="00940B25"/>
    <w:rsid w:val="00940B8A"/>
    <w:rsid w:val="00940B9D"/>
    <w:rsid w:val="00940BD8"/>
    <w:rsid w:val="00940C50"/>
    <w:rsid w:val="00940CDF"/>
    <w:rsid w:val="00940CFF"/>
    <w:rsid w:val="00940D09"/>
    <w:rsid w:val="00940D20"/>
    <w:rsid w:val="00940D53"/>
    <w:rsid w:val="00940DC2"/>
    <w:rsid w:val="00940DC8"/>
    <w:rsid w:val="00940E62"/>
    <w:rsid w:val="00940E97"/>
    <w:rsid w:val="00940E9C"/>
    <w:rsid w:val="00940F0B"/>
    <w:rsid w:val="00940F9B"/>
    <w:rsid w:val="00940FB4"/>
    <w:rsid w:val="00940FBC"/>
    <w:rsid w:val="00940FDC"/>
    <w:rsid w:val="00940FE3"/>
    <w:rsid w:val="00941016"/>
    <w:rsid w:val="00941055"/>
    <w:rsid w:val="0094105A"/>
    <w:rsid w:val="00941178"/>
    <w:rsid w:val="0094118F"/>
    <w:rsid w:val="00941193"/>
    <w:rsid w:val="009411C8"/>
    <w:rsid w:val="009412BC"/>
    <w:rsid w:val="009412F3"/>
    <w:rsid w:val="009413BF"/>
    <w:rsid w:val="009413F7"/>
    <w:rsid w:val="00941403"/>
    <w:rsid w:val="00941454"/>
    <w:rsid w:val="0094153E"/>
    <w:rsid w:val="00941551"/>
    <w:rsid w:val="0094158A"/>
    <w:rsid w:val="009415C1"/>
    <w:rsid w:val="009415CD"/>
    <w:rsid w:val="009415D8"/>
    <w:rsid w:val="00941651"/>
    <w:rsid w:val="009416BB"/>
    <w:rsid w:val="009417A6"/>
    <w:rsid w:val="009417B0"/>
    <w:rsid w:val="00941882"/>
    <w:rsid w:val="009418C9"/>
    <w:rsid w:val="009418D2"/>
    <w:rsid w:val="0094192B"/>
    <w:rsid w:val="00941A60"/>
    <w:rsid w:val="00941B21"/>
    <w:rsid w:val="00941BFC"/>
    <w:rsid w:val="00941C4A"/>
    <w:rsid w:val="00941C75"/>
    <w:rsid w:val="00941C77"/>
    <w:rsid w:val="00941CC4"/>
    <w:rsid w:val="00941CE9"/>
    <w:rsid w:val="00941D36"/>
    <w:rsid w:val="00941E7A"/>
    <w:rsid w:val="00941E8B"/>
    <w:rsid w:val="00941F9F"/>
    <w:rsid w:val="00941FE7"/>
    <w:rsid w:val="0094201B"/>
    <w:rsid w:val="0094203A"/>
    <w:rsid w:val="00942056"/>
    <w:rsid w:val="009420D0"/>
    <w:rsid w:val="009420D8"/>
    <w:rsid w:val="009421D2"/>
    <w:rsid w:val="0094220C"/>
    <w:rsid w:val="00942263"/>
    <w:rsid w:val="009422A5"/>
    <w:rsid w:val="009422DC"/>
    <w:rsid w:val="009423CF"/>
    <w:rsid w:val="00942484"/>
    <w:rsid w:val="00942532"/>
    <w:rsid w:val="009425C0"/>
    <w:rsid w:val="009426A0"/>
    <w:rsid w:val="00942714"/>
    <w:rsid w:val="0094276B"/>
    <w:rsid w:val="0094276F"/>
    <w:rsid w:val="00942861"/>
    <w:rsid w:val="00942930"/>
    <w:rsid w:val="0094293E"/>
    <w:rsid w:val="009429BE"/>
    <w:rsid w:val="00942A85"/>
    <w:rsid w:val="00942A89"/>
    <w:rsid w:val="00942A8A"/>
    <w:rsid w:val="00942ACB"/>
    <w:rsid w:val="00942B2A"/>
    <w:rsid w:val="00942B82"/>
    <w:rsid w:val="00942B87"/>
    <w:rsid w:val="00942C26"/>
    <w:rsid w:val="00942C50"/>
    <w:rsid w:val="00942D3A"/>
    <w:rsid w:val="00942D56"/>
    <w:rsid w:val="00942D73"/>
    <w:rsid w:val="00942E29"/>
    <w:rsid w:val="00942E82"/>
    <w:rsid w:val="00942E9A"/>
    <w:rsid w:val="00942F52"/>
    <w:rsid w:val="00942F6F"/>
    <w:rsid w:val="00942F7E"/>
    <w:rsid w:val="00943003"/>
    <w:rsid w:val="0094300A"/>
    <w:rsid w:val="00943071"/>
    <w:rsid w:val="0094312B"/>
    <w:rsid w:val="009431B7"/>
    <w:rsid w:val="00943219"/>
    <w:rsid w:val="009432A5"/>
    <w:rsid w:val="0094332A"/>
    <w:rsid w:val="00943343"/>
    <w:rsid w:val="009433C1"/>
    <w:rsid w:val="009433E1"/>
    <w:rsid w:val="00943487"/>
    <w:rsid w:val="009435E5"/>
    <w:rsid w:val="009435EC"/>
    <w:rsid w:val="00943624"/>
    <w:rsid w:val="00943633"/>
    <w:rsid w:val="0094364A"/>
    <w:rsid w:val="0094368F"/>
    <w:rsid w:val="009436CA"/>
    <w:rsid w:val="009436E1"/>
    <w:rsid w:val="009437B8"/>
    <w:rsid w:val="00943822"/>
    <w:rsid w:val="00943848"/>
    <w:rsid w:val="00943856"/>
    <w:rsid w:val="00943900"/>
    <w:rsid w:val="0094397A"/>
    <w:rsid w:val="009439EC"/>
    <w:rsid w:val="00943A0A"/>
    <w:rsid w:val="00943A32"/>
    <w:rsid w:val="00943A76"/>
    <w:rsid w:val="00943AAF"/>
    <w:rsid w:val="00943B24"/>
    <w:rsid w:val="00943B2D"/>
    <w:rsid w:val="00943B33"/>
    <w:rsid w:val="00943BBE"/>
    <w:rsid w:val="00943D29"/>
    <w:rsid w:val="00943D51"/>
    <w:rsid w:val="00943D68"/>
    <w:rsid w:val="00943D81"/>
    <w:rsid w:val="00943DB9"/>
    <w:rsid w:val="00943E4C"/>
    <w:rsid w:val="00943E55"/>
    <w:rsid w:val="00943E76"/>
    <w:rsid w:val="00943E7C"/>
    <w:rsid w:val="00943EB2"/>
    <w:rsid w:val="00943FCA"/>
    <w:rsid w:val="00943FD9"/>
    <w:rsid w:val="00944015"/>
    <w:rsid w:val="0094405F"/>
    <w:rsid w:val="009440AB"/>
    <w:rsid w:val="009440C1"/>
    <w:rsid w:val="0094412E"/>
    <w:rsid w:val="00944221"/>
    <w:rsid w:val="00944279"/>
    <w:rsid w:val="0094429B"/>
    <w:rsid w:val="00944453"/>
    <w:rsid w:val="00944455"/>
    <w:rsid w:val="00944461"/>
    <w:rsid w:val="00944463"/>
    <w:rsid w:val="0094447E"/>
    <w:rsid w:val="00944493"/>
    <w:rsid w:val="00944498"/>
    <w:rsid w:val="009444E3"/>
    <w:rsid w:val="009445A7"/>
    <w:rsid w:val="0094460C"/>
    <w:rsid w:val="009446B6"/>
    <w:rsid w:val="009446BA"/>
    <w:rsid w:val="00944702"/>
    <w:rsid w:val="0094478C"/>
    <w:rsid w:val="00944809"/>
    <w:rsid w:val="00944816"/>
    <w:rsid w:val="009448E6"/>
    <w:rsid w:val="00944916"/>
    <w:rsid w:val="00944973"/>
    <w:rsid w:val="00944981"/>
    <w:rsid w:val="009449A1"/>
    <w:rsid w:val="009449D0"/>
    <w:rsid w:val="00944A51"/>
    <w:rsid w:val="00944A62"/>
    <w:rsid w:val="00944A99"/>
    <w:rsid w:val="00944B67"/>
    <w:rsid w:val="00944CAB"/>
    <w:rsid w:val="00944CFA"/>
    <w:rsid w:val="00944D39"/>
    <w:rsid w:val="00944DC6"/>
    <w:rsid w:val="00944DE1"/>
    <w:rsid w:val="00944DE2"/>
    <w:rsid w:val="00944E4B"/>
    <w:rsid w:val="00944E4C"/>
    <w:rsid w:val="00944E56"/>
    <w:rsid w:val="00944E69"/>
    <w:rsid w:val="00944E71"/>
    <w:rsid w:val="00944F8E"/>
    <w:rsid w:val="00944FBF"/>
    <w:rsid w:val="00944FCB"/>
    <w:rsid w:val="00944FFC"/>
    <w:rsid w:val="00945036"/>
    <w:rsid w:val="0094503C"/>
    <w:rsid w:val="00945040"/>
    <w:rsid w:val="0094518A"/>
    <w:rsid w:val="00945259"/>
    <w:rsid w:val="009453E6"/>
    <w:rsid w:val="009453EF"/>
    <w:rsid w:val="00945476"/>
    <w:rsid w:val="009454AA"/>
    <w:rsid w:val="009454D6"/>
    <w:rsid w:val="00945529"/>
    <w:rsid w:val="00945537"/>
    <w:rsid w:val="0094554F"/>
    <w:rsid w:val="0094555D"/>
    <w:rsid w:val="009456BF"/>
    <w:rsid w:val="009456C0"/>
    <w:rsid w:val="009456CD"/>
    <w:rsid w:val="00945751"/>
    <w:rsid w:val="009457D1"/>
    <w:rsid w:val="00945809"/>
    <w:rsid w:val="0094580F"/>
    <w:rsid w:val="0094583C"/>
    <w:rsid w:val="00945857"/>
    <w:rsid w:val="009458B8"/>
    <w:rsid w:val="0094590E"/>
    <w:rsid w:val="00945910"/>
    <w:rsid w:val="00945931"/>
    <w:rsid w:val="00945954"/>
    <w:rsid w:val="00945A7C"/>
    <w:rsid w:val="00945AD4"/>
    <w:rsid w:val="00945AFB"/>
    <w:rsid w:val="00945B97"/>
    <w:rsid w:val="00945C48"/>
    <w:rsid w:val="00945C7E"/>
    <w:rsid w:val="00945D04"/>
    <w:rsid w:val="00945D32"/>
    <w:rsid w:val="00945E40"/>
    <w:rsid w:val="00945E75"/>
    <w:rsid w:val="00945F17"/>
    <w:rsid w:val="00945FBC"/>
    <w:rsid w:val="00945FC2"/>
    <w:rsid w:val="00945FD8"/>
    <w:rsid w:val="00945FDB"/>
    <w:rsid w:val="00946059"/>
    <w:rsid w:val="0094608C"/>
    <w:rsid w:val="0094616B"/>
    <w:rsid w:val="00946192"/>
    <w:rsid w:val="00946197"/>
    <w:rsid w:val="00946485"/>
    <w:rsid w:val="0094652C"/>
    <w:rsid w:val="00946577"/>
    <w:rsid w:val="00946632"/>
    <w:rsid w:val="0094667C"/>
    <w:rsid w:val="0094675B"/>
    <w:rsid w:val="00946762"/>
    <w:rsid w:val="0094677A"/>
    <w:rsid w:val="009467E5"/>
    <w:rsid w:val="00946807"/>
    <w:rsid w:val="0094688B"/>
    <w:rsid w:val="009468A6"/>
    <w:rsid w:val="009468C6"/>
    <w:rsid w:val="009469D4"/>
    <w:rsid w:val="00946A5E"/>
    <w:rsid w:val="00946AA1"/>
    <w:rsid w:val="00946AD1"/>
    <w:rsid w:val="00946B22"/>
    <w:rsid w:val="00946B4E"/>
    <w:rsid w:val="00946B5B"/>
    <w:rsid w:val="00946B6F"/>
    <w:rsid w:val="00946B71"/>
    <w:rsid w:val="00946BA3"/>
    <w:rsid w:val="00946BF0"/>
    <w:rsid w:val="00946E44"/>
    <w:rsid w:val="00946EBA"/>
    <w:rsid w:val="00946EDB"/>
    <w:rsid w:val="00946F30"/>
    <w:rsid w:val="00946F9F"/>
    <w:rsid w:val="00946FDC"/>
    <w:rsid w:val="00946FE2"/>
    <w:rsid w:val="0094706A"/>
    <w:rsid w:val="0094708C"/>
    <w:rsid w:val="0094710A"/>
    <w:rsid w:val="00947145"/>
    <w:rsid w:val="009471C5"/>
    <w:rsid w:val="0094737A"/>
    <w:rsid w:val="00947405"/>
    <w:rsid w:val="00947449"/>
    <w:rsid w:val="00947479"/>
    <w:rsid w:val="009474AD"/>
    <w:rsid w:val="009474B8"/>
    <w:rsid w:val="009476A7"/>
    <w:rsid w:val="00947745"/>
    <w:rsid w:val="0094785A"/>
    <w:rsid w:val="00947918"/>
    <w:rsid w:val="0094795B"/>
    <w:rsid w:val="00947A06"/>
    <w:rsid w:val="00947A09"/>
    <w:rsid w:val="00947A26"/>
    <w:rsid w:val="00947CE4"/>
    <w:rsid w:val="00947CFC"/>
    <w:rsid w:val="00947D1B"/>
    <w:rsid w:val="00947D53"/>
    <w:rsid w:val="00947DBB"/>
    <w:rsid w:val="00947DDF"/>
    <w:rsid w:val="00947DF9"/>
    <w:rsid w:val="00947EC5"/>
    <w:rsid w:val="00947F0B"/>
    <w:rsid w:val="00947F71"/>
    <w:rsid w:val="00947FC1"/>
    <w:rsid w:val="00950001"/>
    <w:rsid w:val="0095000C"/>
    <w:rsid w:val="00950026"/>
    <w:rsid w:val="00950097"/>
    <w:rsid w:val="009500AB"/>
    <w:rsid w:val="009500CD"/>
    <w:rsid w:val="00950103"/>
    <w:rsid w:val="0095016B"/>
    <w:rsid w:val="00950176"/>
    <w:rsid w:val="00950193"/>
    <w:rsid w:val="009501A5"/>
    <w:rsid w:val="009502C8"/>
    <w:rsid w:val="009502F1"/>
    <w:rsid w:val="009503A4"/>
    <w:rsid w:val="009504CA"/>
    <w:rsid w:val="009504F1"/>
    <w:rsid w:val="00950578"/>
    <w:rsid w:val="00950687"/>
    <w:rsid w:val="0095092C"/>
    <w:rsid w:val="00950A71"/>
    <w:rsid w:val="00950AAE"/>
    <w:rsid w:val="00950AF7"/>
    <w:rsid w:val="00950B51"/>
    <w:rsid w:val="00950BB6"/>
    <w:rsid w:val="00950C2B"/>
    <w:rsid w:val="00950D28"/>
    <w:rsid w:val="00950D91"/>
    <w:rsid w:val="00950EB2"/>
    <w:rsid w:val="0095108A"/>
    <w:rsid w:val="00951112"/>
    <w:rsid w:val="00951135"/>
    <w:rsid w:val="00951193"/>
    <w:rsid w:val="009511B1"/>
    <w:rsid w:val="009511D9"/>
    <w:rsid w:val="0095123E"/>
    <w:rsid w:val="0095123F"/>
    <w:rsid w:val="0095124E"/>
    <w:rsid w:val="009512E1"/>
    <w:rsid w:val="00951326"/>
    <w:rsid w:val="0095146C"/>
    <w:rsid w:val="009514FA"/>
    <w:rsid w:val="00951589"/>
    <w:rsid w:val="009517A9"/>
    <w:rsid w:val="009517BE"/>
    <w:rsid w:val="009517F8"/>
    <w:rsid w:val="00951833"/>
    <w:rsid w:val="009518FC"/>
    <w:rsid w:val="00951970"/>
    <w:rsid w:val="009519C7"/>
    <w:rsid w:val="00951A27"/>
    <w:rsid w:val="00951A6F"/>
    <w:rsid w:val="00951A9C"/>
    <w:rsid w:val="00951AE8"/>
    <w:rsid w:val="00951AF9"/>
    <w:rsid w:val="00951B3E"/>
    <w:rsid w:val="00951B46"/>
    <w:rsid w:val="00951BC1"/>
    <w:rsid w:val="00951CF4"/>
    <w:rsid w:val="00951E3A"/>
    <w:rsid w:val="00951E41"/>
    <w:rsid w:val="00951E65"/>
    <w:rsid w:val="00951F02"/>
    <w:rsid w:val="00951F5E"/>
    <w:rsid w:val="00951F93"/>
    <w:rsid w:val="00952037"/>
    <w:rsid w:val="009520F7"/>
    <w:rsid w:val="009521B1"/>
    <w:rsid w:val="009521B4"/>
    <w:rsid w:val="00952239"/>
    <w:rsid w:val="009522FE"/>
    <w:rsid w:val="0095237E"/>
    <w:rsid w:val="00952440"/>
    <w:rsid w:val="0095246B"/>
    <w:rsid w:val="00952476"/>
    <w:rsid w:val="00952491"/>
    <w:rsid w:val="009524D8"/>
    <w:rsid w:val="0095251E"/>
    <w:rsid w:val="00952536"/>
    <w:rsid w:val="00952672"/>
    <w:rsid w:val="009526D3"/>
    <w:rsid w:val="00952711"/>
    <w:rsid w:val="0095273B"/>
    <w:rsid w:val="00952771"/>
    <w:rsid w:val="00952806"/>
    <w:rsid w:val="00952824"/>
    <w:rsid w:val="009528E0"/>
    <w:rsid w:val="009528E4"/>
    <w:rsid w:val="00952908"/>
    <w:rsid w:val="00952917"/>
    <w:rsid w:val="0095292B"/>
    <w:rsid w:val="009529F2"/>
    <w:rsid w:val="00952AA0"/>
    <w:rsid w:val="00952B39"/>
    <w:rsid w:val="00952BF3"/>
    <w:rsid w:val="00952C3E"/>
    <w:rsid w:val="00952CA0"/>
    <w:rsid w:val="00952CD1"/>
    <w:rsid w:val="00952D18"/>
    <w:rsid w:val="00952D31"/>
    <w:rsid w:val="00952DF1"/>
    <w:rsid w:val="00952E0D"/>
    <w:rsid w:val="00952E6F"/>
    <w:rsid w:val="00952EA7"/>
    <w:rsid w:val="00953032"/>
    <w:rsid w:val="00953053"/>
    <w:rsid w:val="009530E0"/>
    <w:rsid w:val="009530EE"/>
    <w:rsid w:val="009531A6"/>
    <w:rsid w:val="009531E8"/>
    <w:rsid w:val="0095324F"/>
    <w:rsid w:val="009533A9"/>
    <w:rsid w:val="00953447"/>
    <w:rsid w:val="0095351D"/>
    <w:rsid w:val="00953542"/>
    <w:rsid w:val="0095372C"/>
    <w:rsid w:val="00953784"/>
    <w:rsid w:val="009537A9"/>
    <w:rsid w:val="00953814"/>
    <w:rsid w:val="009538B9"/>
    <w:rsid w:val="009538E8"/>
    <w:rsid w:val="009538FB"/>
    <w:rsid w:val="0095397C"/>
    <w:rsid w:val="00953A67"/>
    <w:rsid w:val="00953B09"/>
    <w:rsid w:val="00953B81"/>
    <w:rsid w:val="00953B99"/>
    <w:rsid w:val="00953BB4"/>
    <w:rsid w:val="00953BFE"/>
    <w:rsid w:val="00953C05"/>
    <w:rsid w:val="00953C55"/>
    <w:rsid w:val="00953C60"/>
    <w:rsid w:val="00953D47"/>
    <w:rsid w:val="00953E82"/>
    <w:rsid w:val="00953EE8"/>
    <w:rsid w:val="00953F4E"/>
    <w:rsid w:val="00953F5C"/>
    <w:rsid w:val="00953F6E"/>
    <w:rsid w:val="00953FFE"/>
    <w:rsid w:val="0095405C"/>
    <w:rsid w:val="009540BA"/>
    <w:rsid w:val="009540C7"/>
    <w:rsid w:val="009540F9"/>
    <w:rsid w:val="0095416D"/>
    <w:rsid w:val="0095422D"/>
    <w:rsid w:val="00954233"/>
    <w:rsid w:val="0095426C"/>
    <w:rsid w:val="00954278"/>
    <w:rsid w:val="0095433B"/>
    <w:rsid w:val="00954382"/>
    <w:rsid w:val="00954395"/>
    <w:rsid w:val="0095441D"/>
    <w:rsid w:val="009544FD"/>
    <w:rsid w:val="0095450A"/>
    <w:rsid w:val="00954528"/>
    <w:rsid w:val="00954640"/>
    <w:rsid w:val="00954687"/>
    <w:rsid w:val="00954692"/>
    <w:rsid w:val="009546CF"/>
    <w:rsid w:val="00954774"/>
    <w:rsid w:val="009548BA"/>
    <w:rsid w:val="00954A53"/>
    <w:rsid w:val="00954AC4"/>
    <w:rsid w:val="00954AF8"/>
    <w:rsid w:val="00954B25"/>
    <w:rsid w:val="00954B60"/>
    <w:rsid w:val="00954B78"/>
    <w:rsid w:val="00954BB2"/>
    <w:rsid w:val="00954BF1"/>
    <w:rsid w:val="00954CB5"/>
    <w:rsid w:val="00954CB8"/>
    <w:rsid w:val="00954D1E"/>
    <w:rsid w:val="00954D7A"/>
    <w:rsid w:val="00954E99"/>
    <w:rsid w:val="00954F8D"/>
    <w:rsid w:val="00954F92"/>
    <w:rsid w:val="009551AB"/>
    <w:rsid w:val="009551EB"/>
    <w:rsid w:val="009552A1"/>
    <w:rsid w:val="00955312"/>
    <w:rsid w:val="0095532F"/>
    <w:rsid w:val="00955378"/>
    <w:rsid w:val="00955392"/>
    <w:rsid w:val="00955396"/>
    <w:rsid w:val="0095543B"/>
    <w:rsid w:val="0095547C"/>
    <w:rsid w:val="009554A3"/>
    <w:rsid w:val="009554D5"/>
    <w:rsid w:val="00955503"/>
    <w:rsid w:val="00955576"/>
    <w:rsid w:val="009556F8"/>
    <w:rsid w:val="0095571A"/>
    <w:rsid w:val="00955724"/>
    <w:rsid w:val="00955776"/>
    <w:rsid w:val="00955796"/>
    <w:rsid w:val="009557D8"/>
    <w:rsid w:val="00955878"/>
    <w:rsid w:val="009558B5"/>
    <w:rsid w:val="009559C9"/>
    <w:rsid w:val="00955A03"/>
    <w:rsid w:val="00955A11"/>
    <w:rsid w:val="00955A25"/>
    <w:rsid w:val="00955C72"/>
    <w:rsid w:val="00955C95"/>
    <w:rsid w:val="00955D1C"/>
    <w:rsid w:val="00955D3A"/>
    <w:rsid w:val="00955D6D"/>
    <w:rsid w:val="00955DAE"/>
    <w:rsid w:val="00955DE8"/>
    <w:rsid w:val="00955E92"/>
    <w:rsid w:val="00955EF6"/>
    <w:rsid w:val="00955F76"/>
    <w:rsid w:val="00955FAD"/>
    <w:rsid w:val="00955FB6"/>
    <w:rsid w:val="0095604F"/>
    <w:rsid w:val="009560C2"/>
    <w:rsid w:val="0095616F"/>
    <w:rsid w:val="009561A5"/>
    <w:rsid w:val="009561FD"/>
    <w:rsid w:val="00956337"/>
    <w:rsid w:val="00956404"/>
    <w:rsid w:val="00956448"/>
    <w:rsid w:val="00956474"/>
    <w:rsid w:val="0095647E"/>
    <w:rsid w:val="00956490"/>
    <w:rsid w:val="00956543"/>
    <w:rsid w:val="009565AC"/>
    <w:rsid w:val="009565C0"/>
    <w:rsid w:val="0095664F"/>
    <w:rsid w:val="0095667F"/>
    <w:rsid w:val="009566B3"/>
    <w:rsid w:val="009566D3"/>
    <w:rsid w:val="0095674F"/>
    <w:rsid w:val="00956784"/>
    <w:rsid w:val="009567BB"/>
    <w:rsid w:val="00956A3D"/>
    <w:rsid w:val="00956A58"/>
    <w:rsid w:val="00956A8A"/>
    <w:rsid w:val="00956AD9"/>
    <w:rsid w:val="00956BE6"/>
    <w:rsid w:val="00956C89"/>
    <w:rsid w:val="00956CCB"/>
    <w:rsid w:val="00956D09"/>
    <w:rsid w:val="00956E26"/>
    <w:rsid w:val="00956E74"/>
    <w:rsid w:val="00956EDA"/>
    <w:rsid w:val="00956FBC"/>
    <w:rsid w:val="00957000"/>
    <w:rsid w:val="0095700D"/>
    <w:rsid w:val="00957018"/>
    <w:rsid w:val="00957020"/>
    <w:rsid w:val="00957057"/>
    <w:rsid w:val="0095705D"/>
    <w:rsid w:val="0095708A"/>
    <w:rsid w:val="009570A8"/>
    <w:rsid w:val="009570BE"/>
    <w:rsid w:val="0095710D"/>
    <w:rsid w:val="00957133"/>
    <w:rsid w:val="00957145"/>
    <w:rsid w:val="0095714A"/>
    <w:rsid w:val="00957199"/>
    <w:rsid w:val="0095728E"/>
    <w:rsid w:val="009572AB"/>
    <w:rsid w:val="009572BC"/>
    <w:rsid w:val="009572D1"/>
    <w:rsid w:val="009573E5"/>
    <w:rsid w:val="0095749F"/>
    <w:rsid w:val="009574B8"/>
    <w:rsid w:val="00957511"/>
    <w:rsid w:val="00957682"/>
    <w:rsid w:val="00957773"/>
    <w:rsid w:val="009577C2"/>
    <w:rsid w:val="0095783F"/>
    <w:rsid w:val="009578EE"/>
    <w:rsid w:val="00957AA2"/>
    <w:rsid w:val="00957AD4"/>
    <w:rsid w:val="00957B75"/>
    <w:rsid w:val="00957B8B"/>
    <w:rsid w:val="00957BEF"/>
    <w:rsid w:val="00957D8E"/>
    <w:rsid w:val="00957DBE"/>
    <w:rsid w:val="00957DC1"/>
    <w:rsid w:val="00957DC3"/>
    <w:rsid w:val="00957F16"/>
    <w:rsid w:val="00957F5A"/>
    <w:rsid w:val="00957F91"/>
    <w:rsid w:val="00957F9B"/>
    <w:rsid w:val="0096007F"/>
    <w:rsid w:val="009600C8"/>
    <w:rsid w:val="0096011C"/>
    <w:rsid w:val="00960121"/>
    <w:rsid w:val="00960168"/>
    <w:rsid w:val="009601F9"/>
    <w:rsid w:val="00960214"/>
    <w:rsid w:val="009602D0"/>
    <w:rsid w:val="009602DE"/>
    <w:rsid w:val="00960383"/>
    <w:rsid w:val="009603CA"/>
    <w:rsid w:val="009603FF"/>
    <w:rsid w:val="0096055B"/>
    <w:rsid w:val="0096057D"/>
    <w:rsid w:val="009605DD"/>
    <w:rsid w:val="0096062A"/>
    <w:rsid w:val="00960665"/>
    <w:rsid w:val="00960777"/>
    <w:rsid w:val="009607CE"/>
    <w:rsid w:val="0096087D"/>
    <w:rsid w:val="009608B7"/>
    <w:rsid w:val="00960942"/>
    <w:rsid w:val="009609D7"/>
    <w:rsid w:val="00960A12"/>
    <w:rsid w:val="00960A89"/>
    <w:rsid w:val="00960ABB"/>
    <w:rsid w:val="00960AE2"/>
    <w:rsid w:val="00960B0D"/>
    <w:rsid w:val="00960B42"/>
    <w:rsid w:val="00960B8E"/>
    <w:rsid w:val="00960C02"/>
    <w:rsid w:val="00960C10"/>
    <w:rsid w:val="00960D46"/>
    <w:rsid w:val="00960D76"/>
    <w:rsid w:val="00960E34"/>
    <w:rsid w:val="00960EAD"/>
    <w:rsid w:val="00960EB4"/>
    <w:rsid w:val="00960EE3"/>
    <w:rsid w:val="00960F15"/>
    <w:rsid w:val="00960F32"/>
    <w:rsid w:val="0096109F"/>
    <w:rsid w:val="00961140"/>
    <w:rsid w:val="009611E0"/>
    <w:rsid w:val="00961372"/>
    <w:rsid w:val="0096143E"/>
    <w:rsid w:val="00961540"/>
    <w:rsid w:val="00961550"/>
    <w:rsid w:val="0096160A"/>
    <w:rsid w:val="00961612"/>
    <w:rsid w:val="00961670"/>
    <w:rsid w:val="00961724"/>
    <w:rsid w:val="00961728"/>
    <w:rsid w:val="00961739"/>
    <w:rsid w:val="00961760"/>
    <w:rsid w:val="00961761"/>
    <w:rsid w:val="0096180D"/>
    <w:rsid w:val="00961817"/>
    <w:rsid w:val="009618B7"/>
    <w:rsid w:val="009618B9"/>
    <w:rsid w:val="009618F4"/>
    <w:rsid w:val="00961952"/>
    <w:rsid w:val="009619DA"/>
    <w:rsid w:val="009619F9"/>
    <w:rsid w:val="00961A62"/>
    <w:rsid w:val="00961AD6"/>
    <w:rsid w:val="00961BFE"/>
    <w:rsid w:val="00961C00"/>
    <w:rsid w:val="00961CD2"/>
    <w:rsid w:val="00961CEC"/>
    <w:rsid w:val="00961CF5"/>
    <w:rsid w:val="00961D7F"/>
    <w:rsid w:val="00961D97"/>
    <w:rsid w:val="00961D9C"/>
    <w:rsid w:val="00961DE2"/>
    <w:rsid w:val="00961E13"/>
    <w:rsid w:val="00961E4F"/>
    <w:rsid w:val="00961E86"/>
    <w:rsid w:val="00961E98"/>
    <w:rsid w:val="00961EA4"/>
    <w:rsid w:val="00961F1A"/>
    <w:rsid w:val="00961F3D"/>
    <w:rsid w:val="00961F3E"/>
    <w:rsid w:val="00961F4B"/>
    <w:rsid w:val="00961F94"/>
    <w:rsid w:val="009620BC"/>
    <w:rsid w:val="00962167"/>
    <w:rsid w:val="009621C7"/>
    <w:rsid w:val="00962259"/>
    <w:rsid w:val="00962266"/>
    <w:rsid w:val="0096234F"/>
    <w:rsid w:val="0096235B"/>
    <w:rsid w:val="009623E0"/>
    <w:rsid w:val="00962448"/>
    <w:rsid w:val="009624FD"/>
    <w:rsid w:val="0096252E"/>
    <w:rsid w:val="00962543"/>
    <w:rsid w:val="009625F6"/>
    <w:rsid w:val="0096261E"/>
    <w:rsid w:val="0096265B"/>
    <w:rsid w:val="00962670"/>
    <w:rsid w:val="00962681"/>
    <w:rsid w:val="009626D3"/>
    <w:rsid w:val="0096270C"/>
    <w:rsid w:val="0096274B"/>
    <w:rsid w:val="009627B1"/>
    <w:rsid w:val="00962822"/>
    <w:rsid w:val="00962868"/>
    <w:rsid w:val="00962988"/>
    <w:rsid w:val="00962A22"/>
    <w:rsid w:val="00962A86"/>
    <w:rsid w:val="00962B25"/>
    <w:rsid w:val="00962B30"/>
    <w:rsid w:val="00962B51"/>
    <w:rsid w:val="00962BD8"/>
    <w:rsid w:val="00962DA3"/>
    <w:rsid w:val="00962E00"/>
    <w:rsid w:val="00962E17"/>
    <w:rsid w:val="00962E2C"/>
    <w:rsid w:val="00962E98"/>
    <w:rsid w:val="00962FAB"/>
    <w:rsid w:val="00962FDC"/>
    <w:rsid w:val="00963011"/>
    <w:rsid w:val="00963032"/>
    <w:rsid w:val="009630A1"/>
    <w:rsid w:val="009631D6"/>
    <w:rsid w:val="009633B8"/>
    <w:rsid w:val="009633BC"/>
    <w:rsid w:val="009633E4"/>
    <w:rsid w:val="009633E7"/>
    <w:rsid w:val="0096343B"/>
    <w:rsid w:val="00963601"/>
    <w:rsid w:val="0096363A"/>
    <w:rsid w:val="0096364B"/>
    <w:rsid w:val="00963678"/>
    <w:rsid w:val="00963681"/>
    <w:rsid w:val="00963729"/>
    <w:rsid w:val="00963742"/>
    <w:rsid w:val="00963769"/>
    <w:rsid w:val="009637D4"/>
    <w:rsid w:val="00963896"/>
    <w:rsid w:val="009638F2"/>
    <w:rsid w:val="009639C2"/>
    <w:rsid w:val="00963A4F"/>
    <w:rsid w:val="00963AB3"/>
    <w:rsid w:val="00963B08"/>
    <w:rsid w:val="00963B3D"/>
    <w:rsid w:val="00963C2A"/>
    <w:rsid w:val="00963D04"/>
    <w:rsid w:val="00963D2B"/>
    <w:rsid w:val="00963D43"/>
    <w:rsid w:val="00963D49"/>
    <w:rsid w:val="00963D63"/>
    <w:rsid w:val="00963DB3"/>
    <w:rsid w:val="00963DF8"/>
    <w:rsid w:val="00963F65"/>
    <w:rsid w:val="00963F7A"/>
    <w:rsid w:val="00963FE2"/>
    <w:rsid w:val="00964005"/>
    <w:rsid w:val="00964069"/>
    <w:rsid w:val="00964072"/>
    <w:rsid w:val="009640BF"/>
    <w:rsid w:val="0096417E"/>
    <w:rsid w:val="00964244"/>
    <w:rsid w:val="0096433F"/>
    <w:rsid w:val="009643EA"/>
    <w:rsid w:val="0096440B"/>
    <w:rsid w:val="0096451B"/>
    <w:rsid w:val="009646B0"/>
    <w:rsid w:val="009646C5"/>
    <w:rsid w:val="00964741"/>
    <w:rsid w:val="009647B7"/>
    <w:rsid w:val="009647C5"/>
    <w:rsid w:val="009647EB"/>
    <w:rsid w:val="00964824"/>
    <w:rsid w:val="0096483B"/>
    <w:rsid w:val="009648B5"/>
    <w:rsid w:val="0096493F"/>
    <w:rsid w:val="009649CA"/>
    <w:rsid w:val="009649F8"/>
    <w:rsid w:val="00964A6B"/>
    <w:rsid w:val="00964A8F"/>
    <w:rsid w:val="00964C62"/>
    <w:rsid w:val="00964C64"/>
    <w:rsid w:val="00964C70"/>
    <w:rsid w:val="00964D01"/>
    <w:rsid w:val="00964D40"/>
    <w:rsid w:val="00964E0E"/>
    <w:rsid w:val="00964E89"/>
    <w:rsid w:val="00964EFE"/>
    <w:rsid w:val="00964F74"/>
    <w:rsid w:val="00965001"/>
    <w:rsid w:val="009650AA"/>
    <w:rsid w:val="009650EF"/>
    <w:rsid w:val="00965124"/>
    <w:rsid w:val="0096513C"/>
    <w:rsid w:val="009651E7"/>
    <w:rsid w:val="009651F6"/>
    <w:rsid w:val="0096523B"/>
    <w:rsid w:val="00965282"/>
    <w:rsid w:val="00965376"/>
    <w:rsid w:val="00965386"/>
    <w:rsid w:val="00965493"/>
    <w:rsid w:val="009654DC"/>
    <w:rsid w:val="009655AE"/>
    <w:rsid w:val="009655CA"/>
    <w:rsid w:val="0096561D"/>
    <w:rsid w:val="009656FA"/>
    <w:rsid w:val="0096572C"/>
    <w:rsid w:val="00965897"/>
    <w:rsid w:val="0096593C"/>
    <w:rsid w:val="0096594A"/>
    <w:rsid w:val="00965A32"/>
    <w:rsid w:val="00965BD7"/>
    <w:rsid w:val="00965C15"/>
    <w:rsid w:val="00965E38"/>
    <w:rsid w:val="00965E39"/>
    <w:rsid w:val="00965F76"/>
    <w:rsid w:val="00965FB8"/>
    <w:rsid w:val="00965FEB"/>
    <w:rsid w:val="00966031"/>
    <w:rsid w:val="00966082"/>
    <w:rsid w:val="009660D8"/>
    <w:rsid w:val="009660DC"/>
    <w:rsid w:val="009661AE"/>
    <w:rsid w:val="009662A4"/>
    <w:rsid w:val="009662D1"/>
    <w:rsid w:val="00966357"/>
    <w:rsid w:val="00966406"/>
    <w:rsid w:val="00966468"/>
    <w:rsid w:val="0096648E"/>
    <w:rsid w:val="009665B1"/>
    <w:rsid w:val="009665E6"/>
    <w:rsid w:val="009665EA"/>
    <w:rsid w:val="00966612"/>
    <w:rsid w:val="0096670B"/>
    <w:rsid w:val="00966811"/>
    <w:rsid w:val="00966925"/>
    <w:rsid w:val="0096697C"/>
    <w:rsid w:val="00966A40"/>
    <w:rsid w:val="00966A51"/>
    <w:rsid w:val="00966AEA"/>
    <w:rsid w:val="00966BB6"/>
    <w:rsid w:val="00966CC3"/>
    <w:rsid w:val="00966CDE"/>
    <w:rsid w:val="00966D1D"/>
    <w:rsid w:val="00966DBF"/>
    <w:rsid w:val="00966E15"/>
    <w:rsid w:val="00966E24"/>
    <w:rsid w:val="00966E3E"/>
    <w:rsid w:val="00966EF8"/>
    <w:rsid w:val="00966F8B"/>
    <w:rsid w:val="00966FBA"/>
    <w:rsid w:val="00967046"/>
    <w:rsid w:val="0096704B"/>
    <w:rsid w:val="009670B9"/>
    <w:rsid w:val="00967146"/>
    <w:rsid w:val="00967204"/>
    <w:rsid w:val="00967341"/>
    <w:rsid w:val="0096734B"/>
    <w:rsid w:val="0096734C"/>
    <w:rsid w:val="009673CC"/>
    <w:rsid w:val="00967438"/>
    <w:rsid w:val="00967439"/>
    <w:rsid w:val="00967464"/>
    <w:rsid w:val="009674C1"/>
    <w:rsid w:val="0096750F"/>
    <w:rsid w:val="00967571"/>
    <w:rsid w:val="00967574"/>
    <w:rsid w:val="00967601"/>
    <w:rsid w:val="00967623"/>
    <w:rsid w:val="0096765D"/>
    <w:rsid w:val="00967662"/>
    <w:rsid w:val="00967686"/>
    <w:rsid w:val="00967687"/>
    <w:rsid w:val="009676BD"/>
    <w:rsid w:val="00967730"/>
    <w:rsid w:val="00967754"/>
    <w:rsid w:val="00967758"/>
    <w:rsid w:val="00967799"/>
    <w:rsid w:val="009677C4"/>
    <w:rsid w:val="00967856"/>
    <w:rsid w:val="009679A6"/>
    <w:rsid w:val="009679D8"/>
    <w:rsid w:val="009679E2"/>
    <w:rsid w:val="00967A81"/>
    <w:rsid w:val="00967B25"/>
    <w:rsid w:val="00967B4B"/>
    <w:rsid w:val="00967B5A"/>
    <w:rsid w:val="00967CE4"/>
    <w:rsid w:val="00967D17"/>
    <w:rsid w:val="00967DEA"/>
    <w:rsid w:val="00967DF6"/>
    <w:rsid w:val="00967E6F"/>
    <w:rsid w:val="00967F2E"/>
    <w:rsid w:val="00967F49"/>
    <w:rsid w:val="00967F90"/>
    <w:rsid w:val="0097001A"/>
    <w:rsid w:val="0097001F"/>
    <w:rsid w:val="00970091"/>
    <w:rsid w:val="00970092"/>
    <w:rsid w:val="00970119"/>
    <w:rsid w:val="00970124"/>
    <w:rsid w:val="009701A3"/>
    <w:rsid w:val="009701B5"/>
    <w:rsid w:val="009701C7"/>
    <w:rsid w:val="00970217"/>
    <w:rsid w:val="0097021A"/>
    <w:rsid w:val="00970233"/>
    <w:rsid w:val="0097033A"/>
    <w:rsid w:val="00970397"/>
    <w:rsid w:val="0097048D"/>
    <w:rsid w:val="009704EB"/>
    <w:rsid w:val="00970664"/>
    <w:rsid w:val="0097077A"/>
    <w:rsid w:val="00970867"/>
    <w:rsid w:val="00970918"/>
    <w:rsid w:val="00970A09"/>
    <w:rsid w:val="00970A18"/>
    <w:rsid w:val="00970A52"/>
    <w:rsid w:val="00970A6C"/>
    <w:rsid w:val="00970A75"/>
    <w:rsid w:val="00970AC7"/>
    <w:rsid w:val="00970B2C"/>
    <w:rsid w:val="00970BA4"/>
    <w:rsid w:val="00970BCB"/>
    <w:rsid w:val="00970BDD"/>
    <w:rsid w:val="00970CD3"/>
    <w:rsid w:val="00970D06"/>
    <w:rsid w:val="00970D2E"/>
    <w:rsid w:val="00970D34"/>
    <w:rsid w:val="00970D89"/>
    <w:rsid w:val="00970E0E"/>
    <w:rsid w:val="00970E35"/>
    <w:rsid w:val="00970E6E"/>
    <w:rsid w:val="00970E91"/>
    <w:rsid w:val="00970F7A"/>
    <w:rsid w:val="00970F8E"/>
    <w:rsid w:val="00970F9C"/>
    <w:rsid w:val="00970FC7"/>
    <w:rsid w:val="00970FDD"/>
    <w:rsid w:val="0097105B"/>
    <w:rsid w:val="00971072"/>
    <w:rsid w:val="009710B6"/>
    <w:rsid w:val="009710DB"/>
    <w:rsid w:val="009711CE"/>
    <w:rsid w:val="009711D8"/>
    <w:rsid w:val="00971366"/>
    <w:rsid w:val="00971380"/>
    <w:rsid w:val="009713F5"/>
    <w:rsid w:val="00971404"/>
    <w:rsid w:val="00971464"/>
    <w:rsid w:val="0097147F"/>
    <w:rsid w:val="009714BB"/>
    <w:rsid w:val="00971584"/>
    <w:rsid w:val="0097159A"/>
    <w:rsid w:val="009715B0"/>
    <w:rsid w:val="009715B1"/>
    <w:rsid w:val="009715E4"/>
    <w:rsid w:val="00971615"/>
    <w:rsid w:val="00971649"/>
    <w:rsid w:val="00971799"/>
    <w:rsid w:val="009717B4"/>
    <w:rsid w:val="009717F0"/>
    <w:rsid w:val="00971833"/>
    <w:rsid w:val="009718B0"/>
    <w:rsid w:val="009718D2"/>
    <w:rsid w:val="009718EA"/>
    <w:rsid w:val="00971933"/>
    <w:rsid w:val="00971987"/>
    <w:rsid w:val="009719D7"/>
    <w:rsid w:val="00971A5B"/>
    <w:rsid w:val="00971A78"/>
    <w:rsid w:val="00971C0A"/>
    <w:rsid w:val="00971CBA"/>
    <w:rsid w:val="00971CCF"/>
    <w:rsid w:val="00971DE3"/>
    <w:rsid w:val="00971EA7"/>
    <w:rsid w:val="00971EB4"/>
    <w:rsid w:val="00971F5E"/>
    <w:rsid w:val="00971FB0"/>
    <w:rsid w:val="00971FCF"/>
    <w:rsid w:val="0097202E"/>
    <w:rsid w:val="0097205C"/>
    <w:rsid w:val="00972081"/>
    <w:rsid w:val="009720A2"/>
    <w:rsid w:val="00972101"/>
    <w:rsid w:val="0097210F"/>
    <w:rsid w:val="00972200"/>
    <w:rsid w:val="00972206"/>
    <w:rsid w:val="0097220B"/>
    <w:rsid w:val="0097222F"/>
    <w:rsid w:val="00972266"/>
    <w:rsid w:val="00972279"/>
    <w:rsid w:val="0097234B"/>
    <w:rsid w:val="0097236E"/>
    <w:rsid w:val="009723AB"/>
    <w:rsid w:val="009723D6"/>
    <w:rsid w:val="00972475"/>
    <w:rsid w:val="0097252A"/>
    <w:rsid w:val="00972530"/>
    <w:rsid w:val="00972621"/>
    <w:rsid w:val="0097271D"/>
    <w:rsid w:val="0097276B"/>
    <w:rsid w:val="00972819"/>
    <w:rsid w:val="0097288C"/>
    <w:rsid w:val="009728D3"/>
    <w:rsid w:val="00972900"/>
    <w:rsid w:val="009729AF"/>
    <w:rsid w:val="009729CD"/>
    <w:rsid w:val="009729F1"/>
    <w:rsid w:val="00972A3C"/>
    <w:rsid w:val="00972A44"/>
    <w:rsid w:val="00972AD3"/>
    <w:rsid w:val="00972AE4"/>
    <w:rsid w:val="00972C95"/>
    <w:rsid w:val="00972D31"/>
    <w:rsid w:val="00972D9A"/>
    <w:rsid w:val="00972DCE"/>
    <w:rsid w:val="00972DE5"/>
    <w:rsid w:val="00972E40"/>
    <w:rsid w:val="00972EE8"/>
    <w:rsid w:val="00972F15"/>
    <w:rsid w:val="00972F2C"/>
    <w:rsid w:val="00972F81"/>
    <w:rsid w:val="00973006"/>
    <w:rsid w:val="00973013"/>
    <w:rsid w:val="009730E2"/>
    <w:rsid w:val="009730E5"/>
    <w:rsid w:val="0097310F"/>
    <w:rsid w:val="0097312C"/>
    <w:rsid w:val="0097316B"/>
    <w:rsid w:val="009731C8"/>
    <w:rsid w:val="009731EC"/>
    <w:rsid w:val="009731FF"/>
    <w:rsid w:val="00973216"/>
    <w:rsid w:val="009732E0"/>
    <w:rsid w:val="009732F4"/>
    <w:rsid w:val="00973373"/>
    <w:rsid w:val="00973438"/>
    <w:rsid w:val="009734A4"/>
    <w:rsid w:val="0097350E"/>
    <w:rsid w:val="009735D8"/>
    <w:rsid w:val="009735E9"/>
    <w:rsid w:val="00973605"/>
    <w:rsid w:val="009736A2"/>
    <w:rsid w:val="009736F5"/>
    <w:rsid w:val="00973716"/>
    <w:rsid w:val="00973764"/>
    <w:rsid w:val="009737CF"/>
    <w:rsid w:val="0097387A"/>
    <w:rsid w:val="0097389F"/>
    <w:rsid w:val="009738BB"/>
    <w:rsid w:val="00973926"/>
    <w:rsid w:val="00973991"/>
    <w:rsid w:val="009739F3"/>
    <w:rsid w:val="00973A16"/>
    <w:rsid w:val="00973A1E"/>
    <w:rsid w:val="00973A2F"/>
    <w:rsid w:val="00973A7E"/>
    <w:rsid w:val="00973ACD"/>
    <w:rsid w:val="00973C51"/>
    <w:rsid w:val="00973CFD"/>
    <w:rsid w:val="00973D3F"/>
    <w:rsid w:val="00973DF6"/>
    <w:rsid w:val="00973E7D"/>
    <w:rsid w:val="00973F19"/>
    <w:rsid w:val="00973F1B"/>
    <w:rsid w:val="00974030"/>
    <w:rsid w:val="0097409A"/>
    <w:rsid w:val="0097411F"/>
    <w:rsid w:val="0097412E"/>
    <w:rsid w:val="00974183"/>
    <w:rsid w:val="009741CE"/>
    <w:rsid w:val="009742D4"/>
    <w:rsid w:val="00974453"/>
    <w:rsid w:val="009744C7"/>
    <w:rsid w:val="0097450F"/>
    <w:rsid w:val="0097454F"/>
    <w:rsid w:val="009745A5"/>
    <w:rsid w:val="0097463C"/>
    <w:rsid w:val="00974693"/>
    <w:rsid w:val="00974701"/>
    <w:rsid w:val="0097471A"/>
    <w:rsid w:val="0097474B"/>
    <w:rsid w:val="009747A1"/>
    <w:rsid w:val="009747AE"/>
    <w:rsid w:val="009748BB"/>
    <w:rsid w:val="00974A39"/>
    <w:rsid w:val="00974ABB"/>
    <w:rsid w:val="00974B86"/>
    <w:rsid w:val="00974C08"/>
    <w:rsid w:val="00974CE0"/>
    <w:rsid w:val="00974D8A"/>
    <w:rsid w:val="00974D9D"/>
    <w:rsid w:val="00974DC4"/>
    <w:rsid w:val="00974DD3"/>
    <w:rsid w:val="00974F02"/>
    <w:rsid w:val="00974F51"/>
    <w:rsid w:val="00974F73"/>
    <w:rsid w:val="00974F9B"/>
    <w:rsid w:val="00974FA9"/>
    <w:rsid w:val="00974FAC"/>
    <w:rsid w:val="009750DF"/>
    <w:rsid w:val="00975128"/>
    <w:rsid w:val="009751AA"/>
    <w:rsid w:val="009751B0"/>
    <w:rsid w:val="009751E0"/>
    <w:rsid w:val="0097526D"/>
    <w:rsid w:val="00975281"/>
    <w:rsid w:val="009752E9"/>
    <w:rsid w:val="00975373"/>
    <w:rsid w:val="00975397"/>
    <w:rsid w:val="009753C5"/>
    <w:rsid w:val="0097540F"/>
    <w:rsid w:val="00975424"/>
    <w:rsid w:val="00975452"/>
    <w:rsid w:val="00975470"/>
    <w:rsid w:val="00975471"/>
    <w:rsid w:val="00975475"/>
    <w:rsid w:val="00975541"/>
    <w:rsid w:val="009755E9"/>
    <w:rsid w:val="00975617"/>
    <w:rsid w:val="00975659"/>
    <w:rsid w:val="009756A3"/>
    <w:rsid w:val="009756B6"/>
    <w:rsid w:val="00975790"/>
    <w:rsid w:val="009757B8"/>
    <w:rsid w:val="009757ED"/>
    <w:rsid w:val="00975877"/>
    <w:rsid w:val="00975926"/>
    <w:rsid w:val="009759DA"/>
    <w:rsid w:val="009759E3"/>
    <w:rsid w:val="00975A3B"/>
    <w:rsid w:val="00975AA0"/>
    <w:rsid w:val="00975ACF"/>
    <w:rsid w:val="00975B05"/>
    <w:rsid w:val="00975B78"/>
    <w:rsid w:val="00975C8E"/>
    <w:rsid w:val="00975CF8"/>
    <w:rsid w:val="00975D16"/>
    <w:rsid w:val="00975D27"/>
    <w:rsid w:val="00975DD4"/>
    <w:rsid w:val="00975DFF"/>
    <w:rsid w:val="00975E69"/>
    <w:rsid w:val="00975E91"/>
    <w:rsid w:val="00975F67"/>
    <w:rsid w:val="00975FDF"/>
    <w:rsid w:val="009760DA"/>
    <w:rsid w:val="0097617E"/>
    <w:rsid w:val="009761E9"/>
    <w:rsid w:val="0097622D"/>
    <w:rsid w:val="00976230"/>
    <w:rsid w:val="009762AD"/>
    <w:rsid w:val="009763C8"/>
    <w:rsid w:val="009763D2"/>
    <w:rsid w:val="00976477"/>
    <w:rsid w:val="009764B6"/>
    <w:rsid w:val="009764C8"/>
    <w:rsid w:val="00976636"/>
    <w:rsid w:val="00976680"/>
    <w:rsid w:val="009766A2"/>
    <w:rsid w:val="009766E8"/>
    <w:rsid w:val="0097682D"/>
    <w:rsid w:val="009768AF"/>
    <w:rsid w:val="00976ADA"/>
    <w:rsid w:val="00976B7A"/>
    <w:rsid w:val="00976BA2"/>
    <w:rsid w:val="00976BBB"/>
    <w:rsid w:val="00976D7C"/>
    <w:rsid w:val="00976DC2"/>
    <w:rsid w:val="00976DDB"/>
    <w:rsid w:val="00976E26"/>
    <w:rsid w:val="00976EC0"/>
    <w:rsid w:val="00976EF1"/>
    <w:rsid w:val="00976FE2"/>
    <w:rsid w:val="0097702A"/>
    <w:rsid w:val="00977079"/>
    <w:rsid w:val="009770E4"/>
    <w:rsid w:val="00977191"/>
    <w:rsid w:val="009771C6"/>
    <w:rsid w:val="00977264"/>
    <w:rsid w:val="009772CD"/>
    <w:rsid w:val="009772EB"/>
    <w:rsid w:val="009773AD"/>
    <w:rsid w:val="00977504"/>
    <w:rsid w:val="00977560"/>
    <w:rsid w:val="00977576"/>
    <w:rsid w:val="009775C5"/>
    <w:rsid w:val="0097766E"/>
    <w:rsid w:val="009776EA"/>
    <w:rsid w:val="00977712"/>
    <w:rsid w:val="00977804"/>
    <w:rsid w:val="00977843"/>
    <w:rsid w:val="00977848"/>
    <w:rsid w:val="009778C0"/>
    <w:rsid w:val="0097790D"/>
    <w:rsid w:val="009779D4"/>
    <w:rsid w:val="009779F9"/>
    <w:rsid w:val="00977A55"/>
    <w:rsid w:val="00977AB6"/>
    <w:rsid w:val="00977B34"/>
    <w:rsid w:val="00977B37"/>
    <w:rsid w:val="00977BB1"/>
    <w:rsid w:val="00977C48"/>
    <w:rsid w:val="00977D68"/>
    <w:rsid w:val="00977DA0"/>
    <w:rsid w:val="00977E5E"/>
    <w:rsid w:val="00977ECD"/>
    <w:rsid w:val="00977F02"/>
    <w:rsid w:val="00980053"/>
    <w:rsid w:val="0098006E"/>
    <w:rsid w:val="0098009F"/>
    <w:rsid w:val="009801B6"/>
    <w:rsid w:val="009801CF"/>
    <w:rsid w:val="00980367"/>
    <w:rsid w:val="00980397"/>
    <w:rsid w:val="009803BC"/>
    <w:rsid w:val="00980571"/>
    <w:rsid w:val="009805B3"/>
    <w:rsid w:val="009805C4"/>
    <w:rsid w:val="009805FC"/>
    <w:rsid w:val="009805FD"/>
    <w:rsid w:val="009806B6"/>
    <w:rsid w:val="009806FD"/>
    <w:rsid w:val="00980757"/>
    <w:rsid w:val="009807C8"/>
    <w:rsid w:val="009807CF"/>
    <w:rsid w:val="009807D1"/>
    <w:rsid w:val="009808B2"/>
    <w:rsid w:val="00980904"/>
    <w:rsid w:val="0098095A"/>
    <w:rsid w:val="00980B29"/>
    <w:rsid w:val="00980B4C"/>
    <w:rsid w:val="00980C77"/>
    <w:rsid w:val="00980D20"/>
    <w:rsid w:val="00980D2B"/>
    <w:rsid w:val="00980E83"/>
    <w:rsid w:val="00980EC2"/>
    <w:rsid w:val="00980F2B"/>
    <w:rsid w:val="00980F42"/>
    <w:rsid w:val="00981018"/>
    <w:rsid w:val="0098104A"/>
    <w:rsid w:val="009810A9"/>
    <w:rsid w:val="009810F1"/>
    <w:rsid w:val="00981137"/>
    <w:rsid w:val="00981142"/>
    <w:rsid w:val="009811E3"/>
    <w:rsid w:val="00981202"/>
    <w:rsid w:val="0098123D"/>
    <w:rsid w:val="0098129F"/>
    <w:rsid w:val="00981316"/>
    <w:rsid w:val="00981329"/>
    <w:rsid w:val="00981357"/>
    <w:rsid w:val="009813DE"/>
    <w:rsid w:val="00981490"/>
    <w:rsid w:val="009814F8"/>
    <w:rsid w:val="0098151E"/>
    <w:rsid w:val="009815FD"/>
    <w:rsid w:val="0098161D"/>
    <w:rsid w:val="00981647"/>
    <w:rsid w:val="00981746"/>
    <w:rsid w:val="00981763"/>
    <w:rsid w:val="0098185F"/>
    <w:rsid w:val="00981904"/>
    <w:rsid w:val="00981953"/>
    <w:rsid w:val="00981A03"/>
    <w:rsid w:val="00981A14"/>
    <w:rsid w:val="00981A57"/>
    <w:rsid w:val="00981ADB"/>
    <w:rsid w:val="00981B2B"/>
    <w:rsid w:val="00981B3A"/>
    <w:rsid w:val="00981C58"/>
    <w:rsid w:val="00981C6B"/>
    <w:rsid w:val="00981C7B"/>
    <w:rsid w:val="00981CE4"/>
    <w:rsid w:val="00981D3D"/>
    <w:rsid w:val="00981D48"/>
    <w:rsid w:val="00981D4F"/>
    <w:rsid w:val="00981E07"/>
    <w:rsid w:val="00981E62"/>
    <w:rsid w:val="00981EA7"/>
    <w:rsid w:val="00981ED7"/>
    <w:rsid w:val="00981EE0"/>
    <w:rsid w:val="00981FBC"/>
    <w:rsid w:val="0098203F"/>
    <w:rsid w:val="0098209C"/>
    <w:rsid w:val="009820E4"/>
    <w:rsid w:val="00982259"/>
    <w:rsid w:val="00982260"/>
    <w:rsid w:val="009822C7"/>
    <w:rsid w:val="009822E7"/>
    <w:rsid w:val="00982312"/>
    <w:rsid w:val="0098234F"/>
    <w:rsid w:val="00982372"/>
    <w:rsid w:val="009823F8"/>
    <w:rsid w:val="00982416"/>
    <w:rsid w:val="00982439"/>
    <w:rsid w:val="009824A8"/>
    <w:rsid w:val="00982571"/>
    <w:rsid w:val="00982591"/>
    <w:rsid w:val="0098260C"/>
    <w:rsid w:val="0098261C"/>
    <w:rsid w:val="0098261F"/>
    <w:rsid w:val="0098266C"/>
    <w:rsid w:val="009826ED"/>
    <w:rsid w:val="00982714"/>
    <w:rsid w:val="0098271C"/>
    <w:rsid w:val="00982780"/>
    <w:rsid w:val="00982797"/>
    <w:rsid w:val="0098282E"/>
    <w:rsid w:val="009828ED"/>
    <w:rsid w:val="009828F6"/>
    <w:rsid w:val="0098296E"/>
    <w:rsid w:val="00982A1F"/>
    <w:rsid w:val="00982A79"/>
    <w:rsid w:val="00982B50"/>
    <w:rsid w:val="00982BA4"/>
    <w:rsid w:val="00982C11"/>
    <w:rsid w:val="00982CAE"/>
    <w:rsid w:val="00982CCD"/>
    <w:rsid w:val="00982D80"/>
    <w:rsid w:val="00982E40"/>
    <w:rsid w:val="00982E89"/>
    <w:rsid w:val="00982F5B"/>
    <w:rsid w:val="00982F8F"/>
    <w:rsid w:val="00982FC5"/>
    <w:rsid w:val="00982FD9"/>
    <w:rsid w:val="0098303C"/>
    <w:rsid w:val="0098309B"/>
    <w:rsid w:val="009830B9"/>
    <w:rsid w:val="0098313A"/>
    <w:rsid w:val="00983187"/>
    <w:rsid w:val="0098320D"/>
    <w:rsid w:val="009833BD"/>
    <w:rsid w:val="009834BE"/>
    <w:rsid w:val="00983506"/>
    <w:rsid w:val="00983561"/>
    <w:rsid w:val="0098356D"/>
    <w:rsid w:val="0098358A"/>
    <w:rsid w:val="009835DC"/>
    <w:rsid w:val="00983642"/>
    <w:rsid w:val="00983672"/>
    <w:rsid w:val="0098369C"/>
    <w:rsid w:val="009836F2"/>
    <w:rsid w:val="00983779"/>
    <w:rsid w:val="009837A0"/>
    <w:rsid w:val="009837F5"/>
    <w:rsid w:val="009837FD"/>
    <w:rsid w:val="00983803"/>
    <w:rsid w:val="00983883"/>
    <w:rsid w:val="009838B7"/>
    <w:rsid w:val="0098392F"/>
    <w:rsid w:val="0098398B"/>
    <w:rsid w:val="0098398C"/>
    <w:rsid w:val="009839E6"/>
    <w:rsid w:val="009839EB"/>
    <w:rsid w:val="00983ADD"/>
    <w:rsid w:val="00983CDF"/>
    <w:rsid w:val="00983D4D"/>
    <w:rsid w:val="00983DDA"/>
    <w:rsid w:val="00983E8A"/>
    <w:rsid w:val="00983EA8"/>
    <w:rsid w:val="00983F3A"/>
    <w:rsid w:val="00983F8E"/>
    <w:rsid w:val="00983F9A"/>
    <w:rsid w:val="009841E2"/>
    <w:rsid w:val="00984355"/>
    <w:rsid w:val="009843AF"/>
    <w:rsid w:val="009843B7"/>
    <w:rsid w:val="009843C0"/>
    <w:rsid w:val="0098444B"/>
    <w:rsid w:val="0098455B"/>
    <w:rsid w:val="00984596"/>
    <w:rsid w:val="009846B1"/>
    <w:rsid w:val="009846ED"/>
    <w:rsid w:val="0098481B"/>
    <w:rsid w:val="009848F0"/>
    <w:rsid w:val="00984908"/>
    <w:rsid w:val="00984910"/>
    <w:rsid w:val="00984912"/>
    <w:rsid w:val="00984917"/>
    <w:rsid w:val="009849A8"/>
    <w:rsid w:val="009849CE"/>
    <w:rsid w:val="00984A05"/>
    <w:rsid w:val="00984AFC"/>
    <w:rsid w:val="00984BD5"/>
    <w:rsid w:val="00984C04"/>
    <w:rsid w:val="00984C2A"/>
    <w:rsid w:val="00984C4F"/>
    <w:rsid w:val="00984CC6"/>
    <w:rsid w:val="00984CCE"/>
    <w:rsid w:val="00984D05"/>
    <w:rsid w:val="00984DC6"/>
    <w:rsid w:val="00984E19"/>
    <w:rsid w:val="00984E1D"/>
    <w:rsid w:val="00984EAF"/>
    <w:rsid w:val="00984FB8"/>
    <w:rsid w:val="00985056"/>
    <w:rsid w:val="00985104"/>
    <w:rsid w:val="00985157"/>
    <w:rsid w:val="009851C4"/>
    <w:rsid w:val="00985226"/>
    <w:rsid w:val="0098526F"/>
    <w:rsid w:val="009852E2"/>
    <w:rsid w:val="009852E3"/>
    <w:rsid w:val="009854C5"/>
    <w:rsid w:val="009854EA"/>
    <w:rsid w:val="00985542"/>
    <w:rsid w:val="00985633"/>
    <w:rsid w:val="00985683"/>
    <w:rsid w:val="009856E8"/>
    <w:rsid w:val="00985708"/>
    <w:rsid w:val="0098571A"/>
    <w:rsid w:val="00985747"/>
    <w:rsid w:val="009857D2"/>
    <w:rsid w:val="009857D6"/>
    <w:rsid w:val="00985879"/>
    <w:rsid w:val="009858CA"/>
    <w:rsid w:val="00985921"/>
    <w:rsid w:val="0098592E"/>
    <w:rsid w:val="0098594A"/>
    <w:rsid w:val="009859A6"/>
    <w:rsid w:val="009859AB"/>
    <w:rsid w:val="00985A5F"/>
    <w:rsid w:val="00985AA9"/>
    <w:rsid w:val="00985AE4"/>
    <w:rsid w:val="00985AFF"/>
    <w:rsid w:val="00985B26"/>
    <w:rsid w:val="00985B40"/>
    <w:rsid w:val="00985B88"/>
    <w:rsid w:val="00985B99"/>
    <w:rsid w:val="00985C03"/>
    <w:rsid w:val="00985C08"/>
    <w:rsid w:val="00985C1F"/>
    <w:rsid w:val="00985C34"/>
    <w:rsid w:val="00985C73"/>
    <w:rsid w:val="00985C93"/>
    <w:rsid w:val="00985CA9"/>
    <w:rsid w:val="00985D0C"/>
    <w:rsid w:val="00985D42"/>
    <w:rsid w:val="00985D88"/>
    <w:rsid w:val="00985DA0"/>
    <w:rsid w:val="00985DAA"/>
    <w:rsid w:val="00985E3A"/>
    <w:rsid w:val="00985E3C"/>
    <w:rsid w:val="00985E45"/>
    <w:rsid w:val="00985EDE"/>
    <w:rsid w:val="00985F51"/>
    <w:rsid w:val="00985F6A"/>
    <w:rsid w:val="00985FD3"/>
    <w:rsid w:val="0098602A"/>
    <w:rsid w:val="009860DD"/>
    <w:rsid w:val="009860EE"/>
    <w:rsid w:val="0098611B"/>
    <w:rsid w:val="0098619D"/>
    <w:rsid w:val="009861C1"/>
    <w:rsid w:val="009861E8"/>
    <w:rsid w:val="009862D0"/>
    <w:rsid w:val="0098638B"/>
    <w:rsid w:val="00986429"/>
    <w:rsid w:val="009864E6"/>
    <w:rsid w:val="009864F2"/>
    <w:rsid w:val="00986536"/>
    <w:rsid w:val="009866AF"/>
    <w:rsid w:val="009866C3"/>
    <w:rsid w:val="00986712"/>
    <w:rsid w:val="009867BE"/>
    <w:rsid w:val="009867CE"/>
    <w:rsid w:val="009867D1"/>
    <w:rsid w:val="009867FB"/>
    <w:rsid w:val="009868B2"/>
    <w:rsid w:val="00986A03"/>
    <w:rsid w:val="00986A2B"/>
    <w:rsid w:val="00986B06"/>
    <w:rsid w:val="00986B17"/>
    <w:rsid w:val="00986BBA"/>
    <w:rsid w:val="00986BFA"/>
    <w:rsid w:val="00986CBA"/>
    <w:rsid w:val="00986CE0"/>
    <w:rsid w:val="00986CFD"/>
    <w:rsid w:val="00986D10"/>
    <w:rsid w:val="00986D64"/>
    <w:rsid w:val="00986DC4"/>
    <w:rsid w:val="00986E65"/>
    <w:rsid w:val="00986EB8"/>
    <w:rsid w:val="00986EC7"/>
    <w:rsid w:val="00986F17"/>
    <w:rsid w:val="00986F72"/>
    <w:rsid w:val="00986FE2"/>
    <w:rsid w:val="0098703A"/>
    <w:rsid w:val="009870A1"/>
    <w:rsid w:val="009870DC"/>
    <w:rsid w:val="009870ED"/>
    <w:rsid w:val="00987140"/>
    <w:rsid w:val="0098727C"/>
    <w:rsid w:val="0098729C"/>
    <w:rsid w:val="009872FE"/>
    <w:rsid w:val="009873A0"/>
    <w:rsid w:val="009873F2"/>
    <w:rsid w:val="0098741F"/>
    <w:rsid w:val="009874D0"/>
    <w:rsid w:val="00987514"/>
    <w:rsid w:val="0098759E"/>
    <w:rsid w:val="009875C2"/>
    <w:rsid w:val="00987626"/>
    <w:rsid w:val="0098764F"/>
    <w:rsid w:val="009876BE"/>
    <w:rsid w:val="009876F9"/>
    <w:rsid w:val="0098773C"/>
    <w:rsid w:val="00987795"/>
    <w:rsid w:val="0098786F"/>
    <w:rsid w:val="009878C3"/>
    <w:rsid w:val="0098798F"/>
    <w:rsid w:val="009879C5"/>
    <w:rsid w:val="009879EC"/>
    <w:rsid w:val="00987A62"/>
    <w:rsid w:val="00987ADF"/>
    <w:rsid w:val="00987B12"/>
    <w:rsid w:val="00987B38"/>
    <w:rsid w:val="00987B84"/>
    <w:rsid w:val="00987BA1"/>
    <w:rsid w:val="00987C04"/>
    <w:rsid w:val="00987D02"/>
    <w:rsid w:val="00987D1D"/>
    <w:rsid w:val="00987D4C"/>
    <w:rsid w:val="00987D69"/>
    <w:rsid w:val="00987DDC"/>
    <w:rsid w:val="00987DDF"/>
    <w:rsid w:val="00987DFE"/>
    <w:rsid w:val="00987EFA"/>
    <w:rsid w:val="00987F97"/>
    <w:rsid w:val="00987FAF"/>
    <w:rsid w:val="00987FD4"/>
    <w:rsid w:val="00990027"/>
    <w:rsid w:val="009900A5"/>
    <w:rsid w:val="009900C1"/>
    <w:rsid w:val="009900C8"/>
    <w:rsid w:val="00990100"/>
    <w:rsid w:val="00990185"/>
    <w:rsid w:val="00990229"/>
    <w:rsid w:val="00990339"/>
    <w:rsid w:val="0099042C"/>
    <w:rsid w:val="00990519"/>
    <w:rsid w:val="00990521"/>
    <w:rsid w:val="0099054D"/>
    <w:rsid w:val="00990588"/>
    <w:rsid w:val="009905AD"/>
    <w:rsid w:val="0099066B"/>
    <w:rsid w:val="00990681"/>
    <w:rsid w:val="009906CD"/>
    <w:rsid w:val="00990770"/>
    <w:rsid w:val="00990771"/>
    <w:rsid w:val="0099083B"/>
    <w:rsid w:val="00990869"/>
    <w:rsid w:val="00990984"/>
    <w:rsid w:val="009909AA"/>
    <w:rsid w:val="009909D4"/>
    <w:rsid w:val="00990A40"/>
    <w:rsid w:val="00990A4F"/>
    <w:rsid w:val="00990A86"/>
    <w:rsid w:val="00990A92"/>
    <w:rsid w:val="00990AB3"/>
    <w:rsid w:val="00990AE7"/>
    <w:rsid w:val="00990B61"/>
    <w:rsid w:val="00990B9C"/>
    <w:rsid w:val="00990BA0"/>
    <w:rsid w:val="00990BF2"/>
    <w:rsid w:val="00990D10"/>
    <w:rsid w:val="00990D45"/>
    <w:rsid w:val="00990D4C"/>
    <w:rsid w:val="00990DA5"/>
    <w:rsid w:val="00990DF6"/>
    <w:rsid w:val="00990E18"/>
    <w:rsid w:val="00990EFD"/>
    <w:rsid w:val="00990F1D"/>
    <w:rsid w:val="00990F43"/>
    <w:rsid w:val="00990F68"/>
    <w:rsid w:val="00990F85"/>
    <w:rsid w:val="00990FE2"/>
    <w:rsid w:val="0099102D"/>
    <w:rsid w:val="00991046"/>
    <w:rsid w:val="0099108B"/>
    <w:rsid w:val="009910D8"/>
    <w:rsid w:val="0099110B"/>
    <w:rsid w:val="0099115F"/>
    <w:rsid w:val="009911C7"/>
    <w:rsid w:val="009911F5"/>
    <w:rsid w:val="009912F7"/>
    <w:rsid w:val="0099131B"/>
    <w:rsid w:val="00991428"/>
    <w:rsid w:val="00991532"/>
    <w:rsid w:val="00991574"/>
    <w:rsid w:val="00991599"/>
    <w:rsid w:val="0099163F"/>
    <w:rsid w:val="00991741"/>
    <w:rsid w:val="0099175E"/>
    <w:rsid w:val="00991820"/>
    <w:rsid w:val="0099187C"/>
    <w:rsid w:val="0099190F"/>
    <w:rsid w:val="0099199E"/>
    <w:rsid w:val="00991B55"/>
    <w:rsid w:val="00991C49"/>
    <w:rsid w:val="00991C5B"/>
    <w:rsid w:val="00991D39"/>
    <w:rsid w:val="00991DEA"/>
    <w:rsid w:val="00991E2C"/>
    <w:rsid w:val="00991F27"/>
    <w:rsid w:val="00991F75"/>
    <w:rsid w:val="0099200C"/>
    <w:rsid w:val="009920FF"/>
    <w:rsid w:val="0099212A"/>
    <w:rsid w:val="00992153"/>
    <w:rsid w:val="009921A5"/>
    <w:rsid w:val="00992208"/>
    <w:rsid w:val="0099222E"/>
    <w:rsid w:val="009923DA"/>
    <w:rsid w:val="00992425"/>
    <w:rsid w:val="0099246C"/>
    <w:rsid w:val="0099247C"/>
    <w:rsid w:val="0099259C"/>
    <w:rsid w:val="009925C7"/>
    <w:rsid w:val="0099262A"/>
    <w:rsid w:val="00992687"/>
    <w:rsid w:val="0099269B"/>
    <w:rsid w:val="0099272F"/>
    <w:rsid w:val="009928AD"/>
    <w:rsid w:val="009928E6"/>
    <w:rsid w:val="0099294F"/>
    <w:rsid w:val="00992978"/>
    <w:rsid w:val="009929F2"/>
    <w:rsid w:val="00992A00"/>
    <w:rsid w:val="00992A57"/>
    <w:rsid w:val="00992AD4"/>
    <w:rsid w:val="00992B88"/>
    <w:rsid w:val="00992BA6"/>
    <w:rsid w:val="00992C2E"/>
    <w:rsid w:val="00992C6A"/>
    <w:rsid w:val="00992D31"/>
    <w:rsid w:val="00992DA9"/>
    <w:rsid w:val="00992E94"/>
    <w:rsid w:val="00992F4E"/>
    <w:rsid w:val="00992FAE"/>
    <w:rsid w:val="00992FC1"/>
    <w:rsid w:val="0099308C"/>
    <w:rsid w:val="009932AB"/>
    <w:rsid w:val="009932BE"/>
    <w:rsid w:val="0099335B"/>
    <w:rsid w:val="0099337C"/>
    <w:rsid w:val="0099339A"/>
    <w:rsid w:val="00993431"/>
    <w:rsid w:val="00993456"/>
    <w:rsid w:val="009934D3"/>
    <w:rsid w:val="00993549"/>
    <w:rsid w:val="0099355B"/>
    <w:rsid w:val="009935A1"/>
    <w:rsid w:val="009935C6"/>
    <w:rsid w:val="00993638"/>
    <w:rsid w:val="009936C6"/>
    <w:rsid w:val="00993730"/>
    <w:rsid w:val="009937C8"/>
    <w:rsid w:val="009937CA"/>
    <w:rsid w:val="009938EE"/>
    <w:rsid w:val="00993961"/>
    <w:rsid w:val="009939F0"/>
    <w:rsid w:val="00993A3C"/>
    <w:rsid w:val="00993AA3"/>
    <w:rsid w:val="00993AAF"/>
    <w:rsid w:val="00993B3F"/>
    <w:rsid w:val="00993B6B"/>
    <w:rsid w:val="00993BF4"/>
    <w:rsid w:val="00993CCE"/>
    <w:rsid w:val="00993D10"/>
    <w:rsid w:val="00993D15"/>
    <w:rsid w:val="00993D6E"/>
    <w:rsid w:val="00993D94"/>
    <w:rsid w:val="00993DB4"/>
    <w:rsid w:val="00993DBC"/>
    <w:rsid w:val="00993DBE"/>
    <w:rsid w:val="00993DE0"/>
    <w:rsid w:val="00993E08"/>
    <w:rsid w:val="00993E12"/>
    <w:rsid w:val="00993E8A"/>
    <w:rsid w:val="00993EBC"/>
    <w:rsid w:val="00993EF7"/>
    <w:rsid w:val="00993F46"/>
    <w:rsid w:val="00993F72"/>
    <w:rsid w:val="0099405F"/>
    <w:rsid w:val="00994163"/>
    <w:rsid w:val="009941BB"/>
    <w:rsid w:val="009942AF"/>
    <w:rsid w:val="009942F0"/>
    <w:rsid w:val="009943D2"/>
    <w:rsid w:val="009943F9"/>
    <w:rsid w:val="00994455"/>
    <w:rsid w:val="0099465B"/>
    <w:rsid w:val="009946B2"/>
    <w:rsid w:val="00994746"/>
    <w:rsid w:val="0099474B"/>
    <w:rsid w:val="0099474C"/>
    <w:rsid w:val="00994761"/>
    <w:rsid w:val="00994786"/>
    <w:rsid w:val="009947FE"/>
    <w:rsid w:val="00994832"/>
    <w:rsid w:val="009948F0"/>
    <w:rsid w:val="00994904"/>
    <w:rsid w:val="009949CD"/>
    <w:rsid w:val="009949D3"/>
    <w:rsid w:val="009949E2"/>
    <w:rsid w:val="00994A96"/>
    <w:rsid w:val="00994B16"/>
    <w:rsid w:val="00994B2D"/>
    <w:rsid w:val="00994B6C"/>
    <w:rsid w:val="00994BA6"/>
    <w:rsid w:val="00994BFC"/>
    <w:rsid w:val="00994C1B"/>
    <w:rsid w:val="00994C46"/>
    <w:rsid w:val="00994D0C"/>
    <w:rsid w:val="00994D95"/>
    <w:rsid w:val="00994EEB"/>
    <w:rsid w:val="00994F5A"/>
    <w:rsid w:val="00994FA0"/>
    <w:rsid w:val="00994FDF"/>
    <w:rsid w:val="00995148"/>
    <w:rsid w:val="00995202"/>
    <w:rsid w:val="00995267"/>
    <w:rsid w:val="0099528E"/>
    <w:rsid w:val="0099542E"/>
    <w:rsid w:val="00995451"/>
    <w:rsid w:val="00995539"/>
    <w:rsid w:val="009955C5"/>
    <w:rsid w:val="009955D6"/>
    <w:rsid w:val="009955DD"/>
    <w:rsid w:val="009955FC"/>
    <w:rsid w:val="00995679"/>
    <w:rsid w:val="0099577B"/>
    <w:rsid w:val="009957AE"/>
    <w:rsid w:val="009957B7"/>
    <w:rsid w:val="009957DE"/>
    <w:rsid w:val="009958CC"/>
    <w:rsid w:val="009958DE"/>
    <w:rsid w:val="00995967"/>
    <w:rsid w:val="009959E5"/>
    <w:rsid w:val="00995A01"/>
    <w:rsid w:val="00995A1E"/>
    <w:rsid w:val="00995AEF"/>
    <w:rsid w:val="00995B16"/>
    <w:rsid w:val="00995C00"/>
    <w:rsid w:val="00995C17"/>
    <w:rsid w:val="00995C2A"/>
    <w:rsid w:val="00995CB6"/>
    <w:rsid w:val="00995D1C"/>
    <w:rsid w:val="00995E90"/>
    <w:rsid w:val="00995EA9"/>
    <w:rsid w:val="00995EB4"/>
    <w:rsid w:val="00995EE9"/>
    <w:rsid w:val="00995EF9"/>
    <w:rsid w:val="00995F1B"/>
    <w:rsid w:val="00995FA3"/>
    <w:rsid w:val="00995FAC"/>
    <w:rsid w:val="00995FDB"/>
    <w:rsid w:val="00995FDC"/>
    <w:rsid w:val="00995FFF"/>
    <w:rsid w:val="0099607B"/>
    <w:rsid w:val="00996117"/>
    <w:rsid w:val="00996166"/>
    <w:rsid w:val="009962A9"/>
    <w:rsid w:val="009962E6"/>
    <w:rsid w:val="009963B0"/>
    <w:rsid w:val="009963EE"/>
    <w:rsid w:val="009963F8"/>
    <w:rsid w:val="009963FA"/>
    <w:rsid w:val="0099640B"/>
    <w:rsid w:val="00996568"/>
    <w:rsid w:val="009965A6"/>
    <w:rsid w:val="00996616"/>
    <w:rsid w:val="009966EC"/>
    <w:rsid w:val="009966ED"/>
    <w:rsid w:val="00996821"/>
    <w:rsid w:val="0099682C"/>
    <w:rsid w:val="0099687A"/>
    <w:rsid w:val="009968D9"/>
    <w:rsid w:val="00996A08"/>
    <w:rsid w:val="00996A28"/>
    <w:rsid w:val="00996AA8"/>
    <w:rsid w:val="00996AE0"/>
    <w:rsid w:val="00996CCE"/>
    <w:rsid w:val="00996D20"/>
    <w:rsid w:val="00996D7A"/>
    <w:rsid w:val="009970EA"/>
    <w:rsid w:val="00997109"/>
    <w:rsid w:val="00997127"/>
    <w:rsid w:val="00997139"/>
    <w:rsid w:val="0099719C"/>
    <w:rsid w:val="009971D5"/>
    <w:rsid w:val="009971F8"/>
    <w:rsid w:val="0099720A"/>
    <w:rsid w:val="00997246"/>
    <w:rsid w:val="00997274"/>
    <w:rsid w:val="00997281"/>
    <w:rsid w:val="009973AE"/>
    <w:rsid w:val="00997405"/>
    <w:rsid w:val="00997438"/>
    <w:rsid w:val="009974A4"/>
    <w:rsid w:val="0099752C"/>
    <w:rsid w:val="009975D2"/>
    <w:rsid w:val="009975DF"/>
    <w:rsid w:val="00997610"/>
    <w:rsid w:val="00997638"/>
    <w:rsid w:val="0099763B"/>
    <w:rsid w:val="00997724"/>
    <w:rsid w:val="0099772F"/>
    <w:rsid w:val="0099792E"/>
    <w:rsid w:val="00997AAF"/>
    <w:rsid w:val="00997AB1"/>
    <w:rsid w:val="00997AB5"/>
    <w:rsid w:val="00997AF9"/>
    <w:rsid w:val="00997BA4"/>
    <w:rsid w:val="00997BF4"/>
    <w:rsid w:val="00997BFC"/>
    <w:rsid w:val="00997C85"/>
    <w:rsid w:val="00997D5B"/>
    <w:rsid w:val="00997DDF"/>
    <w:rsid w:val="00997E1E"/>
    <w:rsid w:val="00997E45"/>
    <w:rsid w:val="00997E51"/>
    <w:rsid w:val="00997F23"/>
    <w:rsid w:val="00997F2C"/>
    <w:rsid w:val="00997FAD"/>
    <w:rsid w:val="00997FC2"/>
    <w:rsid w:val="00997FE8"/>
    <w:rsid w:val="00997FE9"/>
    <w:rsid w:val="009A0032"/>
    <w:rsid w:val="009A0052"/>
    <w:rsid w:val="009A007F"/>
    <w:rsid w:val="009A0265"/>
    <w:rsid w:val="009A032B"/>
    <w:rsid w:val="009A044D"/>
    <w:rsid w:val="009A0450"/>
    <w:rsid w:val="009A0468"/>
    <w:rsid w:val="009A04B2"/>
    <w:rsid w:val="009A0564"/>
    <w:rsid w:val="009A059A"/>
    <w:rsid w:val="009A05B2"/>
    <w:rsid w:val="009A05BC"/>
    <w:rsid w:val="009A06DA"/>
    <w:rsid w:val="009A071B"/>
    <w:rsid w:val="009A0730"/>
    <w:rsid w:val="009A079F"/>
    <w:rsid w:val="009A07B6"/>
    <w:rsid w:val="009A08C5"/>
    <w:rsid w:val="009A08D9"/>
    <w:rsid w:val="009A094A"/>
    <w:rsid w:val="009A0A5B"/>
    <w:rsid w:val="009A0AAA"/>
    <w:rsid w:val="009A0AB4"/>
    <w:rsid w:val="009A0BA4"/>
    <w:rsid w:val="009A0C12"/>
    <w:rsid w:val="009A0C37"/>
    <w:rsid w:val="009A0CBC"/>
    <w:rsid w:val="009A0CD5"/>
    <w:rsid w:val="009A0D16"/>
    <w:rsid w:val="009A0D3F"/>
    <w:rsid w:val="009A0D8F"/>
    <w:rsid w:val="009A0DA6"/>
    <w:rsid w:val="009A0F7A"/>
    <w:rsid w:val="009A1057"/>
    <w:rsid w:val="009A10C7"/>
    <w:rsid w:val="009A1156"/>
    <w:rsid w:val="009A11B4"/>
    <w:rsid w:val="009A11B8"/>
    <w:rsid w:val="009A1282"/>
    <w:rsid w:val="009A138B"/>
    <w:rsid w:val="009A139E"/>
    <w:rsid w:val="009A13D3"/>
    <w:rsid w:val="009A140C"/>
    <w:rsid w:val="009A154C"/>
    <w:rsid w:val="009A15AC"/>
    <w:rsid w:val="009A15D2"/>
    <w:rsid w:val="009A15ED"/>
    <w:rsid w:val="009A15F0"/>
    <w:rsid w:val="009A168F"/>
    <w:rsid w:val="009A172F"/>
    <w:rsid w:val="009A1781"/>
    <w:rsid w:val="009A1782"/>
    <w:rsid w:val="009A1783"/>
    <w:rsid w:val="009A1791"/>
    <w:rsid w:val="009A1797"/>
    <w:rsid w:val="009A1831"/>
    <w:rsid w:val="009A1886"/>
    <w:rsid w:val="009A18B5"/>
    <w:rsid w:val="009A196A"/>
    <w:rsid w:val="009A19C7"/>
    <w:rsid w:val="009A1A71"/>
    <w:rsid w:val="009A1A8A"/>
    <w:rsid w:val="009A1B54"/>
    <w:rsid w:val="009A1C25"/>
    <w:rsid w:val="009A1C88"/>
    <w:rsid w:val="009A1C96"/>
    <w:rsid w:val="009A1CC1"/>
    <w:rsid w:val="009A1D2B"/>
    <w:rsid w:val="009A1E55"/>
    <w:rsid w:val="009A1F11"/>
    <w:rsid w:val="009A1FCB"/>
    <w:rsid w:val="009A1FE0"/>
    <w:rsid w:val="009A2043"/>
    <w:rsid w:val="009A20A5"/>
    <w:rsid w:val="009A20AC"/>
    <w:rsid w:val="009A2104"/>
    <w:rsid w:val="009A2109"/>
    <w:rsid w:val="009A211A"/>
    <w:rsid w:val="009A2125"/>
    <w:rsid w:val="009A2176"/>
    <w:rsid w:val="009A21D9"/>
    <w:rsid w:val="009A2291"/>
    <w:rsid w:val="009A22D1"/>
    <w:rsid w:val="009A22D7"/>
    <w:rsid w:val="009A22F1"/>
    <w:rsid w:val="009A24B3"/>
    <w:rsid w:val="009A24D7"/>
    <w:rsid w:val="009A24E1"/>
    <w:rsid w:val="009A2505"/>
    <w:rsid w:val="009A250E"/>
    <w:rsid w:val="009A262A"/>
    <w:rsid w:val="009A2661"/>
    <w:rsid w:val="009A27EC"/>
    <w:rsid w:val="009A28CD"/>
    <w:rsid w:val="009A28FE"/>
    <w:rsid w:val="009A294E"/>
    <w:rsid w:val="009A2964"/>
    <w:rsid w:val="009A2BE5"/>
    <w:rsid w:val="009A2BF1"/>
    <w:rsid w:val="009A2C84"/>
    <w:rsid w:val="009A2D96"/>
    <w:rsid w:val="009A2DA4"/>
    <w:rsid w:val="009A2DDC"/>
    <w:rsid w:val="009A2E29"/>
    <w:rsid w:val="009A2EBA"/>
    <w:rsid w:val="009A2F32"/>
    <w:rsid w:val="009A2FB6"/>
    <w:rsid w:val="009A30BF"/>
    <w:rsid w:val="009A313B"/>
    <w:rsid w:val="009A313D"/>
    <w:rsid w:val="009A315F"/>
    <w:rsid w:val="009A3187"/>
    <w:rsid w:val="009A3189"/>
    <w:rsid w:val="009A3279"/>
    <w:rsid w:val="009A329D"/>
    <w:rsid w:val="009A329F"/>
    <w:rsid w:val="009A32D1"/>
    <w:rsid w:val="009A32E6"/>
    <w:rsid w:val="009A332D"/>
    <w:rsid w:val="009A334F"/>
    <w:rsid w:val="009A33CB"/>
    <w:rsid w:val="009A33DD"/>
    <w:rsid w:val="009A3420"/>
    <w:rsid w:val="009A34E5"/>
    <w:rsid w:val="009A352B"/>
    <w:rsid w:val="009A36E6"/>
    <w:rsid w:val="009A37CC"/>
    <w:rsid w:val="009A37E1"/>
    <w:rsid w:val="009A388C"/>
    <w:rsid w:val="009A3897"/>
    <w:rsid w:val="009A38E0"/>
    <w:rsid w:val="009A3928"/>
    <w:rsid w:val="009A3A5B"/>
    <w:rsid w:val="009A3A67"/>
    <w:rsid w:val="009A3AB6"/>
    <w:rsid w:val="009A3AB9"/>
    <w:rsid w:val="009A3ADA"/>
    <w:rsid w:val="009A3C5A"/>
    <w:rsid w:val="009A3C84"/>
    <w:rsid w:val="009A3D1D"/>
    <w:rsid w:val="009A3E33"/>
    <w:rsid w:val="009A3EB3"/>
    <w:rsid w:val="009A3F4D"/>
    <w:rsid w:val="009A3F96"/>
    <w:rsid w:val="009A403E"/>
    <w:rsid w:val="009A404E"/>
    <w:rsid w:val="009A408B"/>
    <w:rsid w:val="009A4097"/>
    <w:rsid w:val="009A40E7"/>
    <w:rsid w:val="009A411A"/>
    <w:rsid w:val="009A420E"/>
    <w:rsid w:val="009A4235"/>
    <w:rsid w:val="009A429B"/>
    <w:rsid w:val="009A42C7"/>
    <w:rsid w:val="009A42D9"/>
    <w:rsid w:val="009A432D"/>
    <w:rsid w:val="009A433F"/>
    <w:rsid w:val="009A441F"/>
    <w:rsid w:val="009A444F"/>
    <w:rsid w:val="009A44E1"/>
    <w:rsid w:val="009A44F3"/>
    <w:rsid w:val="009A459B"/>
    <w:rsid w:val="009A45B5"/>
    <w:rsid w:val="009A45D4"/>
    <w:rsid w:val="009A4616"/>
    <w:rsid w:val="009A47AE"/>
    <w:rsid w:val="009A47D3"/>
    <w:rsid w:val="009A486E"/>
    <w:rsid w:val="009A48EA"/>
    <w:rsid w:val="009A4A45"/>
    <w:rsid w:val="009A4A6F"/>
    <w:rsid w:val="009A4AB3"/>
    <w:rsid w:val="009A4B09"/>
    <w:rsid w:val="009A4B4C"/>
    <w:rsid w:val="009A4BBD"/>
    <w:rsid w:val="009A4BD4"/>
    <w:rsid w:val="009A4DDC"/>
    <w:rsid w:val="009A4E01"/>
    <w:rsid w:val="009A4E33"/>
    <w:rsid w:val="009A4E5E"/>
    <w:rsid w:val="009A4EB4"/>
    <w:rsid w:val="009A4F35"/>
    <w:rsid w:val="009A4F3A"/>
    <w:rsid w:val="009A4FA9"/>
    <w:rsid w:val="009A500A"/>
    <w:rsid w:val="009A5025"/>
    <w:rsid w:val="009A5039"/>
    <w:rsid w:val="009A50E7"/>
    <w:rsid w:val="009A5361"/>
    <w:rsid w:val="009A536F"/>
    <w:rsid w:val="009A53E9"/>
    <w:rsid w:val="009A5441"/>
    <w:rsid w:val="009A545B"/>
    <w:rsid w:val="009A5479"/>
    <w:rsid w:val="009A547A"/>
    <w:rsid w:val="009A54D8"/>
    <w:rsid w:val="009A55B5"/>
    <w:rsid w:val="009A55F5"/>
    <w:rsid w:val="009A5687"/>
    <w:rsid w:val="009A56B7"/>
    <w:rsid w:val="009A56DD"/>
    <w:rsid w:val="009A5766"/>
    <w:rsid w:val="009A57FB"/>
    <w:rsid w:val="009A58F6"/>
    <w:rsid w:val="009A5916"/>
    <w:rsid w:val="009A5968"/>
    <w:rsid w:val="009A5973"/>
    <w:rsid w:val="009A5A0F"/>
    <w:rsid w:val="009A5A38"/>
    <w:rsid w:val="009A5C3E"/>
    <w:rsid w:val="009A5CA4"/>
    <w:rsid w:val="009A5CCA"/>
    <w:rsid w:val="009A5E5D"/>
    <w:rsid w:val="009A5EC7"/>
    <w:rsid w:val="009A5F2D"/>
    <w:rsid w:val="009A5F9A"/>
    <w:rsid w:val="009A5FBD"/>
    <w:rsid w:val="009A6021"/>
    <w:rsid w:val="009A607A"/>
    <w:rsid w:val="009A60EE"/>
    <w:rsid w:val="009A61AD"/>
    <w:rsid w:val="009A61DD"/>
    <w:rsid w:val="009A6242"/>
    <w:rsid w:val="009A62F0"/>
    <w:rsid w:val="009A6395"/>
    <w:rsid w:val="009A6426"/>
    <w:rsid w:val="009A6430"/>
    <w:rsid w:val="009A644C"/>
    <w:rsid w:val="009A6476"/>
    <w:rsid w:val="009A649E"/>
    <w:rsid w:val="009A64B8"/>
    <w:rsid w:val="009A6514"/>
    <w:rsid w:val="009A6531"/>
    <w:rsid w:val="009A653B"/>
    <w:rsid w:val="009A6596"/>
    <w:rsid w:val="009A6647"/>
    <w:rsid w:val="009A665E"/>
    <w:rsid w:val="009A667F"/>
    <w:rsid w:val="009A66ED"/>
    <w:rsid w:val="009A6820"/>
    <w:rsid w:val="009A691C"/>
    <w:rsid w:val="009A6941"/>
    <w:rsid w:val="009A6983"/>
    <w:rsid w:val="009A698F"/>
    <w:rsid w:val="009A6997"/>
    <w:rsid w:val="009A69B1"/>
    <w:rsid w:val="009A69E1"/>
    <w:rsid w:val="009A6A36"/>
    <w:rsid w:val="009A6B89"/>
    <w:rsid w:val="009A6B93"/>
    <w:rsid w:val="009A6BE9"/>
    <w:rsid w:val="009A6C12"/>
    <w:rsid w:val="009A6C37"/>
    <w:rsid w:val="009A6C6D"/>
    <w:rsid w:val="009A6D46"/>
    <w:rsid w:val="009A6DD3"/>
    <w:rsid w:val="009A6E39"/>
    <w:rsid w:val="009A6E98"/>
    <w:rsid w:val="009A6FEC"/>
    <w:rsid w:val="009A7020"/>
    <w:rsid w:val="009A7115"/>
    <w:rsid w:val="009A71CB"/>
    <w:rsid w:val="009A721D"/>
    <w:rsid w:val="009A7319"/>
    <w:rsid w:val="009A7375"/>
    <w:rsid w:val="009A74BB"/>
    <w:rsid w:val="009A7536"/>
    <w:rsid w:val="009A758E"/>
    <w:rsid w:val="009A7624"/>
    <w:rsid w:val="009A7666"/>
    <w:rsid w:val="009A767C"/>
    <w:rsid w:val="009A773D"/>
    <w:rsid w:val="009A7773"/>
    <w:rsid w:val="009A77D5"/>
    <w:rsid w:val="009A77E5"/>
    <w:rsid w:val="009A7809"/>
    <w:rsid w:val="009A78C2"/>
    <w:rsid w:val="009A791D"/>
    <w:rsid w:val="009A79A0"/>
    <w:rsid w:val="009A79DE"/>
    <w:rsid w:val="009A7A73"/>
    <w:rsid w:val="009A7A8D"/>
    <w:rsid w:val="009A7AB9"/>
    <w:rsid w:val="009A7BA3"/>
    <w:rsid w:val="009A7BD9"/>
    <w:rsid w:val="009A7BFA"/>
    <w:rsid w:val="009A7C51"/>
    <w:rsid w:val="009A7C8B"/>
    <w:rsid w:val="009A7DAA"/>
    <w:rsid w:val="009A7DAE"/>
    <w:rsid w:val="009A7DD3"/>
    <w:rsid w:val="009A7DF3"/>
    <w:rsid w:val="009A7E02"/>
    <w:rsid w:val="009A7E07"/>
    <w:rsid w:val="009A7E94"/>
    <w:rsid w:val="009A7E9C"/>
    <w:rsid w:val="009A7ED2"/>
    <w:rsid w:val="009A7F08"/>
    <w:rsid w:val="009A7F0F"/>
    <w:rsid w:val="009A7FA8"/>
    <w:rsid w:val="009A7FE7"/>
    <w:rsid w:val="009B001D"/>
    <w:rsid w:val="009B004C"/>
    <w:rsid w:val="009B009F"/>
    <w:rsid w:val="009B00A7"/>
    <w:rsid w:val="009B0122"/>
    <w:rsid w:val="009B0204"/>
    <w:rsid w:val="009B0265"/>
    <w:rsid w:val="009B02C0"/>
    <w:rsid w:val="009B02DD"/>
    <w:rsid w:val="009B0508"/>
    <w:rsid w:val="009B05DA"/>
    <w:rsid w:val="009B06FB"/>
    <w:rsid w:val="009B0757"/>
    <w:rsid w:val="009B07ED"/>
    <w:rsid w:val="009B0889"/>
    <w:rsid w:val="009B09BB"/>
    <w:rsid w:val="009B0A1C"/>
    <w:rsid w:val="009B0AAC"/>
    <w:rsid w:val="009B0C5F"/>
    <w:rsid w:val="009B0CB9"/>
    <w:rsid w:val="009B0D3F"/>
    <w:rsid w:val="009B0DFA"/>
    <w:rsid w:val="009B0F03"/>
    <w:rsid w:val="009B1059"/>
    <w:rsid w:val="009B10D2"/>
    <w:rsid w:val="009B11ED"/>
    <w:rsid w:val="009B1241"/>
    <w:rsid w:val="009B1242"/>
    <w:rsid w:val="009B1250"/>
    <w:rsid w:val="009B12A7"/>
    <w:rsid w:val="009B12D6"/>
    <w:rsid w:val="009B12F0"/>
    <w:rsid w:val="009B1312"/>
    <w:rsid w:val="009B142D"/>
    <w:rsid w:val="009B150B"/>
    <w:rsid w:val="009B166A"/>
    <w:rsid w:val="009B1772"/>
    <w:rsid w:val="009B1803"/>
    <w:rsid w:val="009B182E"/>
    <w:rsid w:val="009B1956"/>
    <w:rsid w:val="009B1A97"/>
    <w:rsid w:val="009B1AA5"/>
    <w:rsid w:val="009B1ABA"/>
    <w:rsid w:val="009B1AC4"/>
    <w:rsid w:val="009B1BD4"/>
    <w:rsid w:val="009B1BFF"/>
    <w:rsid w:val="009B1C83"/>
    <w:rsid w:val="009B1C8C"/>
    <w:rsid w:val="009B1CAD"/>
    <w:rsid w:val="009B1D3F"/>
    <w:rsid w:val="009B1D95"/>
    <w:rsid w:val="009B1DFF"/>
    <w:rsid w:val="009B1E09"/>
    <w:rsid w:val="009B1E0D"/>
    <w:rsid w:val="009B1E5B"/>
    <w:rsid w:val="009B1E6D"/>
    <w:rsid w:val="009B1E82"/>
    <w:rsid w:val="009B1F5D"/>
    <w:rsid w:val="009B1FBD"/>
    <w:rsid w:val="009B2023"/>
    <w:rsid w:val="009B20F2"/>
    <w:rsid w:val="009B2123"/>
    <w:rsid w:val="009B21D2"/>
    <w:rsid w:val="009B21E4"/>
    <w:rsid w:val="009B22CE"/>
    <w:rsid w:val="009B23A7"/>
    <w:rsid w:val="009B242F"/>
    <w:rsid w:val="009B24BF"/>
    <w:rsid w:val="009B24CB"/>
    <w:rsid w:val="009B251B"/>
    <w:rsid w:val="009B258E"/>
    <w:rsid w:val="009B25B0"/>
    <w:rsid w:val="009B2624"/>
    <w:rsid w:val="009B2653"/>
    <w:rsid w:val="009B26E1"/>
    <w:rsid w:val="009B2762"/>
    <w:rsid w:val="009B27C1"/>
    <w:rsid w:val="009B27E6"/>
    <w:rsid w:val="009B2989"/>
    <w:rsid w:val="009B2AA3"/>
    <w:rsid w:val="009B2ADE"/>
    <w:rsid w:val="009B2B65"/>
    <w:rsid w:val="009B2BE6"/>
    <w:rsid w:val="009B2C90"/>
    <w:rsid w:val="009B2C93"/>
    <w:rsid w:val="009B2CE5"/>
    <w:rsid w:val="009B2DA4"/>
    <w:rsid w:val="009B2E58"/>
    <w:rsid w:val="009B2E5D"/>
    <w:rsid w:val="009B2E89"/>
    <w:rsid w:val="009B2ED2"/>
    <w:rsid w:val="009B2F42"/>
    <w:rsid w:val="009B2F58"/>
    <w:rsid w:val="009B2FC0"/>
    <w:rsid w:val="009B2FD4"/>
    <w:rsid w:val="009B3051"/>
    <w:rsid w:val="009B30E6"/>
    <w:rsid w:val="009B3144"/>
    <w:rsid w:val="009B320B"/>
    <w:rsid w:val="009B327A"/>
    <w:rsid w:val="009B32B4"/>
    <w:rsid w:val="009B32CB"/>
    <w:rsid w:val="009B338C"/>
    <w:rsid w:val="009B3401"/>
    <w:rsid w:val="009B347C"/>
    <w:rsid w:val="009B34D1"/>
    <w:rsid w:val="009B35C6"/>
    <w:rsid w:val="009B35E7"/>
    <w:rsid w:val="009B3639"/>
    <w:rsid w:val="009B3761"/>
    <w:rsid w:val="009B37A6"/>
    <w:rsid w:val="009B3804"/>
    <w:rsid w:val="009B3823"/>
    <w:rsid w:val="009B3843"/>
    <w:rsid w:val="009B38C3"/>
    <w:rsid w:val="009B38C6"/>
    <w:rsid w:val="009B3A24"/>
    <w:rsid w:val="009B3A3E"/>
    <w:rsid w:val="009B3A54"/>
    <w:rsid w:val="009B3A7C"/>
    <w:rsid w:val="009B3A9B"/>
    <w:rsid w:val="009B3AD4"/>
    <w:rsid w:val="009B3B36"/>
    <w:rsid w:val="009B3BAD"/>
    <w:rsid w:val="009B3BBE"/>
    <w:rsid w:val="009B3BE5"/>
    <w:rsid w:val="009B3C0F"/>
    <w:rsid w:val="009B3CD4"/>
    <w:rsid w:val="009B3D13"/>
    <w:rsid w:val="009B3D4F"/>
    <w:rsid w:val="009B3DB8"/>
    <w:rsid w:val="009B3F07"/>
    <w:rsid w:val="009B3F40"/>
    <w:rsid w:val="009B4040"/>
    <w:rsid w:val="009B40B9"/>
    <w:rsid w:val="009B4129"/>
    <w:rsid w:val="009B4141"/>
    <w:rsid w:val="009B4169"/>
    <w:rsid w:val="009B4195"/>
    <w:rsid w:val="009B41E2"/>
    <w:rsid w:val="009B41EE"/>
    <w:rsid w:val="009B4333"/>
    <w:rsid w:val="009B4391"/>
    <w:rsid w:val="009B445F"/>
    <w:rsid w:val="009B448C"/>
    <w:rsid w:val="009B44D0"/>
    <w:rsid w:val="009B4839"/>
    <w:rsid w:val="009B493A"/>
    <w:rsid w:val="009B49C4"/>
    <w:rsid w:val="009B4A3E"/>
    <w:rsid w:val="009B4ABF"/>
    <w:rsid w:val="009B4B77"/>
    <w:rsid w:val="009B4B97"/>
    <w:rsid w:val="009B4C13"/>
    <w:rsid w:val="009B4C1E"/>
    <w:rsid w:val="009B4C56"/>
    <w:rsid w:val="009B4C85"/>
    <w:rsid w:val="009B4C95"/>
    <w:rsid w:val="009B4DA9"/>
    <w:rsid w:val="009B4DCD"/>
    <w:rsid w:val="009B4E29"/>
    <w:rsid w:val="009B50A6"/>
    <w:rsid w:val="009B50AD"/>
    <w:rsid w:val="009B50BA"/>
    <w:rsid w:val="009B5100"/>
    <w:rsid w:val="009B5129"/>
    <w:rsid w:val="009B512D"/>
    <w:rsid w:val="009B519C"/>
    <w:rsid w:val="009B520B"/>
    <w:rsid w:val="009B521A"/>
    <w:rsid w:val="009B5285"/>
    <w:rsid w:val="009B5319"/>
    <w:rsid w:val="009B53C8"/>
    <w:rsid w:val="009B53F4"/>
    <w:rsid w:val="009B5414"/>
    <w:rsid w:val="009B549D"/>
    <w:rsid w:val="009B559B"/>
    <w:rsid w:val="009B55F5"/>
    <w:rsid w:val="009B55F8"/>
    <w:rsid w:val="009B563F"/>
    <w:rsid w:val="009B5700"/>
    <w:rsid w:val="009B5726"/>
    <w:rsid w:val="009B58BB"/>
    <w:rsid w:val="009B5973"/>
    <w:rsid w:val="009B59B1"/>
    <w:rsid w:val="009B5A03"/>
    <w:rsid w:val="009B5A37"/>
    <w:rsid w:val="009B5A5F"/>
    <w:rsid w:val="009B5A88"/>
    <w:rsid w:val="009B5AA5"/>
    <w:rsid w:val="009B5AB3"/>
    <w:rsid w:val="009B5AB5"/>
    <w:rsid w:val="009B5B4B"/>
    <w:rsid w:val="009B5B87"/>
    <w:rsid w:val="009B5BF4"/>
    <w:rsid w:val="009B5C02"/>
    <w:rsid w:val="009B5C29"/>
    <w:rsid w:val="009B5D1A"/>
    <w:rsid w:val="009B5D42"/>
    <w:rsid w:val="009B5D99"/>
    <w:rsid w:val="009B5DC8"/>
    <w:rsid w:val="009B5EEE"/>
    <w:rsid w:val="009B5F09"/>
    <w:rsid w:val="009B5FA8"/>
    <w:rsid w:val="009B6115"/>
    <w:rsid w:val="009B6124"/>
    <w:rsid w:val="009B613B"/>
    <w:rsid w:val="009B6168"/>
    <w:rsid w:val="009B6182"/>
    <w:rsid w:val="009B621E"/>
    <w:rsid w:val="009B6255"/>
    <w:rsid w:val="009B62BD"/>
    <w:rsid w:val="009B631A"/>
    <w:rsid w:val="009B6336"/>
    <w:rsid w:val="009B63A8"/>
    <w:rsid w:val="009B63BB"/>
    <w:rsid w:val="009B63F0"/>
    <w:rsid w:val="009B6414"/>
    <w:rsid w:val="009B64DA"/>
    <w:rsid w:val="009B654A"/>
    <w:rsid w:val="009B663D"/>
    <w:rsid w:val="009B6649"/>
    <w:rsid w:val="009B66D3"/>
    <w:rsid w:val="009B66EA"/>
    <w:rsid w:val="009B6704"/>
    <w:rsid w:val="009B6846"/>
    <w:rsid w:val="009B6894"/>
    <w:rsid w:val="009B68A0"/>
    <w:rsid w:val="009B68AF"/>
    <w:rsid w:val="009B68F6"/>
    <w:rsid w:val="009B6995"/>
    <w:rsid w:val="009B6A16"/>
    <w:rsid w:val="009B6A5C"/>
    <w:rsid w:val="009B6AEF"/>
    <w:rsid w:val="009B6B5A"/>
    <w:rsid w:val="009B6C0C"/>
    <w:rsid w:val="009B6C24"/>
    <w:rsid w:val="009B6CCB"/>
    <w:rsid w:val="009B6CE7"/>
    <w:rsid w:val="009B6D68"/>
    <w:rsid w:val="009B6DDA"/>
    <w:rsid w:val="009B6F1E"/>
    <w:rsid w:val="009B6F6E"/>
    <w:rsid w:val="009B704B"/>
    <w:rsid w:val="009B707C"/>
    <w:rsid w:val="009B708A"/>
    <w:rsid w:val="009B70CE"/>
    <w:rsid w:val="009B7127"/>
    <w:rsid w:val="009B714E"/>
    <w:rsid w:val="009B7205"/>
    <w:rsid w:val="009B73F7"/>
    <w:rsid w:val="009B7428"/>
    <w:rsid w:val="009B7492"/>
    <w:rsid w:val="009B7558"/>
    <w:rsid w:val="009B756A"/>
    <w:rsid w:val="009B75F9"/>
    <w:rsid w:val="009B76AA"/>
    <w:rsid w:val="009B777B"/>
    <w:rsid w:val="009B77F4"/>
    <w:rsid w:val="009B789F"/>
    <w:rsid w:val="009B78CF"/>
    <w:rsid w:val="009B79E9"/>
    <w:rsid w:val="009B7AAC"/>
    <w:rsid w:val="009B7AB0"/>
    <w:rsid w:val="009B7AF1"/>
    <w:rsid w:val="009B7B17"/>
    <w:rsid w:val="009B7BC1"/>
    <w:rsid w:val="009B7BC3"/>
    <w:rsid w:val="009B7BDE"/>
    <w:rsid w:val="009B7C50"/>
    <w:rsid w:val="009B7C57"/>
    <w:rsid w:val="009B7C88"/>
    <w:rsid w:val="009B7CBE"/>
    <w:rsid w:val="009B7D11"/>
    <w:rsid w:val="009B7D7E"/>
    <w:rsid w:val="009B7D88"/>
    <w:rsid w:val="009B7DBA"/>
    <w:rsid w:val="009B7DC7"/>
    <w:rsid w:val="009B7E49"/>
    <w:rsid w:val="009B7E7B"/>
    <w:rsid w:val="009B7EA2"/>
    <w:rsid w:val="009B7EAB"/>
    <w:rsid w:val="009B7EB2"/>
    <w:rsid w:val="009B7F1C"/>
    <w:rsid w:val="009B7F50"/>
    <w:rsid w:val="009B7F63"/>
    <w:rsid w:val="009C0013"/>
    <w:rsid w:val="009C0060"/>
    <w:rsid w:val="009C00F2"/>
    <w:rsid w:val="009C016B"/>
    <w:rsid w:val="009C017E"/>
    <w:rsid w:val="009C017F"/>
    <w:rsid w:val="009C01A7"/>
    <w:rsid w:val="009C0296"/>
    <w:rsid w:val="009C02B1"/>
    <w:rsid w:val="009C02D9"/>
    <w:rsid w:val="009C0348"/>
    <w:rsid w:val="009C03B6"/>
    <w:rsid w:val="009C03ED"/>
    <w:rsid w:val="009C0435"/>
    <w:rsid w:val="009C0473"/>
    <w:rsid w:val="009C060F"/>
    <w:rsid w:val="009C061F"/>
    <w:rsid w:val="009C0645"/>
    <w:rsid w:val="009C08EB"/>
    <w:rsid w:val="009C095A"/>
    <w:rsid w:val="009C0A47"/>
    <w:rsid w:val="009C0B76"/>
    <w:rsid w:val="009C0BA2"/>
    <w:rsid w:val="009C0C04"/>
    <w:rsid w:val="009C0C7C"/>
    <w:rsid w:val="009C0D29"/>
    <w:rsid w:val="009C0D3C"/>
    <w:rsid w:val="009C0D82"/>
    <w:rsid w:val="009C0FAD"/>
    <w:rsid w:val="009C0FE0"/>
    <w:rsid w:val="009C0FE9"/>
    <w:rsid w:val="009C100E"/>
    <w:rsid w:val="009C1040"/>
    <w:rsid w:val="009C1058"/>
    <w:rsid w:val="009C106C"/>
    <w:rsid w:val="009C1130"/>
    <w:rsid w:val="009C11BF"/>
    <w:rsid w:val="009C1233"/>
    <w:rsid w:val="009C1235"/>
    <w:rsid w:val="009C12A1"/>
    <w:rsid w:val="009C1322"/>
    <w:rsid w:val="009C135D"/>
    <w:rsid w:val="009C1379"/>
    <w:rsid w:val="009C14A9"/>
    <w:rsid w:val="009C1520"/>
    <w:rsid w:val="009C1552"/>
    <w:rsid w:val="009C15B3"/>
    <w:rsid w:val="009C160F"/>
    <w:rsid w:val="009C167B"/>
    <w:rsid w:val="009C16A7"/>
    <w:rsid w:val="009C1742"/>
    <w:rsid w:val="009C175A"/>
    <w:rsid w:val="009C1938"/>
    <w:rsid w:val="009C196B"/>
    <w:rsid w:val="009C1980"/>
    <w:rsid w:val="009C198B"/>
    <w:rsid w:val="009C198C"/>
    <w:rsid w:val="009C19A8"/>
    <w:rsid w:val="009C19FD"/>
    <w:rsid w:val="009C1A0D"/>
    <w:rsid w:val="009C1A18"/>
    <w:rsid w:val="009C1AB1"/>
    <w:rsid w:val="009C1B1F"/>
    <w:rsid w:val="009C1B2E"/>
    <w:rsid w:val="009C1B3D"/>
    <w:rsid w:val="009C1B42"/>
    <w:rsid w:val="009C1B74"/>
    <w:rsid w:val="009C1B85"/>
    <w:rsid w:val="009C1C43"/>
    <w:rsid w:val="009C1D85"/>
    <w:rsid w:val="009C1D94"/>
    <w:rsid w:val="009C1E6B"/>
    <w:rsid w:val="009C1ECD"/>
    <w:rsid w:val="009C1F1B"/>
    <w:rsid w:val="009C1F94"/>
    <w:rsid w:val="009C2043"/>
    <w:rsid w:val="009C209E"/>
    <w:rsid w:val="009C20E8"/>
    <w:rsid w:val="009C2157"/>
    <w:rsid w:val="009C215F"/>
    <w:rsid w:val="009C21BC"/>
    <w:rsid w:val="009C21EF"/>
    <w:rsid w:val="009C2304"/>
    <w:rsid w:val="009C230F"/>
    <w:rsid w:val="009C2398"/>
    <w:rsid w:val="009C23C2"/>
    <w:rsid w:val="009C23E7"/>
    <w:rsid w:val="009C240D"/>
    <w:rsid w:val="009C2428"/>
    <w:rsid w:val="009C2442"/>
    <w:rsid w:val="009C2494"/>
    <w:rsid w:val="009C251D"/>
    <w:rsid w:val="009C2523"/>
    <w:rsid w:val="009C2534"/>
    <w:rsid w:val="009C2593"/>
    <w:rsid w:val="009C263A"/>
    <w:rsid w:val="009C2661"/>
    <w:rsid w:val="009C267B"/>
    <w:rsid w:val="009C2688"/>
    <w:rsid w:val="009C2716"/>
    <w:rsid w:val="009C271D"/>
    <w:rsid w:val="009C2793"/>
    <w:rsid w:val="009C2798"/>
    <w:rsid w:val="009C27E5"/>
    <w:rsid w:val="009C281D"/>
    <w:rsid w:val="009C298C"/>
    <w:rsid w:val="009C29AC"/>
    <w:rsid w:val="009C2AD7"/>
    <w:rsid w:val="009C2B16"/>
    <w:rsid w:val="009C2B6D"/>
    <w:rsid w:val="009C2B92"/>
    <w:rsid w:val="009C2B93"/>
    <w:rsid w:val="009C2BCB"/>
    <w:rsid w:val="009C2C3F"/>
    <w:rsid w:val="009C2CC4"/>
    <w:rsid w:val="009C2D73"/>
    <w:rsid w:val="009C2DDC"/>
    <w:rsid w:val="009C2EC6"/>
    <w:rsid w:val="009C3060"/>
    <w:rsid w:val="009C30D6"/>
    <w:rsid w:val="009C30DA"/>
    <w:rsid w:val="009C3144"/>
    <w:rsid w:val="009C3172"/>
    <w:rsid w:val="009C31CC"/>
    <w:rsid w:val="009C321A"/>
    <w:rsid w:val="009C3246"/>
    <w:rsid w:val="009C32CB"/>
    <w:rsid w:val="009C32D6"/>
    <w:rsid w:val="009C32EA"/>
    <w:rsid w:val="009C3431"/>
    <w:rsid w:val="009C3445"/>
    <w:rsid w:val="009C354B"/>
    <w:rsid w:val="009C35AD"/>
    <w:rsid w:val="009C37B0"/>
    <w:rsid w:val="009C37EB"/>
    <w:rsid w:val="009C3800"/>
    <w:rsid w:val="009C3894"/>
    <w:rsid w:val="009C38A1"/>
    <w:rsid w:val="009C38D3"/>
    <w:rsid w:val="009C391A"/>
    <w:rsid w:val="009C39D8"/>
    <w:rsid w:val="009C3A70"/>
    <w:rsid w:val="009C3A72"/>
    <w:rsid w:val="009C3A9A"/>
    <w:rsid w:val="009C3ABF"/>
    <w:rsid w:val="009C3B56"/>
    <w:rsid w:val="009C3BC9"/>
    <w:rsid w:val="009C3BDE"/>
    <w:rsid w:val="009C3C0D"/>
    <w:rsid w:val="009C3C35"/>
    <w:rsid w:val="009C3D56"/>
    <w:rsid w:val="009C3EA5"/>
    <w:rsid w:val="009C3F4E"/>
    <w:rsid w:val="009C4050"/>
    <w:rsid w:val="009C40D3"/>
    <w:rsid w:val="009C415F"/>
    <w:rsid w:val="009C423F"/>
    <w:rsid w:val="009C42C5"/>
    <w:rsid w:val="009C4302"/>
    <w:rsid w:val="009C437A"/>
    <w:rsid w:val="009C440B"/>
    <w:rsid w:val="009C443F"/>
    <w:rsid w:val="009C447F"/>
    <w:rsid w:val="009C4489"/>
    <w:rsid w:val="009C44CA"/>
    <w:rsid w:val="009C44DF"/>
    <w:rsid w:val="009C4528"/>
    <w:rsid w:val="009C4563"/>
    <w:rsid w:val="009C45DB"/>
    <w:rsid w:val="009C45E4"/>
    <w:rsid w:val="009C4627"/>
    <w:rsid w:val="009C4641"/>
    <w:rsid w:val="009C4658"/>
    <w:rsid w:val="009C469C"/>
    <w:rsid w:val="009C46CB"/>
    <w:rsid w:val="009C4709"/>
    <w:rsid w:val="009C4739"/>
    <w:rsid w:val="009C47B4"/>
    <w:rsid w:val="009C48AC"/>
    <w:rsid w:val="009C48F6"/>
    <w:rsid w:val="009C49E9"/>
    <w:rsid w:val="009C4A7A"/>
    <w:rsid w:val="009C4A9A"/>
    <w:rsid w:val="009C4AE3"/>
    <w:rsid w:val="009C4B1C"/>
    <w:rsid w:val="009C4C38"/>
    <w:rsid w:val="009C4C47"/>
    <w:rsid w:val="009C4CFB"/>
    <w:rsid w:val="009C4D35"/>
    <w:rsid w:val="009C4DBF"/>
    <w:rsid w:val="009C4DE3"/>
    <w:rsid w:val="009C4DE9"/>
    <w:rsid w:val="009C4E00"/>
    <w:rsid w:val="009C4E5D"/>
    <w:rsid w:val="009C4EB5"/>
    <w:rsid w:val="009C4ECF"/>
    <w:rsid w:val="009C4EFC"/>
    <w:rsid w:val="009C4F4C"/>
    <w:rsid w:val="009C5052"/>
    <w:rsid w:val="009C5101"/>
    <w:rsid w:val="009C5113"/>
    <w:rsid w:val="009C51B3"/>
    <w:rsid w:val="009C523C"/>
    <w:rsid w:val="009C52AE"/>
    <w:rsid w:val="009C5387"/>
    <w:rsid w:val="009C53BA"/>
    <w:rsid w:val="009C53EB"/>
    <w:rsid w:val="009C54E2"/>
    <w:rsid w:val="009C54F5"/>
    <w:rsid w:val="009C5547"/>
    <w:rsid w:val="009C5674"/>
    <w:rsid w:val="009C56B1"/>
    <w:rsid w:val="009C56EB"/>
    <w:rsid w:val="009C56F9"/>
    <w:rsid w:val="009C578F"/>
    <w:rsid w:val="009C57FE"/>
    <w:rsid w:val="009C580B"/>
    <w:rsid w:val="009C596D"/>
    <w:rsid w:val="009C5A32"/>
    <w:rsid w:val="009C5B25"/>
    <w:rsid w:val="009C5B5A"/>
    <w:rsid w:val="009C5B85"/>
    <w:rsid w:val="009C5C22"/>
    <w:rsid w:val="009C5C44"/>
    <w:rsid w:val="009C5C62"/>
    <w:rsid w:val="009C5CBA"/>
    <w:rsid w:val="009C5DD5"/>
    <w:rsid w:val="009C5DDB"/>
    <w:rsid w:val="009C5E1E"/>
    <w:rsid w:val="009C5E50"/>
    <w:rsid w:val="009C604B"/>
    <w:rsid w:val="009C60AD"/>
    <w:rsid w:val="009C611F"/>
    <w:rsid w:val="009C6214"/>
    <w:rsid w:val="009C623C"/>
    <w:rsid w:val="009C639E"/>
    <w:rsid w:val="009C63BC"/>
    <w:rsid w:val="009C6451"/>
    <w:rsid w:val="009C6563"/>
    <w:rsid w:val="009C660F"/>
    <w:rsid w:val="009C6735"/>
    <w:rsid w:val="009C673E"/>
    <w:rsid w:val="009C6811"/>
    <w:rsid w:val="009C6835"/>
    <w:rsid w:val="009C683A"/>
    <w:rsid w:val="009C686C"/>
    <w:rsid w:val="009C6903"/>
    <w:rsid w:val="009C6910"/>
    <w:rsid w:val="009C692F"/>
    <w:rsid w:val="009C6996"/>
    <w:rsid w:val="009C69C8"/>
    <w:rsid w:val="009C6A01"/>
    <w:rsid w:val="009C6AC8"/>
    <w:rsid w:val="009C6B5A"/>
    <w:rsid w:val="009C6BCF"/>
    <w:rsid w:val="009C6BFE"/>
    <w:rsid w:val="009C6C3A"/>
    <w:rsid w:val="009C6D3D"/>
    <w:rsid w:val="009C6DEE"/>
    <w:rsid w:val="009C6E1F"/>
    <w:rsid w:val="009C6EC3"/>
    <w:rsid w:val="009C6ECE"/>
    <w:rsid w:val="009C6F6D"/>
    <w:rsid w:val="009C6FDB"/>
    <w:rsid w:val="009C7044"/>
    <w:rsid w:val="009C7067"/>
    <w:rsid w:val="009C70E5"/>
    <w:rsid w:val="009C710C"/>
    <w:rsid w:val="009C7156"/>
    <w:rsid w:val="009C7159"/>
    <w:rsid w:val="009C71DD"/>
    <w:rsid w:val="009C720D"/>
    <w:rsid w:val="009C72C3"/>
    <w:rsid w:val="009C72D4"/>
    <w:rsid w:val="009C7331"/>
    <w:rsid w:val="009C7345"/>
    <w:rsid w:val="009C736F"/>
    <w:rsid w:val="009C7508"/>
    <w:rsid w:val="009C754B"/>
    <w:rsid w:val="009C7592"/>
    <w:rsid w:val="009C75B2"/>
    <w:rsid w:val="009C75E6"/>
    <w:rsid w:val="009C75E8"/>
    <w:rsid w:val="009C765B"/>
    <w:rsid w:val="009C781D"/>
    <w:rsid w:val="009C796C"/>
    <w:rsid w:val="009C7984"/>
    <w:rsid w:val="009C7998"/>
    <w:rsid w:val="009C7A7D"/>
    <w:rsid w:val="009C7AFC"/>
    <w:rsid w:val="009C7B1C"/>
    <w:rsid w:val="009C7BE0"/>
    <w:rsid w:val="009C7C12"/>
    <w:rsid w:val="009C7D03"/>
    <w:rsid w:val="009C7D09"/>
    <w:rsid w:val="009C7D0F"/>
    <w:rsid w:val="009C7D3E"/>
    <w:rsid w:val="009C7D8E"/>
    <w:rsid w:val="009C7DD2"/>
    <w:rsid w:val="009C7DE7"/>
    <w:rsid w:val="009C7E6B"/>
    <w:rsid w:val="009C7E6C"/>
    <w:rsid w:val="009C7E89"/>
    <w:rsid w:val="009C7EDF"/>
    <w:rsid w:val="009C7F27"/>
    <w:rsid w:val="009C7FE6"/>
    <w:rsid w:val="009D0007"/>
    <w:rsid w:val="009D000A"/>
    <w:rsid w:val="009D0020"/>
    <w:rsid w:val="009D0150"/>
    <w:rsid w:val="009D01FD"/>
    <w:rsid w:val="009D0206"/>
    <w:rsid w:val="009D029F"/>
    <w:rsid w:val="009D03A1"/>
    <w:rsid w:val="009D03B5"/>
    <w:rsid w:val="009D03F5"/>
    <w:rsid w:val="009D0487"/>
    <w:rsid w:val="009D04D7"/>
    <w:rsid w:val="009D05AC"/>
    <w:rsid w:val="009D061D"/>
    <w:rsid w:val="009D0646"/>
    <w:rsid w:val="009D069D"/>
    <w:rsid w:val="009D074A"/>
    <w:rsid w:val="009D074C"/>
    <w:rsid w:val="009D0801"/>
    <w:rsid w:val="009D081E"/>
    <w:rsid w:val="009D086E"/>
    <w:rsid w:val="009D08B0"/>
    <w:rsid w:val="009D0933"/>
    <w:rsid w:val="009D09B8"/>
    <w:rsid w:val="009D0A52"/>
    <w:rsid w:val="009D0B21"/>
    <w:rsid w:val="009D0C9A"/>
    <w:rsid w:val="009D0D2A"/>
    <w:rsid w:val="009D0D5F"/>
    <w:rsid w:val="009D0D6F"/>
    <w:rsid w:val="009D0D70"/>
    <w:rsid w:val="009D0D7C"/>
    <w:rsid w:val="009D0EAB"/>
    <w:rsid w:val="009D0EE6"/>
    <w:rsid w:val="009D1020"/>
    <w:rsid w:val="009D107E"/>
    <w:rsid w:val="009D10F1"/>
    <w:rsid w:val="009D10F7"/>
    <w:rsid w:val="009D1100"/>
    <w:rsid w:val="009D1135"/>
    <w:rsid w:val="009D1187"/>
    <w:rsid w:val="009D118C"/>
    <w:rsid w:val="009D12EE"/>
    <w:rsid w:val="009D1430"/>
    <w:rsid w:val="009D1445"/>
    <w:rsid w:val="009D165E"/>
    <w:rsid w:val="009D1665"/>
    <w:rsid w:val="009D1688"/>
    <w:rsid w:val="009D16A1"/>
    <w:rsid w:val="009D16CE"/>
    <w:rsid w:val="009D16DD"/>
    <w:rsid w:val="009D1714"/>
    <w:rsid w:val="009D174A"/>
    <w:rsid w:val="009D17A7"/>
    <w:rsid w:val="009D186A"/>
    <w:rsid w:val="009D1898"/>
    <w:rsid w:val="009D18A0"/>
    <w:rsid w:val="009D1966"/>
    <w:rsid w:val="009D19B7"/>
    <w:rsid w:val="009D19EE"/>
    <w:rsid w:val="009D1A52"/>
    <w:rsid w:val="009D1AC1"/>
    <w:rsid w:val="009D1AE4"/>
    <w:rsid w:val="009D1B38"/>
    <w:rsid w:val="009D1B84"/>
    <w:rsid w:val="009D1C99"/>
    <w:rsid w:val="009D1C9E"/>
    <w:rsid w:val="009D1CE6"/>
    <w:rsid w:val="009D1D34"/>
    <w:rsid w:val="009D1D82"/>
    <w:rsid w:val="009D1DC8"/>
    <w:rsid w:val="009D1E22"/>
    <w:rsid w:val="009D1E64"/>
    <w:rsid w:val="009D1E65"/>
    <w:rsid w:val="009D1E83"/>
    <w:rsid w:val="009D1F15"/>
    <w:rsid w:val="009D204A"/>
    <w:rsid w:val="009D20E5"/>
    <w:rsid w:val="009D21B0"/>
    <w:rsid w:val="009D21C8"/>
    <w:rsid w:val="009D2202"/>
    <w:rsid w:val="009D2206"/>
    <w:rsid w:val="009D2246"/>
    <w:rsid w:val="009D22E8"/>
    <w:rsid w:val="009D22F9"/>
    <w:rsid w:val="009D22FF"/>
    <w:rsid w:val="009D2330"/>
    <w:rsid w:val="009D237A"/>
    <w:rsid w:val="009D23CF"/>
    <w:rsid w:val="009D23D1"/>
    <w:rsid w:val="009D24B7"/>
    <w:rsid w:val="009D24C4"/>
    <w:rsid w:val="009D2506"/>
    <w:rsid w:val="009D256F"/>
    <w:rsid w:val="009D2575"/>
    <w:rsid w:val="009D25B3"/>
    <w:rsid w:val="009D25EA"/>
    <w:rsid w:val="009D277C"/>
    <w:rsid w:val="009D2853"/>
    <w:rsid w:val="009D290D"/>
    <w:rsid w:val="009D2926"/>
    <w:rsid w:val="009D2B5D"/>
    <w:rsid w:val="009D2C92"/>
    <w:rsid w:val="009D2CF7"/>
    <w:rsid w:val="009D2D45"/>
    <w:rsid w:val="009D2D68"/>
    <w:rsid w:val="009D2DE9"/>
    <w:rsid w:val="009D2E16"/>
    <w:rsid w:val="009D2E9C"/>
    <w:rsid w:val="009D2F3B"/>
    <w:rsid w:val="009D2F84"/>
    <w:rsid w:val="009D3018"/>
    <w:rsid w:val="009D3028"/>
    <w:rsid w:val="009D3036"/>
    <w:rsid w:val="009D303B"/>
    <w:rsid w:val="009D309F"/>
    <w:rsid w:val="009D30EA"/>
    <w:rsid w:val="009D30FC"/>
    <w:rsid w:val="009D3129"/>
    <w:rsid w:val="009D31A8"/>
    <w:rsid w:val="009D31E4"/>
    <w:rsid w:val="009D322F"/>
    <w:rsid w:val="009D32BC"/>
    <w:rsid w:val="009D32ED"/>
    <w:rsid w:val="009D338D"/>
    <w:rsid w:val="009D33D2"/>
    <w:rsid w:val="009D349A"/>
    <w:rsid w:val="009D349F"/>
    <w:rsid w:val="009D34E5"/>
    <w:rsid w:val="009D351C"/>
    <w:rsid w:val="009D3538"/>
    <w:rsid w:val="009D358F"/>
    <w:rsid w:val="009D3594"/>
    <w:rsid w:val="009D35D5"/>
    <w:rsid w:val="009D363B"/>
    <w:rsid w:val="009D366C"/>
    <w:rsid w:val="009D366F"/>
    <w:rsid w:val="009D3771"/>
    <w:rsid w:val="009D3778"/>
    <w:rsid w:val="009D3788"/>
    <w:rsid w:val="009D3796"/>
    <w:rsid w:val="009D379E"/>
    <w:rsid w:val="009D387E"/>
    <w:rsid w:val="009D38DC"/>
    <w:rsid w:val="009D39EA"/>
    <w:rsid w:val="009D3A5F"/>
    <w:rsid w:val="009D3ACB"/>
    <w:rsid w:val="009D3AE6"/>
    <w:rsid w:val="009D3B2F"/>
    <w:rsid w:val="009D3B63"/>
    <w:rsid w:val="009D3B7E"/>
    <w:rsid w:val="009D3B97"/>
    <w:rsid w:val="009D3BFD"/>
    <w:rsid w:val="009D3C5D"/>
    <w:rsid w:val="009D3CB9"/>
    <w:rsid w:val="009D3D5C"/>
    <w:rsid w:val="009D3E29"/>
    <w:rsid w:val="009D3EDB"/>
    <w:rsid w:val="009D3F04"/>
    <w:rsid w:val="009D3F48"/>
    <w:rsid w:val="009D3FE5"/>
    <w:rsid w:val="009D403A"/>
    <w:rsid w:val="009D4062"/>
    <w:rsid w:val="009D418A"/>
    <w:rsid w:val="009D41ED"/>
    <w:rsid w:val="009D42DC"/>
    <w:rsid w:val="009D437E"/>
    <w:rsid w:val="009D448A"/>
    <w:rsid w:val="009D44B4"/>
    <w:rsid w:val="009D457E"/>
    <w:rsid w:val="009D4611"/>
    <w:rsid w:val="009D4626"/>
    <w:rsid w:val="009D4629"/>
    <w:rsid w:val="009D4662"/>
    <w:rsid w:val="009D46EE"/>
    <w:rsid w:val="009D4744"/>
    <w:rsid w:val="009D4755"/>
    <w:rsid w:val="009D480E"/>
    <w:rsid w:val="009D4816"/>
    <w:rsid w:val="009D481F"/>
    <w:rsid w:val="009D487F"/>
    <w:rsid w:val="009D48BA"/>
    <w:rsid w:val="009D48CF"/>
    <w:rsid w:val="009D48D2"/>
    <w:rsid w:val="009D495A"/>
    <w:rsid w:val="009D4996"/>
    <w:rsid w:val="009D4A41"/>
    <w:rsid w:val="009D4A86"/>
    <w:rsid w:val="009D4A97"/>
    <w:rsid w:val="009D4AB5"/>
    <w:rsid w:val="009D4AC6"/>
    <w:rsid w:val="009D4AEB"/>
    <w:rsid w:val="009D4C6B"/>
    <w:rsid w:val="009D4C85"/>
    <w:rsid w:val="009D4CD1"/>
    <w:rsid w:val="009D4CEB"/>
    <w:rsid w:val="009D4D0C"/>
    <w:rsid w:val="009D4D14"/>
    <w:rsid w:val="009D4DA8"/>
    <w:rsid w:val="009D4DB2"/>
    <w:rsid w:val="009D4DB4"/>
    <w:rsid w:val="009D4F56"/>
    <w:rsid w:val="009D4F57"/>
    <w:rsid w:val="009D4FBA"/>
    <w:rsid w:val="009D5012"/>
    <w:rsid w:val="009D505C"/>
    <w:rsid w:val="009D5080"/>
    <w:rsid w:val="009D50B5"/>
    <w:rsid w:val="009D5110"/>
    <w:rsid w:val="009D5117"/>
    <w:rsid w:val="009D5172"/>
    <w:rsid w:val="009D51F2"/>
    <w:rsid w:val="009D5224"/>
    <w:rsid w:val="009D525C"/>
    <w:rsid w:val="009D529B"/>
    <w:rsid w:val="009D52BE"/>
    <w:rsid w:val="009D52DA"/>
    <w:rsid w:val="009D5332"/>
    <w:rsid w:val="009D5410"/>
    <w:rsid w:val="009D5421"/>
    <w:rsid w:val="009D542C"/>
    <w:rsid w:val="009D5449"/>
    <w:rsid w:val="009D54B2"/>
    <w:rsid w:val="009D55E1"/>
    <w:rsid w:val="009D560E"/>
    <w:rsid w:val="009D5682"/>
    <w:rsid w:val="009D56CB"/>
    <w:rsid w:val="009D56DE"/>
    <w:rsid w:val="009D570A"/>
    <w:rsid w:val="009D5716"/>
    <w:rsid w:val="009D57E5"/>
    <w:rsid w:val="009D582D"/>
    <w:rsid w:val="009D5868"/>
    <w:rsid w:val="009D587D"/>
    <w:rsid w:val="009D5892"/>
    <w:rsid w:val="009D58B4"/>
    <w:rsid w:val="009D594D"/>
    <w:rsid w:val="009D599C"/>
    <w:rsid w:val="009D59EF"/>
    <w:rsid w:val="009D5A0C"/>
    <w:rsid w:val="009D5A8E"/>
    <w:rsid w:val="009D5B0A"/>
    <w:rsid w:val="009D5B48"/>
    <w:rsid w:val="009D5BBE"/>
    <w:rsid w:val="009D5BF2"/>
    <w:rsid w:val="009D5CF8"/>
    <w:rsid w:val="009D5D51"/>
    <w:rsid w:val="009D5D61"/>
    <w:rsid w:val="009D5E28"/>
    <w:rsid w:val="009D5EC7"/>
    <w:rsid w:val="009D601C"/>
    <w:rsid w:val="009D6049"/>
    <w:rsid w:val="009D6153"/>
    <w:rsid w:val="009D61CB"/>
    <w:rsid w:val="009D61CE"/>
    <w:rsid w:val="009D62B8"/>
    <w:rsid w:val="009D6400"/>
    <w:rsid w:val="009D641C"/>
    <w:rsid w:val="009D645F"/>
    <w:rsid w:val="009D65F0"/>
    <w:rsid w:val="009D66FF"/>
    <w:rsid w:val="009D6761"/>
    <w:rsid w:val="009D6762"/>
    <w:rsid w:val="009D6790"/>
    <w:rsid w:val="009D67A4"/>
    <w:rsid w:val="009D67AB"/>
    <w:rsid w:val="009D68CB"/>
    <w:rsid w:val="009D68FB"/>
    <w:rsid w:val="009D6914"/>
    <w:rsid w:val="009D6919"/>
    <w:rsid w:val="009D6989"/>
    <w:rsid w:val="009D69EC"/>
    <w:rsid w:val="009D6A16"/>
    <w:rsid w:val="009D6A26"/>
    <w:rsid w:val="009D6AC4"/>
    <w:rsid w:val="009D6AEC"/>
    <w:rsid w:val="009D6B4C"/>
    <w:rsid w:val="009D6C12"/>
    <w:rsid w:val="009D6C1D"/>
    <w:rsid w:val="009D6C1F"/>
    <w:rsid w:val="009D6C28"/>
    <w:rsid w:val="009D6CAD"/>
    <w:rsid w:val="009D6CCC"/>
    <w:rsid w:val="009D6D1A"/>
    <w:rsid w:val="009D6E72"/>
    <w:rsid w:val="009D6E8B"/>
    <w:rsid w:val="009D6E92"/>
    <w:rsid w:val="009D6F92"/>
    <w:rsid w:val="009D6FBF"/>
    <w:rsid w:val="009D70B2"/>
    <w:rsid w:val="009D70E7"/>
    <w:rsid w:val="009D713A"/>
    <w:rsid w:val="009D7245"/>
    <w:rsid w:val="009D7338"/>
    <w:rsid w:val="009D7564"/>
    <w:rsid w:val="009D75AD"/>
    <w:rsid w:val="009D766D"/>
    <w:rsid w:val="009D771A"/>
    <w:rsid w:val="009D7782"/>
    <w:rsid w:val="009D77C0"/>
    <w:rsid w:val="009D780C"/>
    <w:rsid w:val="009D781A"/>
    <w:rsid w:val="009D7890"/>
    <w:rsid w:val="009D7900"/>
    <w:rsid w:val="009D7937"/>
    <w:rsid w:val="009D79AD"/>
    <w:rsid w:val="009D7A3E"/>
    <w:rsid w:val="009D7AD4"/>
    <w:rsid w:val="009D7BA4"/>
    <w:rsid w:val="009D7C13"/>
    <w:rsid w:val="009D7C8F"/>
    <w:rsid w:val="009D7E84"/>
    <w:rsid w:val="009D7ED4"/>
    <w:rsid w:val="009D7F52"/>
    <w:rsid w:val="009E0023"/>
    <w:rsid w:val="009E0055"/>
    <w:rsid w:val="009E00BB"/>
    <w:rsid w:val="009E00D9"/>
    <w:rsid w:val="009E00F5"/>
    <w:rsid w:val="009E013D"/>
    <w:rsid w:val="009E014E"/>
    <w:rsid w:val="009E016B"/>
    <w:rsid w:val="009E0207"/>
    <w:rsid w:val="009E0280"/>
    <w:rsid w:val="009E02D6"/>
    <w:rsid w:val="009E039B"/>
    <w:rsid w:val="009E049C"/>
    <w:rsid w:val="009E0554"/>
    <w:rsid w:val="009E0595"/>
    <w:rsid w:val="009E05DE"/>
    <w:rsid w:val="009E0676"/>
    <w:rsid w:val="009E06B4"/>
    <w:rsid w:val="009E0710"/>
    <w:rsid w:val="009E07B2"/>
    <w:rsid w:val="009E07E3"/>
    <w:rsid w:val="009E07F1"/>
    <w:rsid w:val="009E0848"/>
    <w:rsid w:val="009E08ED"/>
    <w:rsid w:val="009E0B0A"/>
    <w:rsid w:val="009E0B0C"/>
    <w:rsid w:val="009E0B0F"/>
    <w:rsid w:val="009E0B11"/>
    <w:rsid w:val="009E0BC0"/>
    <w:rsid w:val="009E0C63"/>
    <w:rsid w:val="009E0C90"/>
    <w:rsid w:val="009E0F29"/>
    <w:rsid w:val="009E0F83"/>
    <w:rsid w:val="009E0FAF"/>
    <w:rsid w:val="009E10F0"/>
    <w:rsid w:val="009E11AA"/>
    <w:rsid w:val="009E11D2"/>
    <w:rsid w:val="009E123A"/>
    <w:rsid w:val="009E12D3"/>
    <w:rsid w:val="009E13AB"/>
    <w:rsid w:val="009E13FC"/>
    <w:rsid w:val="009E14B1"/>
    <w:rsid w:val="009E1617"/>
    <w:rsid w:val="009E16B2"/>
    <w:rsid w:val="009E16C9"/>
    <w:rsid w:val="009E1724"/>
    <w:rsid w:val="009E1727"/>
    <w:rsid w:val="009E1787"/>
    <w:rsid w:val="009E17CA"/>
    <w:rsid w:val="009E1838"/>
    <w:rsid w:val="009E1861"/>
    <w:rsid w:val="009E191A"/>
    <w:rsid w:val="009E195A"/>
    <w:rsid w:val="009E197E"/>
    <w:rsid w:val="009E19E6"/>
    <w:rsid w:val="009E19F9"/>
    <w:rsid w:val="009E1A12"/>
    <w:rsid w:val="009E1AB5"/>
    <w:rsid w:val="009E1AC6"/>
    <w:rsid w:val="009E1ADF"/>
    <w:rsid w:val="009E1B50"/>
    <w:rsid w:val="009E1BA2"/>
    <w:rsid w:val="009E1C88"/>
    <w:rsid w:val="009E1CBB"/>
    <w:rsid w:val="009E1CE6"/>
    <w:rsid w:val="009E1E21"/>
    <w:rsid w:val="009E1ED7"/>
    <w:rsid w:val="009E1F3B"/>
    <w:rsid w:val="009E1F3F"/>
    <w:rsid w:val="009E2046"/>
    <w:rsid w:val="009E206E"/>
    <w:rsid w:val="009E2087"/>
    <w:rsid w:val="009E2143"/>
    <w:rsid w:val="009E2238"/>
    <w:rsid w:val="009E22A8"/>
    <w:rsid w:val="009E22CD"/>
    <w:rsid w:val="009E22F6"/>
    <w:rsid w:val="009E234C"/>
    <w:rsid w:val="009E23BF"/>
    <w:rsid w:val="009E241A"/>
    <w:rsid w:val="009E2457"/>
    <w:rsid w:val="009E24BE"/>
    <w:rsid w:val="009E2536"/>
    <w:rsid w:val="009E25B0"/>
    <w:rsid w:val="009E2601"/>
    <w:rsid w:val="009E2623"/>
    <w:rsid w:val="009E2639"/>
    <w:rsid w:val="009E2676"/>
    <w:rsid w:val="009E278B"/>
    <w:rsid w:val="009E2834"/>
    <w:rsid w:val="009E2926"/>
    <w:rsid w:val="009E2972"/>
    <w:rsid w:val="009E29BC"/>
    <w:rsid w:val="009E29DB"/>
    <w:rsid w:val="009E2AC3"/>
    <w:rsid w:val="009E2B15"/>
    <w:rsid w:val="009E2BBA"/>
    <w:rsid w:val="009E2BD2"/>
    <w:rsid w:val="009E2BFE"/>
    <w:rsid w:val="009E2C17"/>
    <w:rsid w:val="009E2C80"/>
    <w:rsid w:val="009E2C85"/>
    <w:rsid w:val="009E2C9C"/>
    <w:rsid w:val="009E2CAC"/>
    <w:rsid w:val="009E2CF7"/>
    <w:rsid w:val="009E2E0A"/>
    <w:rsid w:val="009E2EE1"/>
    <w:rsid w:val="009E2F9D"/>
    <w:rsid w:val="009E30B9"/>
    <w:rsid w:val="009E310E"/>
    <w:rsid w:val="009E3151"/>
    <w:rsid w:val="009E3295"/>
    <w:rsid w:val="009E332E"/>
    <w:rsid w:val="009E336B"/>
    <w:rsid w:val="009E3374"/>
    <w:rsid w:val="009E3422"/>
    <w:rsid w:val="009E35A2"/>
    <w:rsid w:val="009E35EB"/>
    <w:rsid w:val="009E361C"/>
    <w:rsid w:val="009E3985"/>
    <w:rsid w:val="009E3A56"/>
    <w:rsid w:val="009E3A70"/>
    <w:rsid w:val="009E3AA3"/>
    <w:rsid w:val="009E3AFB"/>
    <w:rsid w:val="009E3B6E"/>
    <w:rsid w:val="009E3C5D"/>
    <w:rsid w:val="009E3EB8"/>
    <w:rsid w:val="009E3F9F"/>
    <w:rsid w:val="009E4036"/>
    <w:rsid w:val="009E406F"/>
    <w:rsid w:val="009E40F8"/>
    <w:rsid w:val="009E4103"/>
    <w:rsid w:val="009E41C6"/>
    <w:rsid w:val="009E41F6"/>
    <w:rsid w:val="009E4236"/>
    <w:rsid w:val="009E4312"/>
    <w:rsid w:val="009E43DF"/>
    <w:rsid w:val="009E441E"/>
    <w:rsid w:val="009E450C"/>
    <w:rsid w:val="009E457E"/>
    <w:rsid w:val="009E45DF"/>
    <w:rsid w:val="009E4609"/>
    <w:rsid w:val="009E460A"/>
    <w:rsid w:val="009E462E"/>
    <w:rsid w:val="009E472F"/>
    <w:rsid w:val="009E47AF"/>
    <w:rsid w:val="009E47C3"/>
    <w:rsid w:val="009E47D0"/>
    <w:rsid w:val="009E4836"/>
    <w:rsid w:val="009E4873"/>
    <w:rsid w:val="009E4945"/>
    <w:rsid w:val="009E4952"/>
    <w:rsid w:val="009E49BB"/>
    <w:rsid w:val="009E49E7"/>
    <w:rsid w:val="009E4A09"/>
    <w:rsid w:val="009E4A36"/>
    <w:rsid w:val="009E4AC1"/>
    <w:rsid w:val="009E4ACE"/>
    <w:rsid w:val="009E4ACF"/>
    <w:rsid w:val="009E4C74"/>
    <w:rsid w:val="009E4CA8"/>
    <w:rsid w:val="009E4D9B"/>
    <w:rsid w:val="009E4E8F"/>
    <w:rsid w:val="009E4F44"/>
    <w:rsid w:val="009E4FBB"/>
    <w:rsid w:val="009E4FC0"/>
    <w:rsid w:val="009E5039"/>
    <w:rsid w:val="009E50A0"/>
    <w:rsid w:val="009E50FC"/>
    <w:rsid w:val="009E5139"/>
    <w:rsid w:val="009E517F"/>
    <w:rsid w:val="009E51C0"/>
    <w:rsid w:val="009E5261"/>
    <w:rsid w:val="009E5273"/>
    <w:rsid w:val="009E52B2"/>
    <w:rsid w:val="009E52CE"/>
    <w:rsid w:val="009E536A"/>
    <w:rsid w:val="009E5379"/>
    <w:rsid w:val="009E557A"/>
    <w:rsid w:val="009E5585"/>
    <w:rsid w:val="009E5601"/>
    <w:rsid w:val="009E5618"/>
    <w:rsid w:val="009E5647"/>
    <w:rsid w:val="009E5667"/>
    <w:rsid w:val="009E570B"/>
    <w:rsid w:val="009E5720"/>
    <w:rsid w:val="009E5830"/>
    <w:rsid w:val="009E58A3"/>
    <w:rsid w:val="009E5987"/>
    <w:rsid w:val="009E599D"/>
    <w:rsid w:val="009E59C1"/>
    <w:rsid w:val="009E5A4C"/>
    <w:rsid w:val="009E5BC8"/>
    <w:rsid w:val="009E5BE7"/>
    <w:rsid w:val="009E5C07"/>
    <w:rsid w:val="009E5C0A"/>
    <w:rsid w:val="009E5C72"/>
    <w:rsid w:val="009E5CB4"/>
    <w:rsid w:val="009E5CCE"/>
    <w:rsid w:val="009E5CEB"/>
    <w:rsid w:val="009E5DD1"/>
    <w:rsid w:val="009E5E0F"/>
    <w:rsid w:val="009E5F09"/>
    <w:rsid w:val="009E5F84"/>
    <w:rsid w:val="009E6018"/>
    <w:rsid w:val="009E6063"/>
    <w:rsid w:val="009E612F"/>
    <w:rsid w:val="009E613B"/>
    <w:rsid w:val="009E6179"/>
    <w:rsid w:val="009E622A"/>
    <w:rsid w:val="009E62A6"/>
    <w:rsid w:val="009E638C"/>
    <w:rsid w:val="009E63E4"/>
    <w:rsid w:val="009E656A"/>
    <w:rsid w:val="009E65F4"/>
    <w:rsid w:val="009E65F6"/>
    <w:rsid w:val="009E660B"/>
    <w:rsid w:val="009E669A"/>
    <w:rsid w:val="009E6777"/>
    <w:rsid w:val="009E6859"/>
    <w:rsid w:val="009E688A"/>
    <w:rsid w:val="009E6A05"/>
    <w:rsid w:val="009E6A7A"/>
    <w:rsid w:val="009E6AD9"/>
    <w:rsid w:val="009E6ADD"/>
    <w:rsid w:val="009E6AE1"/>
    <w:rsid w:val="009E6AFA"/>
    <w:rsid w:val="009E6B44"/>
    <w:rsid w:val="009E6C2F"/>
    <w:rsid w:val="009E6D46"/>
    <w:rsid w:val="009E6D54"/>
    <w:rsid w:val="009E6D76"/>
    <w:rsid w:val="009E6D7F"/>
    <w:rsid w:val="009E6DA4"/>
    <w:rsid w:val="009E6E0B"/>
    <w:rsid w:val="009E6E38"/>
    <w:rsid w:val="009E6E56"/>
    <w:rsid w:val="009E6EC5"/>
    <w:rsid w:val="009E6EFC"/>
    <w:rsid w:val="009E6F3F"/>
    <w:rsid w:val="009E6F5A"/>
    <w:rsid w:val="009E6F7E"/>
    <w:rsid w:val="009E6FCB"/>
    <w:rsid w:val="009E6FEE"/>
    <w:rsid w:val="009E7009"/>
    <w:rsid w:val="009E701D"/>
    <w:rsid w:val="009E7079"/>
    <w:rsid w:val="009E70D7"/>
    <w:rsid w:val="009E70F9"/>
    <w:rsid w:val="009E7118"/>
    <w:rsid w:val="009E719E"/>
    <w:rsid w:val="009E71DD"/>
    <w:rsid w:val="009E71E1"/>
    <w:rsid w:val="009E7280"/>
    <w:rsid w:val="009E7335"/>
    <w:rsid w:val="009E7365"/>
    <w:rsid w:val="009E736D"/>
    <w:rsid w:val="009E74D7"/>
    <w:rsid w:val="009E76A9"/>
    <w:rsid w:val="009E7732"/>
    <w:rsid w:val="009E7791"/>
    <w:rsid w:val="009E779D"/>
    <w:rsid w:val="009E77F3"/>
    <w:rsid w:val="009E77FE"/>
    <w:rsid w:val="009E7869"/>
    <w:rsid w:val="009E78A5"/>
    <w:rsid w:val="009E794A"/>
    <w:rsid w:val="009E7993"/>
    <w:rsid w:val="009E79F5"/>
    <w:rsid w:val="009E7A29"/>
    <w:rsid w:val="009E7AA5"/>
    <w:rsid w:val="009E7AC7"/>
    <w:rsid w:val="009E7AD0"/>
    <w:rsid w:val="009E7B96"/>
    <w:rsid w:val="009E7BE1"/>
    <w:rsid w:val="009E7D23"/>
    <w:rsid w:val="009E7E96"/>
    <w:rsid w:val="009E7EED"/>
    <w:rsid w:val="009E7F0F"/>
    <w:rsid w:val="009E7FA3"/>
    <w:rsid w:val="009E7FC5"/>
    <w:rsid w:val="009F0010"/>
    <w:rsid w:val="009F012A"/>
    <w:rsid w:val="009F026E"/>
    <w:rsid w:val="009F0350"/>
    <w:rsid w:val="009F0516"/>
    <w:rsid w:val="009F0524"/>
    <w:rsid w:val="009F056A"/>
    <w:rsid w:val="009F05CD"/>
    <w:rsid w:val="009F05F6"/>
    <w:rsid w:val="009F064E"/>
    <w:rsid w:val="009F065B"/>
    <w:rsid w:val="009F06F5"/>
    <w:rsid w:val="009F0712"/>
    <w:rsid w:val="009F0787"/>
    <w:rsid w:val="009F079C"/>
    <w:rsid w:val="009F07E2"/>
    <w:rsid w:val="009F0855"/>
    <w:rsid w:val="009F08B7"/>
    <w:rsid w:val="009F0920"/>
    <w:rsid w:val="009F093D"/>
    <w:rsid w:val="009F0949"/>
    <w:rsid w:val="009F09C6"/>
    <w:rsid w:val="009F0A2F"/>
    <w:rsid w:val="009F0A6C"/>
    <w:rsid w:val="009F0A82"/>
    <w:rsid w:val="009F0AA0"/>
    <w:rsid w:val="009F0ACB"/>
    <w:rsid w:val="009F0AE2"/>
    <w:rsid w:val="009F0BAE"/>
    <w:rsid w:val="009F0BCC"/>
    <w:rsid w:val="009F0BD4"/>
    <w:rsid w:val="009F0CDA"/>
    <w:rsid w:val="009F0CF3"/>
    <w:rsid w:val="009F0D61"/>
    <w:rsid w:val="009F0D7F"/>
    <w:rsid w:val="009F0E03"/>
    <w:rsid w:val="009F0E3F"/>
    <w:rsid w:val="009F0E61"/>
    <w:rsid w:val="009F0E79"/>
    <w:rsid w:val="009F0E93"/>
    <w:rsid w:val="009F0EAA"/>
    <w:rsid w:val="009F0FDC"/>
    <w:rsid w:val="009F102B"/>
    <w:rsid w:val="009F1078"/>
    <w:rsid w:val="009F10D2"/>
    <w:rsid w:val="009F10FB"/>
    <w:rsid w:val="009F1123"/>
    <w:rsid w:val="009F1213"/>
    <w:rsid w:val="009F1219"/>
    <w:rsid w:val="009F129A"/>
    <w:rsid w:val="009F1389"/>
    <w:rsid w:val="009F13A7"/>
    <w:rsid w:val="009F13B0"/>
    <w:rsid w:val="009F14C6"/>
    <w:rsid w:val="009F14D3"/>
    <w:rsid w:val="009F1515"/>
    <w:rsid w:val="009F1525"/>
    <w:rsid w:val="009F1533"/>
    <w:rsid w:val="009F1537"/>
    <w:rsid w:val="009F158F"/>
    <w:rsid w:val="009F15DF"/>
    <w:rsid w:val="009F1716"/>
    <w:rsid w:val="009F1778"/>
    <w:rsid w:val="009F17B0"/>
    <w:rsid w:val="009F1853"/>
    <w:rsid w:val="009F1889"/>
    <w:rsid w:val="009F18E1"/>
    <w:rsid w:val="009F1913"/>
    <w:rsid w:val="009F1923"/>
    <w:rsid w:val="009F1929"/>
    <w:rsid w:val="009F1937"/>
    <w:rsid w:val="009F1962"/>
    <w:rsid w:val="009F19CB"/>
    <w:rsid w:val="009F1A0A"/>
    <w:rsid w:val="009F1A34"/>
    <w:rsid w:val="009F1A73"/>
    <w:rsid w:val="009F1AE2"/>
    <w:rsid w:val="009F1BF9"/>
    <w:rsid w:val="009F1C2B"/>
    <w:rsid w:val="009F1C87"/>
    <w:rsid w:val="009F1C96"/>
    <w:rsid w:val="009F1D22"/>
    <w:rsid w:val="009F1D5D"/>
    <w:rsid w:val="009F1D85"/>
    <w:rsid w:val="009F1E06"/>
    <w:rsid w:val="009F1E5F"/>
    <w:rsid w:val="009F1E9D"/>
    <w:rsid w:val="009F1F36"/>
    <w:rsid w:val="009F1F3B"/>
    <w:rsid w:val="009F1F46"/>
    <w:rsid w:val="009F2002"/>
    <w:rsid w:val="009F2043"/>
    <w:rsid w:val="009F2152"/>
    <w:rsid w:val="009F2183"/>
    <w:rsid w:val="009F22EA"/>
    <w:rsid w:val="009F2333"/>
    <w:rsid w:val="009F2351"/>
    <w:rsid w:val="009F24E7"/>
    <w:rsid w:val="009F24FC"/>
    <w:rsid w:val="009F25E1"/>
    <w:rsid w:val="009F2635"/>
    <w:rsid w:val="009F27D9"/>
    <w:rsid w:val="009F2846"/>
    <w:rsid w:val="009F2850"/>
    <w:rsid w:val="009F2A2A"/>
    <w:rsid w:val="009F2A7C"/>
    <w:rsid w:val="009F2B04"/>
    <w:rsid w:val="009F2BC0"/>
    <w:rsid w:val="009F2C2E"/>
    <w:rsid w:val="009F2C6E"/>
    <w:rsid w:val="009F2CE6"/>
    <w:rsid w:val="009F2D37"/>
    <w:rsid w:val="009F2D84"/>
    <w:rsid w:val="009F2DF4"/>
    <w:rsid w:val="009F2E05"/>
    <w:rsid w:val="009F2E4D"/>
    <w:rsid w:val="009F2EA1"/>
    <w:rsid w:val="009F2EAB"/>
    <w:rsid w:val="009F2F65"/>
    <w:rsid w:val="009F2FD3"/>
    <w:rsid w:val="009F304F"/>
    <w:rsid w:val="009F30BA"/>
    <w:rsid w:val="009F3187"/>
    <w:rsid w:val="009F3227"/>
    <w:rsid w:val="009F322E"/>
    <w:rsid w:val="009F324B"/>
    <w:rsid w:val="009F3279"/>
    <w:rsid w:val="009F32A7"/>
    <w:rsid w:val="009F3349"/>
    <w:rsid w:val="009F33AC"/>
    <w:rsid w:val="009F33B6"/>
    <w:rsid w:val="009F3401"/>
    <w:rsid w:val="009F3473"/>
    <w:rsid w:val="009F3478"/>
    <w:rsid w:val="009F3489"/>
    <w:rsid w:val="009F3592"/>
    <w:rsid w:val="009F35D7"/>
    <w:rsid w:val="009F3630"/>
    <w:rsid w:val="009F36CD"/>
    <w:rsid w:val="009F36F3"/>
    <w:rsid w:val="009F3714"/>
    <w:rsid w:val="009F3762"/>
    <w:rsid w:val="009F37AD"/>
    <w:rsid w:val="009F3836"/>
    <w:rsid w:val="009F38B4"/>
    <w:rsid w:val="009F3969"/>
    <w:rsid w:val="009F39BD"/>
    <w:rsid w:val="009F3A07"/>
    <w:rsid w:val="009F3A4D"/>
    <w:rsid w:val="009F3ACA"/>
    <w:rsid w:val="009F3AE7"/>
    <w:rsid w:val="009F3AE8"/>
    <w:rsid w:val="009F3B36"/>
    <w:rsid w:val="009F3B99"/>
    <w:rsid w:val="009F3C3D"/>
    <w:rsid w:val="009F3C53"/>
    <w:rsid w:val="009F3CA8"/>
    <w:rsid w:val="009F3D21"/>
    <w:rsid w:val="009F3DA3"/>
    <w:rsid w:val="009F3E11"/>
    <w:rsid w:val="009F3E52"/>
    <w:rsid w:val="009F3E5F"/>
    <w:rsid w:val="009F3E7D"/>
    <w:rsid w:val="009F409D"/>
    <w:rsid w:val="009F4140"/>
    <w:rsid w:val="009F4179"/>
    <w:rsid w:val="009F4259"/>
    <w:rsid w:val="009F4380"/>
    <w:rsid w:val="009F43BB"/>
    <w:rsid w:val="009F4496"/>
    <w:rsid w:val="009F44D2"/>
    <w:rsid w:val="009F4524"/>
    <w:rsid w:val="009F4537"/>
    <w:rsid w:val="009F4561"/>
    <w:rsid w:val="009F4568"/>
    <w:rsid w:val="009F45C7"/>
    <w:rsid w:val="009F45D7"/>
    <w:rsid w:val="009F468E"/>
    <w:rsid w:val="009F46B5"/>
    <w:rsid w:val="009F4770"/>
    <w:rsid w:val="009F478B"/>
    <w:rsid w:val="009F479B"/>
    <w:rsid w:val="009F47E9"/>
    <w:rsid w:val="009F4859"/>
    <w:rsid w:val="009F4884"/>
    <w:rsid w:val="009F48A1"/>
    <w:rsid w:val="009F4918"/>
    <w:rsid w:val="009F4924"/>
    <w:rsid w:val="009F49A8"/>
    <w:rsid w:val="009F4A03"/>
    <w:rsid w:val="009F4A3E"/>
    <w:rsid w:val="009F4A52"/>
    <w:rsid w:val="009F4A6F"/>
    <w:rsid w:val="009F4A7C"/>
    <w:rsid w:val="009F4AAC"/>
    <w:rsid w:val="009F4B13"/>
    <w:rsid w:val="009F4E04"/>
    <w:rsid w:val="009F4E1B"/>
    <w:rsid w:val="009F4FD4"/>
    <w:rsid w:val="009F5031"/>
    <w:rsid w:val="009F50D7"/>
    <w:rsid w:val="009F511A"/>
    <w:rsid w:val="009F51DD"/>
    <w:rsid w:val="009F51FC"/>
    <w:rsid w:val="009F520A"/>
    <w:rsid w:val="009F5389"/>
    <w:rsid w:val="009F542E"/>
    <w:rsid w:val="009F5436"/>
    <w:rsid w:val="009F543F"/>
    <w:rsid w:val="009F54CF"/>
    <w:rsid w:val="009F5507"/>
    <w:rsid w:val="009F5513"/>
    <w:rsid w:val="009F5557"/>
    <w:rsid w:val="009F5562"/>
    <w:rsid w:val="009F5610"/>
    <w:rsid w:val="009F5781"/>
    <w:rsid w:val="009F5788"/>
    <w:rsid w:val="009F584F"/>
    <w:rsid w:val="009F5923"/>
    <w:rsid w:val="009F5978"/>
    <w:rsid w:val="009F59BC"/>
    <w:rsid w:val="009F59C8"/>
    <w:rsid w:val="009F5A40"/>
    <w:rsid w:val="009F5A98"/>
    <w:rsid w:val="009F5BA1"/>
    <w:rsid w:val="009F5BD0"/>
    <w:rsid w:val="009F5BF0"/>
    <w:rsid w:val="009F5C0D"/>
    <w:rsid w:val="009F5C1A"/>
    <w:rsid w:val="009F5C7B"/>
    <w:rsid w:val="009F5D05"/>
    <w:rsid w:val="009F5D3B"/>
    <w:rsid w:val="009F5DBA"/>
    <w:rsid w:val="009F5E4A"/>
    <w:rsid w:val="009F5E58"/>
    <w:rsid w:val="009F5ED1"/>
    <w:rsid w:val="009F5F80"/>
    <w:rsid w:val="009F5FDA"/>
    <w:rsid w:val="009F6033"/>
    <w:rsid w:val="009F60FD"/>
    <w:rsid w:val="009F6206"/>
    <w:rsid w:val="009F621B"/>
    <w:rsid w:val="009F6265"/>
    <w:rsid w:val="009F62CE"/>
    <w:rsid w:val="009F63DD"/>
    <w:rsid w:val="009F641E"/>
    <w:rsid w:val="009F64B1"/>
    <w:rsid w:val="009F6506"/>
    <w:rsid w:val="009F6591"/>
    <w:rsid w:val="009F6617"/>
    <w:rsid w:val="009F6628"/>
    <w:rsid w:val="009F6631"/>
    <w:rsid w:val="009F669C"/>
    <w:rsid w:val="009F6780"/>
    <w:rsid w:val="009F6821"/>
    <w:rsid w:val="009F6824"/>
    <w:rsid w:val="009F68E8"/>
    <w:rsid w:val="009F69A2"/>
    <w:rsid w:val="009F6A5C"/>
    <w:rsid w:val="009F6B31"/>
    <w:rsid w:val="009F6B70"/>
    <w:rsid w:val="009F6BFD"/>
    <w:rsid w:val="009F6C98"/>
    <w:rsid w:val="009F6D1C"/>
    <w:rsid w:val="009F6DC4"/>
    <w:rsid w:val="009F6E12"/>
    <w:rsid w:val="009F6E2A"/>
    <w:rsid w:val="009F6EB8"/>
    <w:rsid w:val="009F6F09"/>
    <w:rsid w:val="009F6F47"/>
    <w:rsid w:val="009F6F7F"/>
    <w:rsid w:val="009F6FEB"/>
    <w:rsid w:val="009F703C"/>
    <w:rsid w:val="009F7084"/>
    <w:rsid w:val="009F70AC"/>
    <w:rsid w:val="009F70F6"/>
    <w:rsid w:val="009F7108"/>
    <w:rsid w:val="009F712E"/>
    <w:rsid w:val="009F71F6"/>
    <w:rsid w:val="009F721E"/>
    <w:rsid w:val="009F7225"/>
    <w:rsid w:val="009F72BC"/>
    <w:rsid w:val="009F734A"/>
    <w:rsid w:val="009F7373"/>
    <w:rsid w:val="009F73AC"/>
    <w:rsid w:val="009F73BB"/>
    <w:rsid w:val="009F74CA"/>
    <w:rsid w:val="009F7551"/>
    <w:rsid w:val="009F75FA"/>
    <w:rsid w:val="009F75FE"/>
    <w:rsid w:val="009F7610"/>
    <w:rsid w:val="009F7612"/>
    <w:rsid w:val="009F7685"/>
    <w:rsid w:val="009F7692"/>
    <w:rsid w:val="009F76D8"/>
    <w:rsid w:val="009F774B"/>
    <w:rsid w:val="009F77BD"/>
    <w:rsid w:val="009F77F9"/>
    <w:rsid w:val="009F782B"/>
    <w:rsid w:val="009F7842"/>
    <w:rsid w:val="009F788C"/>
    <w:rsid w:val="009F791F"/>
    <w:rsid w:val="009F792C"/>
    <w:rsid w:val="009F7950"/>
    <w:rsid w:val="009F79B4"/>
    <w:rsid w:val="009F7A1C"/>
    <w:rsid w:val="009F7AD0"/>
    <w:rsid w:val="009F7AD6"/>
    <w:rsid w:val="009F7B68"/>
    <w:rsid w:val="009F7B99"/>
    <w:rsid w:val="009F7C32"/>
    <w:rsid w:val="009F7CA4"/>
    <w:rsid w:val="009F7DB6"/>
    <w:rsid w:val="009F7DF9"/>
    <w:rsid w:val="009F7E3E"/>
    <w:rsid w:val="009F7ED1"/>
    <w:rsid w:val="009F7F5E"/>
    <w:rsid w:val="009F7F61"/>
    <w:rsid w:val="00A000AF"/>
    <w:rsid w:val="00A000D7"/>
    <w:rsid w:val="00A00146"/>
    <w:rsid w:val="00A001A3"/>
    <w:rsid w:val="00A001EB"/>
    <w:rsid w:val="00A00203"/>
    <w:rsid w:val="00A0022E"/>
    <w:rsid w:val="00A00250"/>
    <w:rsid w:val="00A00291"/>
    <w:rsid w:val="00A0029C"/>
    <w:rsid w:val="00A002AB"/>
    <w:rsid w:val="00A0034C"/>
    <w:rsid w:val="00A00386"/>
    <w:rsid w:val="00A0040A"/>
    <w:rsid w:val="00A0044A"/>
    <w:rsid w:val="00A0044D"/>
    <w:rsid w:val="00A00537"/>
    <w:rsid w:val="00A00587"/>
    <w:rsid w:val="00A005CD"/>
    <w:rsid w:val="00A005D0"/>
    <w:rsid w:val="00A005E8"/>
    <w:rsid w:val="00A005F0"/>
    <w:rsid w:val="00A00607"/>
    <w:rsid w:val="00A0062C"/>
    <w:rsid w:val="00A00646"/>
    <w:rsid w:val="00A00700"/>
    <w:rsid w:val="00A008C7"/>
    <w:rsid w:val="00A0095D"/>
    <w:rsid w:val="00A009B0"/>
    <w:rsid w:val="00A00A29"/>
    <w:rsid w:val="00A00A2C"/>
    <w:rsid w:val="00A00A41"/>
    <w:rsid w:val="00A00A65"/>
    <w:rsid w:val="00A00A72"/>
    <w:rsid w:val="00A00A7E"/>
    <w:rsid w:val="00A00AAC"/>
    <w:rsid w:val="00A00AF4"/>
    <w:rsid w:val="00A00B3F"/>
    <w:rsid w:val="00A00B45"/>
    <w:rsid w:val="00A00BFF"/>
    <w:rsid w:val="00A00C5A"/>
    <w:rsid w:val="00A00C67"/>
    <w:rsid w:val="00A00CA8"/>
    <w:rsid w:val="00A00CC6"/>
    <w:rsid w:val="00A00E09"/>
    <w:rsid w:val="00A00E18"/>
    <w:rsid w:val="00A00EBB"/>
    <w:rsid w:val="00A00F32"/>
    <w:rsid w:val="00A00F71"/>
    <w:rsid w:val="00A01006"/>
    <w:rsid w:val="00A01111"/>
    <w:rsid w:val="00A011C4"/>
    <w:rsid w:val="00A011F4"/>
    <w:rsid w:val="00A01320"/>
    <w:rsid w:val="00A01363"/>
    <w:rsid w:val="00A013C2"/>
    <w:rsid w:val="00A013E0"/>
    <w:rsid w:val="00A0147A"/>
    <w:rsid w:val="00A01480"/>
    <w:rsid w:val="00A01483"/>
    <w:rsid w:val="00A014AB"/>
    <w:rsid w:val="00A014AE"/>
    <w:rsid w:val="00A014E6"/>
    <w:rsid w:val="00A01509"/>
    <w:rsid w:val="00A0151B"/>
    <w:rsid w:val="00A015EC"/>
    <w:rsid w:val="00A0162C"/>
    <w:rsid w:val="00A01641"/>
    <w:rsid w:val="00A01642"/>
    <w:rsid w:val="00A01651"/>
    <w:rsid w:val="00A01659"/>
    <w:rsid w:val="00A016B1"/>
    <w:rsid w:val="00A01747"/>
    <w:rsid w:val="00A017A7"/>
    <w:rsid w:val="00A017BC"/>
    <w:rsid w:val="00A017F2"/>
    <w:rsid w:val="00A0183E"/>
    <w:rsid w:val="00A018A6"/>
    <w:rsid w:val="00A018AC"/>
    <w:rsid w:val="00A01940"/>
    <w:rsid w:val="00A01950"/>
    <w:rsid w:val="00A01958"/>
    <w:rsid w:val="00A01963"/>
    <w:rsid w:val="00A019DC"/>
    <w:rsid w:val="00A01A51"/>
    <w:rsid w:val="00A01A7C"/>
    <w:rsid w:val="00A01ACE"/>
    <w:rsid w:val="00A01B5F"/>
    <w:rsid w:val="00A01B7F"/>
    <w:rsid w:val="00A01BDA"/>
    <w:rsid w:val="00A01C5D"/>
    <w:rsid w:val="00A01C6E"/>
    <w:rsid w:val="00A01C82"/>
    <w:rsid w:val="00A01CAA"/>
    <w:rsid w:val="00A01CBE"/>
    <w:rsid w:val="00A01D1E"/>
    <w:rsid w:val="00A01D2D"/>
    <w:rsid w:val="00A01D59"/>
    <w:rsid w:val="00A01D6A"/>
    <w:rsid w:val="00A01D78"/>
    <w:rsid w:val="00A01D87"/>
    <w:rsid w:val="00A01DEA"/>
    <w:rsid w:val="00A01E26"/>
    <w:rsid w:val="00A01E39"/>
    <w:rsid w:val="00A01E64"/>
    <w:rsid w:val="00A01E68"/>
    <w:rsid w:val="00A01EA7"/>
    <w:rsid w:val="00A01F6F"/>
    <w:rsid w:val="00A01F7F"/>
    <w:rsid w:val="00A01FC6"/>
    <w:rsid w:val="00A01FD6"/>
    <w:rsid w:val="00A0203A"/>
    <w:rsid w:val="00A020E4"/>
    <w:rsid w:val="00A0214D"/>
    <w:rsid w:val="00A02158"/>
    <w:rsid w:val="00A0216A"/>
    <w:rsid w:val="00A0224B"/>
    <w:rsid w:val="00A022CC"/>
    <w:rsid w:val="00A022E5"/>
    <w:rsid w:val="00A023B6"/>
    <w:rsid w:val="00A02467"/>
    <w:rsid w:val="00A024C8"/>
    <w:rsid w:val="00A024CB"/>
    <w:rsid w:val="00A0252B"/>
    <w:rsid w:val="00A02541"/>
    <w:rsid w:val="00A02647"/>
    <w:rsid w:val="00A02697"/>
    <w:rsid w:val="00A026A5"/>
    <w:rsid w:val="00A02745"/>
    <w:rsid w:val="00A027B6"/>
    <w:rsid w:val="00A02860"/>
    <w:rsid w:val="00A028E9"/>
    <w:rsid w:val="00A02950"/>
    <w:rsid w:val="00A02A30"/>
    <w:rsid w:val="00A02A8A"/>
    <w:rsid w:val="00A02AA3"/>
    <w:rsid w:val="00A02B1A"/>
    <w:rsid w:val="00A02B4F"/>
    <w:rsid w:val="00A02B62"/>
    <w:rsid w:val="00A02B8A"/>
    <w:rsid w:val="00A02B8B"/>
    <w:rsid w:val="00A02BC9"/>
    <w:rsid w:val="00A02C23"/>
    <w:rsid w:val="00A02C63"/>
    <w:rsid w:val="00A02CA8"/>
    <w:rsid w:val="00A02CCD"/>
    <w:rsid w:val="00A02CF0"/>
    <w:rsid w:val="00A02D46"/>
    <w:rsid w:val="00A02DDF"/>
    <w:rsid w:val="00A02E09"/>
    <w:rsid w:val="00A02EE3"/>
    <w:rsid w:val="00A02EFB"/>
    <w:rsid w:val="00A02F21"/>
    <w:rsid w:val="00A02F62"/>
    <w:rsid w:val="00A02F7D"/>
    <w:rsid w:val="00A02FBC"/>
    <w:rsid w:val="00A0300C"/>
    <w:rsid w:val="00A03033"/>
    <w:rsid w:val="00A03046"/>
    <w:rsid w:val="00A03054"/>
    <w:rsid w:val="00A03094"/>
    <w:rsid w:val="00A030DC"/>
    <w:rsid w:val="00A030E1"/>
    <w:rsid w:val="00A0313D"/>
    <w:rsid w:val="00A03150"/>
    <w:rsid w:val="00A0316B"/>
    <w:rsid w:val="00A031C3"/>
    <w:rsid w:val="00A031F9"/>
    <w:rsid w:val="00A03251"/>
    <w:rsid w:val="00A0326F"/>
    <w:rsid w:val="00A0328F"/>
    <w:rsid w:val="00A032D4"/>
    <w:rsid w:val="00A0330C"/>
    <w:rsid w:val="00A0333D"/>
    <w:rsid w:val="00A033EB"/>
    <w:rsid w:val="00A034E3"/>
    <w:rsid w:val="00A034E7"/>
    <w:rsid w:val="00A03527"/>
    <w:rsid w:val="00A036A8"/>
    <w:rsid w:val="00A03719"/>
    <w:rsid w:val="00A0373F"/>
    <w:rsid w:val="00A03836"/>
    <w:rsid w:val="00A0395E"/>
    <w:rsid w:val="00A0397F"/>
    <w:rsid w:val="00A03995"/>
    <w:rsid w:val="00A03ABD"/>
    <w:rsid w:val="00A03B07"/>
    <w:rsid w:val="00A03B64"/>
    <w:rsid w:val="00A03BC5"/>
    <w:rsid w:val="00A03BD7"/>
    <w:rsid w:val="00A03C73"/>
    <w:rsid w:val="00A03CE3"/>
    <w:rsid w:val="00A03D26"/>
    <w:rsid w:val="00A03D56"/>
    <w:rsid w:val="00A03E4D"/>
    <w:rsid w:val="00A03E81"/>
    <w:rsid w:val="00A03EB3"/>
    <w:rsid w:val="00A03EFC"/>
    <w:rsid w:val="00A03F57"/>
    <w:rsid w:val="00A04193"/>
    <w:rsid w:val="00A042A1"/>
    <w:rsid w:val="00A042CD"/>
    <w:rsid w:val="00A04328"/>
    <w:rsid w:val="00A044CC"/>
    <w:rsid w:val="00A04503"/>
    <w:rsid w:val="00A04512"/>
    <w:rsid w:val="00A0454A"/>
    <w:rsid w:val="00A045C6"/>
    <w:rsid w:val="00A04708"/>
    <w:rsid w:val="00A0478E"/>
    <w:rsid w:val="00A04851"/>
    <w:rsid w:val="00A048BE"/>
    <w:rsid w:val="00A048EE"/>
    <w:rsid w:val="00A04913"/>
    <w:rsid w:val="00A04950"/>
    <w:rsid w:val="00A049B6"/>
    <w:rsid w:val="00A049C7"/>
    <w:rsid w:val="00A04A20"/>
    <w:rsid w:val="00A04A84"/>
    <w:rsid w:val="00A04A90"/>
    <w:rsid w:val="00A04B56"/>
    <w:rsid w:val="00A04B78"/>
    <w:rsid w:val="00A04B7B"/>
    <w:rsid w:val="00A04B9F"/>
    <w:rsid w:val="00A04BD4"/>
    <w:rsid w:val="00A04C0C"/>
    <w:rsid w:val="00A04CBE"/>
    <w:rsid w:val="00A04CD9"/>
    <w:rsid w:val="00A04D2E"/>
    <w:rsid w:val="00A04E9A"/>
    <w:rsid w:val="00A05013"/>
    <w:rsid w:val="00A05067"/>
    <w:rsid w:val="00A050DF"/>
    <w:rsid w:val="00A05266"/>
    <w:rsid w:val="00A0526E"/>
    <w:rsid w:val="00A052D2"/>
    <w:rsid w:val="00A052FC"/>
    <w:rsid w:val="00A053BE"/>
    <w:rsid w:val="00A053CA"/>
    <w:rsid w:val="00A053CD"/>
    <w:rsid w:val="00A05485"/>
    <w:rsid w:val="00A05486"/>
    <w:rsid w:val="00A05488"/>
    <w:rsid w:val="00A0548C"/>
    <w:rsid w:val="00A05492"/>
    <w:rsid w:val="00A0549B"/>
    <w:rsid w:val="00A055CC"/>
    <w:rsid w:val="00A0567D"/>
    <w:rsid w:val="00A056B3"/>
    <w:rsid w:val="00A056C4"/>
    <w:rsid w:val="00A056CC"/>
    <w:rsid w:val="00A056D0"/>
    <w:rsid w:val="00A05755"/>
    <w:rsid w:val="00A058D7"/>
    <w:rsid w:val="00A059E3"/>
    <w:rsid w:val="00A05A18"/>
    <w:rsid w:val="00A05A19"/>
    <w:rsid w:val="00A05AEE"/>
    <w:rsid w:val="00A05B73"/>
    <w:rsid w:val="00A05C6E"/>
    <w:rsid w:val="00A05CE0"/>
    <w:rsid w:val="00A05CF8"/>
    <w:rsid w:val="00A05E0F"/>
    <w:rsid w:val="00A05E3D"/>
    <w:rsid w:val="00A05F3B"/>
    <w:rsid w:val="00A05FA0"/>
    <w:rsid w:val="00A060A3"/>
    <w:rsid w:val="00A0610F"/>
    <w:rsid w:val="00A06172"/>
    <w:rsid w:val="00A061E4"/>
    <w:rsid w:val="00A06204"/>
    <w:rsid w:val="00A06210"/>
    <w:rsid w:val="00A062DE"/>
    <w:rsid w:val="00A0631C"/>
    <w:rsid w:val="00A06328"/>
    <w:rsid w:val="00A0634A"/>
    <w:rsid w:val="00A0634E"/>
    <w:rsid w:val="00A063F5"/>
    <w:rsid w:val="00A063F7"/>
    <w:rsid w:val="00A0642C"/>
    <w:rsid w:val="00A06481"/>
    <w:rsid w:val="00A06488"/>
    <w:rsid w:val="00A064EC"/>
    <w:rsid w:val="00A0650E"/>
    <w:rsid w:val="00A06593"/>
    <w:rsid w:val="00A065E6"/>
    <w:rsid w:val="00A066AD"/>
    <w:rsid w:val="00A066D7"/>
    <w:rsid w:val="00A06714"/>
    <w:rsid w:val="00A067E3"/>
    <w:rsid w:val="00A067FC"/>
    <w:rsid w:val="00A0685F"/>
    <w:rsid w:val="00A068D1"/>
    <w:rsid w:val="00A0691A"/>
    <w:rsid w:val="00A06937"/>
    <w:rsid w:val="00A0693C"/>
    <w:rsid w:val="00A06998"/>
    <w:rsid w:val="00A06A3C"/>
    <w:rsid w:val="00A06A5D"/>
    <w:rsid w:val="00A06A76"/>
    <w:rsid w:val="00A06B26"/>
    <w:rsid w:val="00A06B27"/>
    <w:rsid w:val="00A06B28"/>
    <w:rsid w:val="00A06CBF"/>
    <w:rsid w:val="00A06E1F"/>
    <w:rsid w:val="00A06E6A"/>
    <w:rsid w:val="00A06F4E"/>
    <w:rsid w:val="00A06FC7"/>
    <w:rsid w:val="00A07023"/>
    <w:rsid w:val="00A070B3"/>
    <w:rsid w:val="00A070D8"/>
    <w:rsid w:val="00A07107"/>
    <w:rsid w:val="00A0711D"/>
    <w:rsid w:val="00A07214"/>
    <w:rsid w:val="00A0728F"/>
    <w:rsid w:val="00A072CB"/>
    <w:rsid w:val="00A07316"/>
    <w:rsid w:val="00A07395"/>
    <w:rsid w:val="00A073C9"/>
    <w:rsid w:val="00A073E4"/>
    <w:rsid w:val="00A07408"/>
    <w:rsid w:val="00A07502"/>
    <w:rsid w:val="00A0751B"/>
    <w:rsid w:val="00A0754A"/>
    <w:rsid w:val="00A0757A"/>
    <w:rsid w:val="00A075B0"/>
    <w:rsid w:val="00A075C1"/>
    <w:rsid w:val="00A07776"/>
    <w:rsid w:val="00A077F5"/>
    <w:rsid w:val="00A07912"/>
    <w:rsid w:val="00A0791B"/>
    <w:rsid w:val="00A0798E"/>
    <w:rsid w:val="00A07A07"/>
    <w:rsid w:val="00A07AD7"/>
    <w:rsid w:val="00A07C16"/>
    <w:rsid w:val="00A07CB4"/>
    <w:rsid w:val="00A07D7A"/>
    <w:rsid w:val="00A07DD6"/>
    <w:rsid w:val="00A07EC3"/>
    <w:rsid w:val="00A07FE6"/>
    <w:rsid w:val="00A1004D"/>
    <w:rsid w:val="00A10096"/>
    <w:rsid w:val="00A100F3"/>
    <w:rsid w:val="00A101D7"/>
    <w:rsid w:val="00A10214"/>
    <w:rsid w:val="00A102DD"/>
    <w:rsid w:val="00A10350"/>
    <w:rsid w:val="00A10368"/>
    <w:rsid w:val="00A103B5"/>
    <w:rsid w:val="00A10420"/>
    <w:rsid w:val="00A1044B"/>
    <w:rsid w:val="00A10472"/>
    <w:rsid w:val="00A104F2"/>
    <w:rsid w:val="00A1057B"/>
    <w:rsid w:val="00A10594"/>
    <w:rsid w:val="00A1060E"/>
    <w:rsid w:val="00A106D7"/>
    <w:rsid w:val="00A10752"/>
    <w:rsid w:val="00A10755"/>
    <w:rsid w:val="00A1075E"/>
    <w:rsid w:val="00A108A2"/>
    <w:rsid w:val="00A108B8"/>
    <w:rsid w:val="00A108BA"/>
    <w:rsid w:val="00A108C8"/>
    <w:rsid w:val="00A10901"/>
    <w:rsid w:val="00A10939"/>
    <w:rsid w:val="00A10970"/>
    <w:rsid w:val="00A109C4"/>
    <w:rsid w:val="00A10AAD"/>
    <w:rsid w:val="00A10AB2"/>
    <w:rsid w:val="00A10AB3"/>
    <w:rsid w:val="00A10B3E"/>
    <w:rsid w:val="00A10BA0"/>
    <w:rsid w:val="00A10C05"/>
    <w:rsid w:val="00A10C13"/>
    <w:rsid w:val="00A10C5E"/>
    <w:rsid w:val="00A10CD5"/>
    <w:rsid w:val="00A10CDB"/>
    <w:rsid w:val="00A10CEB"/>
    <w:rsid w:val="00A10D1F"/>
    <w:rsid w:val="00A10D4A"/>
    <w:rsid w:val="00A10E2A"/>
    <w:rsid w:val="00A10E35"/>
    <w:rsid w:val="00A10E9C"/>
    <w:rsid w:val="00A10F7D"/>
    <w:rsid w:val="00A1100E"/>
    <w:rsid w:val="00A11014"/>
    <w:rsid w:val="00A11055"/>
    <w:rsid w:val="00A11062"/>
    <w:rsid w:val="00A11065"/>
    <w:rsid w:val="00A11078"/>
    <w:rsid w:val="00A1109E"/>
    <w:rsid w:val="00A110BB"/>
    <w:rsid w:val="00A1114C"/>
    <w:rsid w:val="00A1118F"/>
    <w:rsid w:val="00A111A4"/>
    <w:rsid w:val="00A11234"/>
    <w:rsid w:val="00A11364"/>
    <w:rsid w:val="00A1162C"/>
    <w:rsid w:val="00A1165C"/>
    <w:rsid w:val="00A11776"/>
    <w:rsid w:val="00A11861"/>
    <w:rsid w:val="00A11909"/>
    <w:rsid w:val="00A11966"/>
    <w:rsid w:val="00A11B18"/>
    <w:rsid w:val="00A11B46"/>
    <w:rsid w:val="00A11BFF"/>
    <w:rsid w:val="00A11C3F"/>
    <w:rsid w:val="00A11C74"/>
    <w:rsid w:val="00A11DD5"/>
    <w:rsid w:val="00A11DF0"/>
    <w:rsid w:val="00A11E07"/>
    <w:rsid w:val="00A11E3F"/>
    <w:rsid w:val="00A11F0E"/>
    <w:rsid w:val="00A11F51"/>
    <w:rsid w:val="00A11F9F"/>
    <w:rsid w:val="00A11FA4"/>
    <w:rsid w:val="00A11FBC"/>
    <w:rsid w:val="00A1200D"/>
    <w:rsid w:val="00A12012"/>
    <w:rsid w:val="00A1214E"/>
    <w:rsid w:val="00A121C3"/>
    <w:rsid w:val="00A121E0"/>
    <w:rsid w:val="00A12245"/>
    <w:rsid w:val="00A122A5"/>
    <w:rsid w:val="00A122BC"/>
    <w:rsid w:val="00A122F1"/>
    <w:rsid w:val="00A12315"/>
    <w:rsid w:val="00A1234E"/>
    <w:rsid w:val="00A12374"/>
    <w:rsid w:val="00A123E2"/>
    <w:rsid w:val="00A1244D"/>
    <w:rsid w:val="00A12490"/>
    <w:rsid w:val="00A12581"/>
    <w:rsid w:val="00A125DE"/>
    <w:rsid w:val="00A1265D"/>
    <w:rsid w:val="00A1266E"/>
    <w:rsid w:val="00A12688"/>
    <w:rsid w:val="00A1270B"/>
    <w:rsid w:val="00A12809"/>
    <w:rsid w:val="00A12816"/>
    <w:rsid w:val="00A12880"/>
    <w:rsid w:val="00A128B9"/>
    <w:rsid w:val="00A12B06"/>
    <w:rsid w:val="00A12D0C"/>
    <w:rsid w:val="00A12DA6"/>
    <w:rsid w:val="00A12E06"/>
    <w:rsid w:val="00A12E30"/>
    <w:rsid w:val="00A12E6D"/>
    <w:rsid w:val="00A12E82"/>
    <w:rsid w:val="00A12EDE"/>
    <w:rsid w:val="00A12EEE"/>
    <w:rsid w:val="00A12F00"/>
    <w:rsid w:val="00A12F52"/>
    <w:rsid w:val="00A12FAF"/>
    <w:rsid w:val="00A13006"/>
    <w:rsid w:val="00A13008"/>
    <w:rsid w:val="00A13023"/>
    <w:rsid w:val="00A13095"/>
    <w:rsid w:val="00A130B9"/>
    <w:rsid w:val="00A13135"/>
    <w:rsid w:val="00A13152"/>
    <w:rsid w:val="00A1315F"/>
    <w:rsid w:val="00A13214"/>
    <w:rsid w:val="00A13278"/>
    <w:rsid w:val="00A133DE"/>
    <w:rsid w:val="00A133ED"/>
    <w:rsid w:val="00A13437"/>
    <w:rsid w:val="00A13461"/>
    <w:rsid w:val="00A13486"/>
    <w:rsid w:val="00A134EA"/>
    <w:rsid w:val="00A1359C"/>
    <w:rsid w:val="00A1370D"/>
    <w:rsid w:val="00A13744"/>
    <w:rsid w:val="00A1376C"/>
    <w:rsid w:val="00A139A4"/>
    <w:rsid w:val="00A139AA"/>
    <w:rsid w:val="00A139E2"/>
    <w:rsid w:val="00A13A03"/>
    <w:rsid w:val="00A13AC5"/>
    <w:rsid w:val="00A13AE7"/>
    <w:rsid w:val="00A13AF4"/>
    <w:rsid w:val="00A13B36"/>
    <w:rsid w:val="00A13B63"/>
    <w:rsid w:val="00A13BBD"/>
    <w:rsid w:val="00A13C16"/>
    <w:rsid w:val="00A13C25"/>
    <w:rsid w:val="00A13DA9"/>
    <w:rsid w:val="00A13F48"/>
    <w:rsid w:val="00A13F5F"/>
    <w:rsid w:val="00A1408F"/>
    <w:rsid w:val="00A141EF"/>
    <w:rsid w:val="00A14204"/>
    <w:rsid w:val="00A14374"/>
    <w:rsid w:val="00A1438A"/>
    <w:rsid w:val="00A143D8"/>
    <w:rsid w:val="00A1440B"/>
    <w:rsid w:val="00A1442F"/>
    <w:rsid w:val="00A14475"/>
    <w:rsid w:val="00A14513"/>
    <w:rsid w:val="00A145CA"/>
    <w:rsid w:val="00A1463B"/>
    <w:rsid w:val="00A146B2"/>
    <w:rsid w:val="00A146BC"/>
    <w:rsid w:val="00A146DD"/>
    <w:rsid w:val="00A14762"/>
    <w:rsid w:val="00A147D7"/>
    <w:rsid w:val="00A14842"/>
    <w:rsid w:val="00A14886"/>
    <w:rsid w:val="00A14913"/>
    <w:rsid w:val="00A14A3A"/>
    <w:rsid w:val="00A14A59"/>
    <w:rsid w:val="00A14A63"/>
    <w:rsid w:val="00A14AC4"/>
    <w:rsid w:val="00A14ACA"/>
    <w:rsid w:val="00A14B6D"/>
    <w:rsid w:val="00A14B82"/>
    <w:rsid w:val="00A14C20"/>
    <w:rsid w:val="00A14C58"/>
    <w:rsid w:val="00A14C84"/>
    <w:rsid w:val="00A14CB0"/>
    <w:rsid w:val="00A14CC0"/>
    <w:rsid w:val="00A14ECB"/>
    <w:rsid w:val="00A14EF1"/>
    <w:rsid w:val="00A15034"/>
    <w:rsid w:val="00A15045"/>
    <w:rsid w:val="00A1506C"/>
    <w:rsid w:val="00A15079"/>
    <w:rsid w:val="00A15197"/>
    <w:rsid w:val="00A151F1"/>
    <w:rsid w:val="00A15223"/>
    <w:rsid w:val="00A1524A"/>
    <w:rsid w:val="00A1525F"/>
    <w:rsid w:val="00A1526F"/>
    <w:rsid w:val="00A152B2"/>
    <w:rsid w:val="00A152DA"/>
    <w:rsid w:val="00A153B1"/>
    <w:rsid w:val="00A153E3"/>
    <w:rsid w:val="00A15452"/>
    <w:rsid w:val="00A154A6"/>
    <w:rsid w:val="00A155A4"/>
    <w:rsid w:val="00A155BE"/>
    <w:rsid w:val="00A1569F"/>
    <w:rsid w:val="00A15758"/>
    <w:rsid w:val="00A1578B"/>
    <w:rsid w:val="00A157F5"/>
    <w:rsid w:val="00A15925"/>
    <w:rsid w:val="00A159CE"/>
    <w:rsid w:val="00A15A0D"/>
    <w:rsid w:val="00A15A56"/>
    <w:rsid w:val="00A15AA6"/>
    <w:rsid w:val="00A15C70"/>
    <w:rsid w:val="00A15CB8"/>
    <w:rsid w:val="00A15CD7"/>
    <w:rsid w:val="00A15CDE"/>
    <w:rsid w:val="00A15D35"/>
    <w:rsid w:val="00A15E18"/>
    <w:rsid w:val="00A15E4B"/>
    <w:rsid w:val="00A15EA4"/>
    <w:rsid w:val="00A15FBD"/>
    <w:rsid w:val="00A15FC7"/>
    <w:rsid w:val="00A16058"/>
    <w:rsid w:val="00A1616B"/>
    <w:rsid w:val="00A16193"/>
    <w:rsid w:val="00A161AA"/>
    <w:rsid w:val="00A161C0"/>
    <w:rsid w:val="00A16280"/>
    <w:rsid w:val="00A16447"/>
    <w:rsid w:val="00A1649B"/>
    <w:rsid w:val="00A164C8"/>
    <w:rsid w:val="00A164E0"/>
    <w:rsid w:val="00A16553"/>
    <w:rsid w:val="00A165AE"/>
    <w:rsid w:val="00A1660C"/>
    <w:rsid w:val="00A16645"/>
    <w:rsid w:val="00A16711"/>
    <w:rsid w:val="00A1672E"/>
    <w:rsid w:val="00A16773"/>
    <w:rsid w:val="00A1677C"/>
    <w:rsid w:val="00A1679D"/>
    <w:rsid w:val="00A167A5"/>
    <w:rsid w:val="00A16943"/>
    <w:rsid w:val="00A16ADF"/>
    <w:rsid w:val="00A16B3E"/>
    <w:rsid w:val="00A16B5B"/>
    <w:rsid w:val="00A16BB1"/>
    <w:rsid w:val="00A16BC4"/>
    <w:rsid w:val="00A16BC5"/>
    <w:rsid w:val="00A16CA8"/>
    <w:rsid w:val="00A16D12"/>
    <w:rsid w:val="00A16D22"/>
    <w:rsid w:val="00A16D67"/>
    <w:rsid w:val="00A16DA9"/>
    <w:rsid w:val="00A16E05"/>
    <w:rsid w:val="00A16EC6"/>
    <w:rsid w:val="00A16EFE"/>
    <w:rsid w:val="00A16F04"/>
    <w:rsid w:val="00A16F29"/>
    <w:rsid w:val="00A16FC4"/>
    <w:rsid w:val="00A17073"/>
    <w:rsid w:val="00A17187"/>
    <w:rsid w:val="00A17201"/>
    <w:rsid w:val="00A1720E"/>
    <w:rsid w:val="00A172A3"/>
    <w:rsid w:val="00A1736C"/>
    <w:rsid w:val="00A17374"/>
    <w:rsid w:val="00A173A5"/>
    <w:rsid w:val="00A1744E"/>
    <w:rsid w:val="00A17487"/>
    <w:rsid w:val="00A17492"/>
    <w:rsid w:val="00A174FE"/>
    <w:rsid w:val="00A175D5"/>
    <w:rsid w:val="00A17647"/>
    <w:rsid w:val="00A176D0"/>
    <w:rsid w:val="00A1772A"/>
    <w:rsid w:val="00A1774E"/>
    <w:rsid w:val="00A17763"/>
    <w:rsid w:val="00A177E2"/>
    <w:rsid w:val="00A178FB"/>
    <w:rsid w:val="00A1790A"/>
    <w:rsid w:val="00A1795F"/>
    <w:rsid w:val="00A1798D"/>
    <w:rsid w:val="00A179E2"/>
    <w:rsid w:val="00A17AAE"/>
    <w:rsid w:val="00A17BE9"/>
    <w:rsid w:val="00A17C4B"/>
    <w:rsid w:val="00A17C67"/>
    <w:rsid w:val="00A17C8B"/>
    <w:rsid w:val="00A17CAC"/>
    <w:rsid w:val="00A17D3E"/>
    <w:rsid w:val="00A17D90"/>
    <w:rsid w:val="00A17D9A"/>
    <w:rsid w:val="00A17DB3"/>
    <w:rsid w:val="00A17F65"/>
    <w:rsid w:val="00A2001A"/>
    <w:rsid w:val="00A200C2"/>
    <w:rsid w:val="00A20189"/>
    <w:rsid w:val="00A201BD"/>
    <w:rsid w:val="00A20230"/>
    <w:rsid w:val="00A20304"/>
    <w:rsid w:val="00A20368"/>
    <w:rsid w:val="00A203AE"/>
    <w:rsid w:val="00A20448"/>
    <w:rsid w:val="00A20459"/>
    <w:rsid w:val="00A2045E"/>
    <w:rsid w:val="00A2047D"/>
    <w:rsid w:val="00A20482"/>
    <w:rsid w:val="00A204EE"/>
    <w:rsid w:val="00A20533"/>
    <w:rsid w:val="00A2055D"/>
    <w:rsid w:val="00A205B1"/>
    <w:rsid w:val="00A2064D"/>
    <w:rsid w:val="00A20739"/>
    <w:rsid w:val="00A20741"/>
    <w:rsid w:val="00A20849"/>
    <w:rsid w:val="00A2084B"/>
    <w:rsid w:val="00A208D3"/>
    <w:rsid w:val="00A20936"/>
    <w:rsid w:val="00A2093E"/>
    <w:rsid w:val="00A20941"/>
    <w:rsid w:val="00A20976"/>
    <w:rsid w:val="00A20A19"/>
    <w:rsid w:val="00A20A39"/>
    <w:rsid w:val="00A20A96"/>
    <w:rsid w:val="00A20AFB"/>
    <w:rsid w:val="00A20BCB"/>
    <w:rsid w:val="00A20C16"/>
    <w:rsid w:val="00A20CBF"/>
    <w:rsid w:val="00A20D77"/>
    <w:rsid w:val="00A20D96"/>
    <w:rsid w:val="00A20E3E"/>
    <w:rsid w:val="00A20E7B"/>
    <w:rsid w:val="00A20FDE"/>
    <w:rsid w:val="00A20FE2"/>
    <w:rsid w:val="00A21003"/>
    <w:rsid w:val="00A21059"/>
    <w:rsid w:val="00A210CA"/>
    <w:rsid w:val="00A2111A"/>
    <w:rsid w:val="00A21228"/>
    <w:rsid w:val="00A212D6"/>
    <w:rsid w:val="00A213B0"/>
    <w:rsid w:val="00A213BF"/>
    <w:rsid w:val="00A213DE"/>
    <w:rsid w:val="00A213E5"/>
    <w:rsid w:val="00A2149A"/>
    <w:rsid w:val="00A214D0"/>
    <w:rsid w:val="00A2153D"/>
    <w:rsid w:val="00A21544"/>
    <w:rsid w:val="00A21545"/>
    <w:rsid w:val="00A216B1"/>
    <w:rsid w:val="00A216C1"/>
    <w:rsid w:val="00A216F7"/>
    <w:rsid w:val="00A21706"/>
    <w:rsid w:val="00A21734"/>
    <w:rsid w:val="00A217E5"/>
    <w:rsid w:val="00A21833"/>
    <w:rsid w:val="00A2189B"/>
    <w:rsid w:val="00A218CA"/>
    <w:rsid w:val="00A218F5"/>
    <w:rsid w:val="00A218F9"/>
    <w:rsid w:val="00A219B5"/>
    <w:rsid w:val="00A219C0"/>
    <w:rsid w:val="00A21AD7"/>
    <w:rsid w:val="00A21B16"/>
    <w:rsid w:val="00A21B47"/>
    <w:rsid w:val="00A21B88"/>
    <w:rsid w:val="00A21BA7"/>
    <w:rsid w:val="00A21BE0"/>
    <w:rsid w:val="00A21D69"/>
    <w:rsid w:val="00A21DCC"/>
    <w:rsid w:val="00A21DE4"/>
    <w:rsid w:val="00A21E35"/>
    <w:rsid w:val="00A21E3A"/>
    <w:rsid w:val="00A21E44"/>
    <w:rsid w:val="00A21E55"/>
    <w:rsid w:val="00A21EB3"/>
    <w:rsid w:val="00A21F67"/>
    <w:rsid w:val="00A21FE4"/>
    <w:rsid w:val="00A22037"/>
    <w:rsid w:val="00A22076"/>
    <w:rsid w:val="00A220C9"/>
    <w:rsid w:val="00A22115"/>
    <w:rsid w:val="00A221E4"/>
    <w:rsid w:val="00A222F4"/>
    <w:rsid w:val="00A2235E"/>
    <w:rsid w:val="00A2242E"/>
    <w:rsid w:val="00A2246F"/>
    <w:rsid w:val="00A224BD"/>
    <w:rsid w:val="00A2260D"/>
    <w:rsid w:val="00A2262D"/>
    <w:rsid w:val="00A22660"/>
    <w:rsid w:val="00A2278D"/>
    <w:rsid w:val="00A22805"/>
    <w:rsid w:val="00A22865"/>
    <w:rsid w:val="00A228E7"/>
    <w:rsid w:val="00A229C0"/>
    <w:rsid w:val="00A22A05"/>
    <w:rsid w:val="00A22A5E"/>
    <w:rsid w:val="00A22B68"/>
    <w:rsid w:val="00A22B6D"/>
    <w:rsid w:val="00A22B74"/>
    <w:rsid w:val="00A22B9A"/>
    <w:rsid w:val="00A22BD1"/>
    <w:rsid w:val="00A22BD4"/>
    <w:rsid w:val="00A22C1F"/>
    <w:rsid w:val="00A22CC9"/>
    <w:rsid w:val="00A22CE0"/>
    <w:rsid w:val="00A22D14"/>
    <w:rsid w:val="00A22D50"/>
    <w:rsid w:val="00A22D7D"/>
    <w:rsid w:val="00A22E30"/>
    <w:rsid w:val="00A22E62"/>
    <w:rsid w:val="00A22E65"/>
    <w:rsid w:val="00A22EE5"/>
    <w:rsid w:val="00A22F08"/>
    <w:rsid w:val="00A22F37"/>
    <w:rsid w:val="00A2303D"/>
    <w:rsid w:val="00A23064"/>
    <w:rsid w:val="00A2307D"/>
    <w:rsid w:val="00A2309C"/>
    <w:rsid w:val="00A230CF"/>
    <w:rsid w:val="00A23100"/>
    <w:rsid w:val="00A23105"/>
    <w:rsid w:val="00A23157"/>
    <w:rsid w:val="00A231E2"/>
    <w:rsid w:val="00A2320B"/>
    <w:rsid w:val="00A23284"/>
    <w:rsid w:val="00A232A8"/>
    <w:rsid w:val="00A23325"/>
    <w:rsid w:val="00A2335B"/>
    <w:rsid w:val="00A2339F"/>
    <w:rsid w:val="00A233A0"/>
    <w:rsid w:val="00A233B9"/>
    <w:rsid w:val="00A233BB"/>
    <w:rsid w:val="00A233C1"/>
    <w:rsid w:val="00A233D1"/>
    <w:rsid w:val="00A233E3"/>
    <w:rsid w:val="00A233E8"/>
    <w:rsid w:val="00A2345E"/>
    <w:rsid w:val="00A23597"/>
    <w:rsid w:val="00A2363F"/>
    <w:rsid w:val="00A2369A"/>
    <w:rsid w:val="00A236A2"/>
    <w:rsid w:val="00A237B7"/>
    <w:rsid w:val="00A2383B"/>
    <w:rsid w:val="00A2391A"/>
    <w:rsid w:val="00A2394E"/>
    <w:rsid w:val="00A239A3"/>
    <w:rsid w:val="00A23A6A"/>
    <w:rsid w:val="00A23A9E"/>
    <w:rsid w:val="00A23AC0"/>
    <w:rsid w:val="00A23B68"/>
    <w:rsid w:val="00A23BB0"/>
    <w:rsid w:val="00A23BE7"/>
    <w:rsid w:val="00A23CC1"/>
    <w:rsid w:val="00A23D67"/>
    <w:rsid w:val="00A23EF8"/>
    <w:rsid w:val="00A23F35"/>
    <w:rsid w:val="00A23FD7"/>
    <w:rsid w:val="00A24059"/>
    <w:rsid w:val="00A240DD"/>
    <w:rsid w:val="00A240F2"/>
    <w:rsid w:val="00A2411B"/>
    <w:rsid w:val="00A24196"/>
    <w:rsid w:val="00A241F4"/>
    <w:rsid w:val="00A24217"/>
    <w:rsid w:val="00A2426D"/>
    <w:rsid w:val="00A242D1"/>
    <w:rsid w:val="00A242E2"/>
    <w:rsid w:val="00A243A0"/>
    <w:rsid w:val="00A243B8"/>
    <w:rsid w:val="00A243FB"/>
    <w:rsid w:val="00A24525"/>
    <w:rsid w:val="00A24545"/>
    <w:rsid w:val="00A245CC"/>
    <w:rsid w:val="00A2466B"/>
    <w:rsid w:val="00A246C1"/>
    <w:rsid w:val="00A24735"/>
    <w:rsid w:val="00A24764"/>
    <w:rsid w:val="00A2481A"/>
    <w:rsid w:val="00A2490F"/>
    <w:rsid w:val="00A24998"/>
    <w:rsid w:val="00A2499D"/>
    <w:rsid w:val="00A249BA"/>
    <w:rsid w:val="00A249C4"/>
    <w:rsid w:val="00A249E8"/>
    <w:rsid w:val="00A24AD5"/>
    <w:rsid w:val="00A24B58"/>
    <w:rsid w:val="00A24BA0"/>
    <w:rsid w:val="00A24BA6"/>
    <w:rsid w:val="00A24BF2"/>
    <w:rsid w:val="00A24BFB"/>
    <w:rsid w:val="00A24C2C"/>
    <w:rsid w:val="00A24E2A"/>
    <w:rsid w:val="00A24EA4"/>
    <w:rsid w:val="00A24F10"/>
    <w:rsid w:val="00A24FB1"/>
    <w:rsid w:val="00A24FB3"/>
    <w:rsid w:val="00A24FE5"/>
    <w:rsid w:val="00A25029"/>
    <w:rsid w:val="00A25049"/>
    <w:rsid w:val="00A25058"/>
    <w:rsid w:val="00A250A6"/>
    <w:rsid w:val="00A250C1"/>
    <w:rsid w:val="00A251AE"/>
    <w:rsid w:val="00A2528E"/>
    <w:rsid w:val="00A252B1"/>
    <w:rsid w:val="00A25301"/>
    <w:rsid w:val="00A253AE"/>
    <w:rsid w:val="00A254CF"/>
    <w:rsid w:val="00A25530"/>
    <w:rsid w:val="00A255D6"/>
    <w:rsid w:val="00A255FF"/>
    <w:rsid w:val="00A25647"/>
    <w:rsid w:val="00A25703"/>
    <w:rsid w:val="00A257DC"/>
    <w:rsid w:val="00A2585A"/>
    <w:rsid w:val="00A259C8"/>
    <w:rsid w:val="00A259F0"/>
    <w:rsid w:val="00A25A69"/>
    <w:rsid w:val="00A25AA8"/>
    <w:rsid w:val="00A25AC4"/>
    <w:rsid w:val="00A25AD7"/>
    <w:rsid w:val="00A25B87"/>
    <w:rsid w:val="00A25B9D"/>
    <w:rsid w:val="00A25BAE"/>
    <w:rsid w:val="00A25C37"/>
    <w:rsid w:val="00A25C61"/>
    <w:rsid w:val="00A25C94"/>
    <w:rsid w:val="00A25D4F"/>
    <w:rsid w:val="00A25DF1"/>
    <w:rsid w:val="00A25F66"/>
    <w:rsid w:val="00A25F8C"/>
    <w:rsid w:val="00A25FF4"/>
    <w:rsid w:val="00A26006"/>
    <w:rsid w:val="00A260B5"/>
    <w:rsid w:val="00A260E4"/>
    <w:rsid w:val="00A26123"/>
    <w:rsid w:val="00A26196"/>
    <w:rsid w:val="00A261EA"/>
    <w:rsid w:val="00A261FF"/>
    <w:rsid w:val="00A26220"/>
    <w:rsid w:val="00A2623E"/>
    <w:rsid w:val="00A2629B"/>
    <w:rsid w:val="00A2633B"/>
    <w:rsid w:val="00A263D7"/>
    <w:rsid w:val="00A2641A"/>
    <w:rsid w:val="00A26508"/>
    <w:rsid w:val="00A2655A"/>
    <w:rsid w:val="00A265D3"/>
    <w:rsid w:val="00A265E1"/>
    <w:rsid w:val="00A265E4"/>
    <w:rsid w:val="00A265F7"/>
    <w:rsid w:val="00A265FD"/>
    <w:rsid w:val="00A26656"/>
    <w:rsid w:val="00A26784"/>
    <w:rsid w:val="00A26844"/>
    <w:rsid w:val="00A2684A"/>
    <w:rsid w:val="00A268EB"/>
    <w:rsid w:val="00A268F4"/>
    <w:rsid w:val="00A26925"/>
    <w:rsid w:val="00A269B9"/>
    <w:rsid w:val="00A269CB"/>
    <w:rsid w:val="00A269FB"/>
    <w:rsid w:val="00A26A42"/>
    <w:rsid w:val="00A26B2D"/>
    <w:rsid w:val="00A26C05"/>
    <w:rsid w:val="00A26C24"/>
    <w:rsid w:val="00A26C58"/>
    <w:rsid w:val="00A26C75"/>
    <w:rsid w:val="00A26D96"/>
    <w:rsid w:val="00A26DA5"/>
    <w:rsid w:val="00A26DC9"/>
    <w:rsid w:val="00A26DCA"/>
    <w:rsid w:val="00A26E59"/>
    <w:rsid w:val="00A26EFD"/>
    <w:rsid w:val="00A26F02"/>
    <w:rsid w:val="00A26F07"/>
    <w:rsid w:val="00A26F18"/>
    <w:rsid w:val="00A26F57"/>
    <w:rsid w:val="00A26F7A"/>
    <w:rsid w:val="00A26F7B"/>
    <w:rsid w:val="00A2700F"/>
    <w:rsid w:val="00A270D2"/>
    <w:rsid w:val="00A27120"/>
    <w:rsid w:val="00A271E8"/>
    <w:rsid w:val="00A272C3"/>
    <w:rsid w:val="00A2731D"/>
    <w:rsid w:val="00A27350"/>
    <w:rsid w:val="00A27381"/>
    <w:rsid w:val="00A273C2"/>
    <w:rsid w:val="00A273D3"/>
    <w:rsid w:val="00A274F8"/>
    <w:rsid w:val="00A275C4"/>
    <w:rsid w:val="00A275F2"/>
    <w:rsid w:val="00A27615"/>
    <w:rsid w:val="00A27697"/>
    <w:rsid w:val="00A276A9"/>
    <w:rsid w:val="00A2779B"/>
    <w:rsid w:val="00A277D9"/>
    <w:rsid w:val="00A27849"/>
    <w:rsid w:val="00A27889"/>
    <w:rsid w:val="00A2794A"/>
    <w:rsid w:val="00A27967"/>
    <w:rsid w:val="00A27A36"/>
    <w:rsid w:val="00A27AD9"/>
    <w:rsid w:val="00A27B18"/>
    <w:rsid w:val="00A27B4A"/>
    <w:rsid w:val="00A27B7F"/>
    <w:rsid w:val="00A27B91"/>
    <w:rsid w:val="00A27C56"/>
    <w:rsid w:val="00A27CA9"/>
    <w:rsid w:val="00A27D2E"/>
    <w:rsid w:val="00A27D46"/>
    <w:rsid w:val="00A27D5D"/>
    <w:rsid w:val="00A27D79"/>
    <w:rsid w:val="00A27E5B"/>
    <w:rsid w:val="00A27E7E"/>
    <w:rsid w:val="00A27E95"/>
    <w:rsid w:val="00A27EC1"/>
    <w:rsid w:val="00A27F47"/>
    <w:rsid w:val="00A27F87"/>
    <w:rsid w:val="00A27FBF"/>
    <w:rsid w:val="00A30006"/>
    <w:rsid w:val="00A30055"/>
    <w:rsid w:val="00A30090"/>
    <w:rsid w:val="00A3009A"/>
    <w:rsid w:val="00A300BE"/>
    <w:rsid w:val="00A300E9"/>
    <w:rsid w:val="00A30238"/>
    <w:rsid w:val="00A30298"/>
    <w:rsid w:val="00A30488"/>
    <w:rsid w:val="00A304F3"/>
    <w:rsid w:val="00A3058B"/>
    <w:rsid w:val="00A30612"/>
    <w:rsid w:val="00A3069B"/>
    <w:rsid w:val="00A30742"/>
    <w:rsid w:val="00A3085A"/>
    <w:rsid w:val="00A30897"/>
    <w:rsid w:val="00A308AA"/>
    <w:rsid w:val="00A308C4"/>
    <w:rsid w:val="00A30974"/>
    <w:rsid w:val="00A30985"/>
    <w:rsid w:val="00A30A85"/>
    <w:rsid w:val="00A30AFF"/>
    <w:rsid w:val="00A30B47"/>
    <w:rsid w:val="00A30B7A"/>
    <w:rsid w:val="00A30C30"/>
    <w:rsid w:val="00A30D22"/>
    <w:rsid w:val="00A30DDB"/>
    <w:rsid w:val="00A30F12"/>
    <w:rsid w:val="00A30F9F"/>
    <w:rsid w:val="00A30FCE"/>
    <w:rsid w:val="00A3100E"/>
    <w:rsid w:val="00A3101D"/>
    <w:rsid w:val="00A31030"/>
    <w:rsid w:val="00A3107F"/>
    <w:rsid w:val="00A3109E"/>
    <w:rsid w:val="00A310AE"/>
    <w:rsid w:val="00A310FB"/>
    <w:rsid w:val="00A31171"/>
    <w:rsid w:val="00A3118D"/>
    <w:rsid w:val="00A311B3"/>
    <w:rsid w:val="00A31204"/>
    <w:rsid w:val="00A312A5"/>
    <w:rsid w:val="00A312EF"/>
    <w:rsid w:val="00A31341"/>
    <w:rsid w:val="00A31368"/>
    <w:rsid w:val="00A313A2"/>
    <w:rsid w:val="00A31407"/>
    <w:rsid w:val="00A314B1"/>
    <w:rsid w:val="00A314FB"/>
    <w:rsid w:val="00A31510"/>
    <w:rsid w:val="00A3155C"/>
    <w:rsid w:val="00A315A3"/>
    <w:rsid w:val="00A31634"/>
    <w:rsid w:val="00A31662"/>
    <w:rsid w:val="00A3166F"/>
    <w:rsid w:val="00A316C0"/>
    <w:rsid w:val="00A316F3"/>
    <w:rsid w:val="00A3170E"/>
    <w:rsid w:val="00A31714"/>
    <w:rsid w:val="00A31761"/>
    <w:rsid w:val="00A3177C"/>
    <w:rsid w:val="00A317DF"/>
    <w:rsid w:val="00A31881"/>
    <w:rsid w:val="00A318A9"/>
    <w:rsid w:val="00A318B6"/>
    <w:rsid w:val="00A3195C"/>
    <w:rsid w:val="00A3199F"/>
    <w:rsid w:val="00A319BB"/>
    <w:rsid w:val="00A31A46"/>
    <w:rsid w:val="00A31AA6"/>
    <w:rsid w:val="00A31B0B"/>
    <w:rsid w:val="00A31B1C"/>
    <w:rsid w:val="00A31B20"/>
    <w:rsid w:val="00A31BA6"/>
    <w:rsid w:val="00A31C01"/>
    <w:rsid w:val="00A31C11"/>
    <w:rsid w:val="00A31C42"/>
    <w:rsid w:val="00A31C6C"/>
    <w:rsid w:val="00A31CE5"/>
    <w:rsid w:val="00A31CFE"/>
    <w:rsid w:val="00A31D52"/>
    <w:rsid w:val="00A31D56"/>
    <w:rsid w:val="00A31DAF"/>
    <w:rsid w:val="00A31DD4"/>
    <w:rsid w:val="00A31EBF"/>
    <w:rsid w:val="00A31F47"/>
    <w:rsid w:val="00A31F80"/>
    <w:rsid w:val="00A32006"/>
    <w:rsid w:val="00A32056"/>
    <w:rsid w:val="00A32145"/>
    <w:rsid w:val="00A32151"/>
    <w:rsid w:val="00A3218A"/>
    <w:rsid w:val="00A321D5"/>
    <w:rsid w:val="00A3221C"/>
    <w:rsid w:val="00A32366"/>
    <w:rsid w:val="00A323BF"/>
    <w:rsid w:val="00A323D2"/>
    <w:rsid w:val="00A323EA"/>
    <w:rsid w:val="00A3241D"/>
    <w:rsid w:val="00A32508"/>
    <w:rsid w:val="00A3253B"/>
    <w:rsid w:val="00A32547"/>
    <w:rsid w:val="00A325A3"/>
    <w:rsid w:val="00A325FA"/>
    <w:rsid w:val="00A32623"/>
    <w:rsid w:val="00A32677"/>
    <w:rsid w:val="00A32739"/>
    <w:rsid w:val="00A3282C"/>
    <w:rsid w:val="00A328AA"/>
    <w:rsid w:val="00A328D5"/>
    <w:rsid w:val="00A32992"/>
    <w:rsid w:val="00A32B14"/>
    <w:rsid w:val="00A32B99"/>
    <w:rsid w:val="00A32BFD"/>
    <w:rsid w:val="00A32C1F"/>
    <w:rsid w:val="00A32C38"/>
    <w:rsid w:val="00A32C74"/>
    <w:rsid w:val="00A32C78"/>
    <w:rsid w:val="00A32CAC"/>
    <w:rsid w:val="00A32D54"/>
    <w:rsid w:val="00A32D79"/>
    <w:rsid w:val="00A32DCB"/>
    <w:rsid w:val="00A32E3B"/>
    <w:rsid w:val="00A32E43"/>
    <w:rsid w:val="00A32EB7"/>
    <w:rsid w:val="00A32F3C"/>
    <w:rsid w:val="00A32F89"/>
    <w:rsid w:val="00A32F98"/>
    <w:rsid w:val="00A3303B"/>
    <w:rsid w:val="00A33110"/>
    <w:rsid w:val="00A3313D"/>
    <w:rsid w:val="00A33154"/>
    <w:rsid w:val="00A331A5"/>
    <w:rsid w:val="00A331A9"/>
    <w:rsid w:val="00A332AA"/>
    <w:rsid w:val="00A3333A"/>
    <w:rsid w:val="00A33377"/>
    <w:rsid w:val="00A33382"/>
    <w:rsid w:val="00A333E1"/>
    <w:rsid w:val="00A333E8"/>
    <w:rsid w:val="00A334ED"/>
    <w:rsid w:val="00A3354D"/>
    <w:rsid w:val="00A33562"/>
    <w:rsid w:val="00A33582"/>
    <w:rsid w:val="00A335CF"/>
    <w:rsid w:val="00A336DF"/>
    <w:rsid w:val="00A3377F"/>
    <w:rsid w:val="00A337E8"/>
    <w:rsid w:val="00A33866"/>
    <w:rsid w:val="00A33894"/>
    <w:rsid w:val="00A33916"/>
    <w:rsid w:val="00A33972"/>
    <w:rsid w:val="00A33A01"/>
    <w:rsid w:val="00A33C04"/>
    <w:rsid w:val="00A33D0F"/>
    <w:rsid w:val="00A33D5D"/>
    <w:rsid w:val="00A33DA4"/>
    <w:rsid w:val="00A33E50"/>
    <w:rsid w:val="00A33E84"/>
    <w:rsid w:val="00A33EE7"/>
    <w:rsid w:val="00A33F01"/>
    <w:rsid w:val="00A33F0D"/>
    <w:rsid w:val="00A33FD1"/>
    <w:rsid w:val="00A3406E"/>
    <w:rsid w:val="00A3409A"/>
    <w:rsid w:val="00A340EE"/>
    <w:rsid w:val="00A34118"/>
    <w:rsid w:val="00A34217"/>
    <w:rsid w:val="00A3425B"/>
    <w:rsid w:val="00A342CD"/>
    <w:rsid w:val="00A3434B"/>
    <w:rsid w:val="00A343AA"/>
    <w:rsid w:val="00A34521"/>
    <w:rsid w:val="00A34565"/>
    <w:rsid w:val="00A3457A"/>
    <w:rsid w:val="00A3458D"/>
    <w:rsid w:val="00A34590"/>
    <w:rsid w:val="00A3459D"/>
    <w:rsid w:val="00A345DB"/>
    <w:rsid w:val="00A34636"/>
    <w:rsid w:val="00A3478A"/>
    <w:rsid w:val="00A347FD"/>
    <w:rsid w:val="00A34819"/>
    <w:rsid w:val="00A3484F"/>
    <w:rsid w:val="00A348C1"/>
    <w:rsid w:val="00A349F0"/>
    <w:rsid w:val="00A34A8C"/>
    <w:rsid w:val="00A34AF2"/>
    <w:rsid w:val="00A34B0B"/>
    <w:rsid w:val="00A34BBB"/>
    <w:rsid w:val="00A34BD5"/>
    <w:rsid w:val="00A34D82"/>
    <w:rsid w:val="00A34DF8"/>
    <w:rsid w:val="00A34ECB"/>
    <w:rsid w:val="00A34F0E"/>
    <w:rsid w:val="00A34F4E"/>
    <w:rsid w:val="00A34FDC"/>
    <w:rsid w:val="00A35007"/>
    <w:rsid w:val="00A350BC"/>
    <w:rsid w:val="00A350C0"/>
    <w:rsid w:val="00A35114"/>
    <w:rsid w:val="00A35176"/>
    <w:rsid w:val="00A35179"/>
    <w:rsid w:val="00A351B9"/>
    <w:rsid w:val="00A351BE"/>
    <w:rsid w:val="00A351E1"/>
    <w:rsid w:val="00A35218"/>
    <w:rsid w:val="00A35255"/>
    <w:rsid w:val="00A353CE"/>
    <w:rsid w:val="00A353D6"/>
    <w:rsid w:val="00A35477"/>
    <w:rsid w:val="00A354C8"/>
    <w:rsid w:val="00A355CA"/>
    <w:rsid w:val="00A355FF"/>
    <w:rsid w:val="00A35601"/>
    <w:rsid w:val="00A3565F"/>
    <w:rsid w:val="00A35661"/>
    <w:rsid w:val="00A35682"/>
    <w:rsid w:val="00A356DE"/>
    <w:rsid w:val="00A356F8"/>
    <w:rsid w:val="00A357EB"/>
    <w:rsid w:val="00A3582D"/>
    <w:rsid w:val="00A358D3"/>
    <w:rsid w:val="00A359B8"/>
    <w:rsid w:val="00A35A27"/>
    <w:rsid w:val="00A35A75"/>
    <w:rsid w:val="00A35AC7"/>
    <w:rsid w:val="00A35B15"/>
    <w:rsid w:val="00A35C54"/>
    <w:rsid w:val="00A35D45"/>
    <w:rsid w:val="00A35EA9"/>
    <w:rsid w:val="00A35F57"/>
    <w:rsid w:val="00A35FBC"/>
    <w:rsid w:val="00A35FBD"/>
    <w:rsid w:val="00A36000"/>
    <w:rsid w:val="00A360B0"/>
    <w:rsid w:val="00A360D4"/>
    <w:rsid w:val="00A36191"/>
    <w:rsid w:val="00A361AE"/>
    <w:rsid w:val="00A361B4"/>
    <w:rsid w:val="00A361BE"/>
    <w:rsid w:val="00A361DA"/>
    <w:rsid w:val="00A361E9"/>
    <w:rsid w:val="00A36218"/>
    <w:rsid w:val="00A3627C"/>
    <w:rsid w:val="00A362C5"/>
    <w:rsid w:val="00A3631F"/>
    <w:rsid w:val="00A36329"/>
    <w:rsid w:val="00A3634E"/>
    <w:rsid w:val="00A3637B"/>
    <w:rsid w:val="00A363A4"/>
    <w:rsid w:val="00A36411"/>
    <w:rsid w:val="00A36479"/>
    <w:rsid w:val="00A36511"/>
    <w:rsid w:val="00A36582"/>
    <w:rsid w:val="00A36596"/>
    <w:rsid w:val="00A36611"/>
    <w:rsid w:val="00A36619"/>
    <w:rsid w:val="00A366F4"/>
    <w:rsid w:val="00A367E7"/>
    <w:rsid w:val="00A36813"/>
    <w:rsid w:val="00A36815"/>
    <w:rsid w:val="00A36836"/>
    <w:rsid w:val="00A368BE"/>
    <w:rsid w:val="00A369BC"/>
    <w:rsid w:val="00A36A6C"/>
    <w:rsid w:val="00A36AC1"/>
    <w:rsid w:val="00A36B88"/>
    <w:rsid w:val="00A36BAC"/>
    <w:rsid w:val="00A36BC0"/>
    <w:rsid w:val="00A36C9E"/>
    <w:rsid w:val="00A36CA3"/>
    <w:rsid w:val="00A36CF2"/>
    <w:rsid w:val="00A36D66"/>
    <w:rsid w:val="00A36D69"/>
    <w:rsid w:val="00A36D82"/>
    <w:rsid w:val="00A36E04"/>
    <w:rsid w:val="00A36E81"/>
    <w:rsid w:val="00A36FC9"/>
    <w:rsid w:val="00A37019"/>
    <w:rsid w:val="00A3720B"/>
    <w:rsid w:val="00A37226"/>
    <w:rsid w:val="00A37274"/>
    <w:rsid w:val="00A372CE"/>
    <w:rsid w:val="00A373A0"/>
    <w:rsid w:val="00A3741C"/>
    <w:rsid w:val="00A37428"/>
    <w:rsid w:val="00A374E9"/>
    <w:rsid w:val="00A37501"/>
    <w:rsid w:val="00A37524"/>
    <w:rsid w:val="00A3752A"/>
    <w:rsid w:val="00A376A3"/>
    <w:rsid w:val="00A37741"/>
    <w:rsid w:val="00A377F9"/>
    <w:rsid w:val="00A37896"/>
    <w:rsid w:val="00A3798A"/>
    <w:rsid w:val="00A379C3"/>
    <w:rsid w:val="00A37A08"/>
    <w:rsid w:val="00A37A6F"/>
    <w:rsid w:val="00A37A82"/>
    <w:rsid w:val="00A37B40"/>
    <w:rsid w:val="00A37C09"/>
    <w:rsid w:val="00A37C1B"/>
    <w:rsid w:val="00A37D10"/>
    <w:rsid w:val="00A37D62"/>
    <w:rsid w:val="00A37EA1"/>
    <w:rsid w:val="00A37F67"/>
    <w:rsid w:val="00A37FBE"/>
    <w:rsid w:val="00A37FEC"/>
    <w:rsid w:val="00A37FED"/>
    <w:rsid w:val="00A3BC31"/>
    <w:rsid w:val="00A40000"/>
    <w:rsid w:val="00A4020A"/>
    <w:rsid w:val="00A4023F"/>
    <w:rsid w:val="00A402BD"/>
    <w:rsid w:val="00A402CD"/>
    <w:rsid w:val="00A402EC"/>
    <w:rsid w:val="00A403D1"/>
    <w:rsid w:val="00A405A5"/>
    <w:rsid w:val="00A405CE"/>
    <w:rsid w:val="00A40614"/>
    <w:rsid w:val="00A40655"/>
    <w:rsid w:val="00A40677"/>
    <w:rsid w:val="00A4067F"/>
    <w:rsid w:val="00A406AA"/>
    <w:rsid w:val="00A406C7"/>
    <w:rsid w:val="00A40758"/>
    <w:rsid w:val="00A4084F"/>
    <w:rsid w:val="00A40874"/>
    <w:rsid w:val="00A4088F"/>
    <w:rsid w:val="00A4091D"/>
    <w:rsid w:val="00A4093D"/>
    <w:rsid w:val="00A40A18"/>
    <w:rsid w:val="00A40AB3"/>
    <w:rsid w:val="00A40B8D"/>
    <w:rsid w:val="00A40C0E"/>
    <w:rsid w:val="00A40CB2"/>
    <w:rsid w:val="00A40CF9"/>
    <w:rsid w:val="00A40D22"/>
    <w:rsid w:val="00A40DAC"/>
    <w:rsid w:val="00A40DBD"/>
    <w:rsid w:val="00A40E61"/>
    <w:rsid w:val="00A40E98"/>
    <w:rsid w:val="00A40F4F"/>
    <w:rsid w:val="00A40F59"/>
    <w:rsid w:val="00A40F9A"/>
    <w:rsid w:val="00A40FA9"/>
    <w:rsid w:val="00A4100D"/>
    <w:rsid w:val="00A41015"/>
    <w:rsid w:val="00A41094"/>
    <w:rsid w:val="00A4109B"/>
    <w:rsid w:val="00A411E1"/>
    <w:rsid w:val="00A4137B"/>
    <w:rsid w:val="00A413E3"/>
    <w:rsid w:val="00A41469"/>
    <w:rsid w:val="00A41494"/>
    <w:rsid w:val="00A41562"/>
    <w:rsid w:val="00A415F7"/>
    <w:rsid w:val="00A41609"/>
    <w:rsid w:val="00A41648"/>
    <w:rsid w:val="00A416A5"/>
    <w:rsid w:val="00A416D3"/>
    <w:rsid w:val="00A417E1"/>
    <w:rsid w:val="00A417EE"/>
    <w:rsid w:val="00A418D6"/>
    <w:rsid w:val="00A4198F"/>
    <w:rsid w:val="00A419D9"/>
    <w:rsid w:val="00A41A25"/>
    <w:rsid w:val="00A41C5A"/>
    <w:rsid w:val="00A41CC5"/>
    <w:rsid w:val="00A41DBB"/>
    <w:rsid w:val="00A41F25"/>
    <w:rsid w:val="00A42101"/>
    <w:rsid w:val="00A4217E"/>
    <w:rsid w:val="00A421A9"/>
    <w:rsid w:val="00A42273"/>
    <w:rsid w:val="00A42302"/>
    <w:rsid w:val="00A42346"/>
    <w:rsid w:val="00A423B8"/>
    <w:rsid w:val="00A423C3"/>
    <w:rsid w:val="00A424D4"/>
    <w:rsid w:val="00A424FB"/>
    <w:rsid w:val="00A4250A"/>
    <w:rsid w:val="00A4255A"/>
    <w:rsid w:val="00A42663"/>
    <w:rsid w:val="00A426A5"/>
    <w:rsid w:val="00A42775"/>
    <w:rsid w:val="00A4277E"/>
    <w:rsid w:val="00A42826"/>
    <w:rsid w:val="00A42862"/>
    <w:rsid w:val="00A428BD"/>
    <w:rsid w:val="00A428CA"/>
    <w:rsid w:val="00A4298E"/>
    <w:rsid w:val="00A429A4"/>
    <w:rsid w:val="00A429C4"/>
    <w:rsid w:val="00A42A18"/>
    <w:rsid w:val="00A42A69"/>
    <w:rsid w:val="00A42A89"/>
    <w:rsid w:val="00A42AF4"/>
    <w:rsid w:val="00A42B86"/>
    <w:rsid w:val="00A42C9F"/>
    <w:rsid w:val="00A42CAE"/>
    <w:rsid w:val="00A42CB2"/>
    <w:rsid w:val="00A42CC6"/>
    <w:rsid w:val="00A42CD8"/>
    <w:rsid w:val="00A42CFB"/>
    <w:rsid w:val="00A42D24"/>
    <w:rsid w:val="00A42D43"/>
    <w:rsid w:val="00A42E20"/>
    <w:rsid w:val="00A42E6C"/>
    <w:rsid w:val="00A43003"/>
    <w:rsid w:val="00A4307B"/>
    <w:rsid w:val="00A431A2"/>
    <w:rsid w:val="00A431F4"/>
    <w:rsid w:val="00A43224"/>
    <w:rsid w:val="00A43242"/>
    <w:rsid w:val="00A4326E"/>
    <w:rsid w:val="00A4326F"/>
    <w:rsid w:val="00A43297"/>
    <w:rsid w:val="00A432B4"/>
    <w:rsid w:val="00A43364"/>
    <w:rsid w:val="00A43398"/>
    <w:rsid w:val="00A43472"/>
    <w:rsid w:val="00A434DA"/>
    <w:rsid w:val="00A43562"/>
    <w:rsid w:val="00A43575"/>
    <w:rsid w:val="00A4357E"/>
    <w:rsid w:val="00A4359C"/>
    <w:rsid w:val="00A43727"/>
    <w:rsid w:val="00A43751"/>
    <w:rsid w:val="00A4378F"/>
    <w:rsid w:val="00A437A0"/>
    <w:rsid w:val="00A437B5"/>
    <w:rsid w:val="00A43836"/>
    <w:rsid w:val="00A4390A"/>
    <w:rsid w:val="00A43928"/>
    <w:rsid w:val="00A4392D"/>
    <w:rsid w:val="00A439EA"/>
    <w:rsid w:val="00A439FD"/>
    <w:rsid w:val="00A43A29"/>
    <w:rsid w:val="00A43A8D"/>
    <w:rsid w:val="00A43ACE"/>
    <w:rsid w:val="00A43BC6"/>
    <w:rsid w:val="00A43D78"/>
    <w:rsid w:val="00A43E16"/>
    <w:rsid w:val="00A43EBB"/>
    <w:rsid w:val="00A43F1B"/>
    <w:rsid w:val="00A43F94"/>
    <w:rsid w:val="00A44060"/>
    <w:rsid w:val="00A440C5"/>
    <w:rsid w:val="00A440E2"/>
    <w:rsid w:val="00A4413F"/>
    <w:rsid w:val="00A441C6"/>
    <w:rsid w:val="00A4430E"/>
    <w:rsid w:val="00A44506"/>
    <w:rsid w:val="00A44517"/>
    <w:rsid w:val="00A44519"/>
    <w:rsid w:val="00A445B8"/>
    <w:rsid w:val="00A44603"/>
    <w:rsid w:val="00A4461D"/>
    <w:rsid w:val="00A44751"/>
    <w:rsid w:val="00A44758"/>
    <w:rsid w:val="00A4476F"/>
    <w:rsid w:val="00A4478E"/>
    <w:rsid w:val="00A447A6"/>
    <w:rsid w:val="00A448A3"/>
    <w:rsid w:val="00A448B8"/>
    <w:rsid w:val="00A448F7"/>
    <w:rsid w:val="00A449FB"/>
    <w:rsid w:val="00A44A14"/>
    <w:rsid w:val="00A44A31"/>
    <w:rsid w:val="00A44A8C"/>
    <w:rsid w:val="00A44B91"/>
    <w:rsid w:val="00A44C4F"/>
    <w:rsid w:val="00A44D25"/>
    <w:rsid w:val="00A44D2C"/>
    <w:rsid w:val="00A44D69"/>
    <w:rsid w:val="00A44D75"/>
    <w:rsid w:val="00A44DB1"/>
    <w:rsid w:val="00A44DF1"/>
    <w:rsid w:val="00A44E76"/>
    <w:rsid w:val="00A44ED7"/>
    <w:rsid w:val="00A44EE5"/>
    <w:rsid w:val="00A44EFA"/>
    <w:rsid w:val="00A44F81"/>
    <w:rsid w:val="00A4500E"/>
    <w:rsid w:val="00A4501D"/>
    <w:rsid w:val="00A45044"/>
    <w:rsid w:val="00A45045"/>
    <w:rsid w:val="00A4505C"/>
    <w:rsid w:val="00A45114"/>
    <w:rsid w:val="00A45163"/>
    <w:rsid w:val="00A4516F"/>
    <w:rsid w:val="00A451A9"/>
    <w:rsid w:val="00A451D0"/>
    <w:rsid w:val="00A45231"/>
    <w:rsid w:val="00A453A0"/>
    <w:rsid w:val="00A453AC"/>
    <w:rsid w:val="00A45406"/>
    <w:rsid w:val="00A45473"/>
    <w:rsid w:val="00A454DA"/>
    <w:rsid w:val="00A454E8"/>
    <w:rsid w:val="00A4550E"/>
    <w:rsid w:val="00A455AC"/>
    <w:rsid w:val="00A45689"/>
    <w:rsid w:val="00A456B5"/>
    <w:rsid w:val="00A456E5"/>
    <w:rsid w:val="00A456FE"/>
    <w:rsid w:val="00A45748"/>
    <w:rsid w:val="00A45785"/>
    <w:rsid w:val="00A45850"/>
    <w:rsid w:val="00A4587D"/>
    <w:rsid w:val="00A45895"/>
    <w:rsid w:val="00A459E1"/>
    <w:rsid w:val="00A45AD7"/>
    <w:rsid w:val="00A45B23"/>
    <w:rsid w:val="00A45B3F"/>
    <w:rsid w:val="00A45B5F"/>
    <w:rsid w:val="00A45C1D"/>
    <w:rsid w:val="00A45C54"/>
    <w:rsid w:val="00A45CBD"/>
    <w:rsid w:val="00A45D49"/>
    <w:rsid w:val="00A45D74"/>
    <w:rsid w:val="00A45E25"/>
    <w:rsid w:val="00A45E5B"/>
    <w:rsid w:val="00A45ED5"/>
    <w:rsid w:val="00A45F04"/>
    <w:rsid w:val="00A45F5B"/>
    <w:rsid w:val="00A45FFA"/>
    <w:rsid w:val="00A4604B"/>
    <w:rsid w:val="00A46060"/>
    <w:rsid w:val="00A4606A"/>
    <w:rsid w:val="00A46083"/>
    <w:rsid w:val="00A460D5"/>
    <w:rsid w:val="00A4618C"/>
    <w:rsid w:val="00A4625C"/>
    <w:rsid w:val="00A46345"/>
    <w:rsid w:val="00A4643F"/>
    <w:rsid w:val="00A464B1"/>
    <w:rsid w:val="00A465B1"/>
    <w:rsid w:val="00A46637"/>
    <w:rsid w:val="00A466EA"/>
    <w:rsid w:val="00A46750"/>
    <w:rsid w:val="00A468B2"/>
    <w:rsid w:val="00A468D6"/>
    <w:rsid w:val="00A4696E"/>
    <w:rsid w:val="00A46991"/>
    <w:rsid w:val="00A469B9"/>
    <w:rsid w:val="00A469F5"/>
    <w:rsid w:val="00A46AE6"/>
    <w:rsid w:val="00A46AFF"/>
    <w:rsid w:val="00A46C40"/>
    <w:rsid w:val="00A46C4E"/>
    <w:rsid w:val="00A46C60"/>
    <w:rsid w:val="00A46C71"/>
    <w:rsid w:val="00A46C96"/>
    <w:rsid w:val="00A46CEE"/>
    <w:rsid w:val="00A46D20"/>
    <w:rsid w:val="00A46E09"/>
    <w:rsid w:val="00A46E58"/>
    <w:rsid w:val="00A46F55"/>
    <w:rsid w:val="00A4709C"/>
    <w:rsid w:val="00A470CF"/>
    <w:rsid w:val="00A470EA"/>
    <w:rsid w:val="00A47154"/>
    <w:rsid w:val="00A47188"/>
    <w:rsid w:val="00A471A6"/>
    <w:rsid w:val="00A471AA"/>
    <w:rsid w:val="00A471E0"/>
    <w:rsid w:val="00A47273"/>
    <w:rsid w:val="00A4730C"/>
    <w:rsid w:val="00A47399"/>
    <w:rsid w:val="00A473AA"/>
    <w:rsid w:val="00A473DF"/>
    <w:rsid w:val="00A473EB"/>
    <w:rsid w:val="00A47429"/>
    <w:rsid w:val="00A47583"/>
    <w:rsid w:val="00A475DD"/>
    <w:rsid w:val="00A47622"/>
    <w:rsid w:val="00A476AC"/>
    <w:rsid w:val="00A47832"/>
    <w:rsid w:val="00A4783B"/>
    <w:rsid w:val="00A47869"/>
    <w:rsid w:val="00A47909"/>
    <w:rsid w:val="00A4790B"/>
    <w:rsid w:val="00A4795E"/>
    <w:rsid w:val="00A47969"/>
    <w:rsid w:val="00A479A5"/>
    <w:rsid w:val="00A47A32"/>
    <w:rsid w:val="00A47B00"/>
    <w:rsid w:val="00A47B2A"/>
    <w:rsid w:val="00A47B32"/>
    <w:rsid w:val="00A47B38"/>
    <w:rsid w:val="00A47BF8"/>
    <w:rsid w:val="00A47BF9"/>
    <w:rsid w:val="00A47C0C"/>
    <w:rsid w:val="00A47C45"/>
    <w:rsid w:val="00A47CF6"/>
    <w:rsid w:val="00A47D1C"/>
    <w:rsid w:val="00A47DA9"/>
    <w:rsid w:val="00A47DF9"/>
    <w:rsid w:val="00A4A14B"/>
    <w:rsid w:val="00A5001F"/>
    <w:rsid w:val="00A50053"/>
    <w:rsid w:val="00A500A4"/>
    <w:rsid w:val="00A500C3"/>
    <w:rsid w:val="00A50177"/>
    <w:rsid w:val="00A5017E"/>
    <w:rsid w:val="00A5017F"/>
    <w:rsid w:val="00A5021E"/>
    <w:rsid w:val="00A50255"/>
    <w:rsid w:val="00A502C0"/>
    <w:rsid w:val="00A504EA"/>
    <w:rsid w:val="00A5056E"/>
    <w:rsid w:val="00A505BC"/>
    <w:rsid w:val="00A5069F"/>
    <w:rsid w:val="00A5076A"/>
    <w:rsid w:val="00A50799"/>
    <w:rsid w:val="00A507A8"/>
    <w:rsid w:val="00A50893"/>
    <w:rsid w:val="00A508AC"/>
    <w:rsid w:val="00A5090C"/>
    <w:rsid w:val="00A509CF"/>
    <w:rsid w:val="00A50AB5"/>
    <w:rsid w:val="00A50AD5"/>
    <w:rsid w:val="00A50AD9"/>
    <w:rsid w:val="00A50AFC"/>
    <w:rsid w:val="00A50B18"/>
    <w:rsid w:val="00A50B1A"/>
    <w:rsid w:val="00A50BA5"/>
    <w:rsid w:val="00A50BB0"/>
    <w:rsid w:val="00A50C2A"/>
    <w:rsid w:val="00A50C46"/>
    <w:rsid w:val="00A50C5A"/>
    <w:rsid w:val="00A50C75"/>
    <w:rsid w:val="00A50CC9"/>
    <w:rsid w:val="00A50D1A"/>
    <w:rsid w:val="00A50DA3"/>
    <w:rsid w:val="00A50DE7"/>
    <w:rsid w:val="00A50E41"/>
    <w:rsid w:val="00A50EAE"/>
    <w:rsid w:val="00A50EDF"/>
    <w:rsid w:val="00A50F03"/>
    <w:rsid w:val="00A50F0C"/>
    <w:rsid w:val="00A50F50"/>
    <w:rsid w:val="00A50F89"/>
    <w:rsid w:val="00A51017"/>
    <w:rsid w:val="00A51035"/>
    <w:rsid w:val="00A510D5"/>
    <w:rsid w:val="00A512B8"/>
    <w:rsid w:val="00A512BD"/>
    <w:rsid w:val="00A51350"/>
    <w:rsid w:val="00A51450"/>
    <w:rsid w:val="00A515E2"/>
    <w:rsid w:val="00A51605"/>
    <w:rsid w:val="00A51638"/>
    <w:rsid w:val="00A5167B"/>
    <w:rsid w:val="00A516A7"/>
    <w:rsid w:val="00A516D9"/>
    <w:rsid w:val="00A5178F"/>
    <w:rsid w:val="00A5179D"/>
    <w:rsid w:val="00A517B9"/>
    <w:rsid w:val="00A517D2"/>
    <w:rsid w:val="00A51802"/>
    <w:rsid w:val="00A51803"/>
    <w:rsid w:val="00A51966"/>
    <w:rsid w:val="00A5196F"/>
    <w:rsid w:val="00A519D1"/>
    <w:rsid w:val="00A51A4E"/>
    <w:rsid w:val="00A51B14"/>
    <w:rsid w:val="00A51B65"/>
    <w:rsid w:val="00A51B94"/>
    <w:rsid w:val="00A51B9B"/>
    <w:rsid w:val="00A51BA6"/>
    <w:rsid w:val="00A51BD7"/>
    <w:rsid w:val="00A51C75"/>
    <w:rsid w:val="00A51CBA"/>
    <w:rsid w:val="00A51CDD"/>
    <w:rsid w:val="00A51D57"/>
    <w:rsid w:val="00A51DB9"/>
    <w:rsid w:val="00A51DF6"/>
    <w:rsid w:val="00A51E2F"/>
    <w:rsid w:val="00A51EBD"/>
    <w:rsid w:val="00A52004"/>
    <w:rsid w:val="00A5200E"/>
    <w:rsid w:val="00A52014"/>
    <w:rsid w:val="00A52056"/>
    <w:rsid w:val="00A52071"/>
    <w:rsid w:val="00A5207A"/>
    <w:rsid w:val="00A520D5"/>
    <w:rsid w:val="00A52116"/>
    <w:rsid w:val="00A52146"/>
    <w:rsid w:val="00A52175"/>
    <w:rsid w:val="00A52197"/>
    <w:rsid w:val="00A521BE"/>
    <w:rsid w:val="00A521C8"/>
    <w:rsid w:val="00A521CE"/>
    <w:rsid w:val="00A52227"/>
    <w:rsid w:val="00A52257"/>
    <w:rsid w:val="00A5226E"/>
    <w:rsid w:val="00A52331"/>
    <w:rsid w:val="00A523DF"/>
    <w:rsid w:val="00A52469"/>
    <w:rsid w:val="00A5253A"/>
    <w:rsid w:val="00A5255A"/>
    <w:rsid w:val="00A52566"/>
    <w:rsid w:val="00A5257C"/>
    <w:rsid w:val="00A52594"/>
    <w:rsid w:val="00A5259D"/>
    <w:rsid w:val="00A5260B"/>
    <w:rsid w:val="00A52663"/>
    <w:rsid w:val="00A5284A"/>
    <w:rsid w:val="00A52865"/>
    <w:rsid w:val="00A52909"/>
    <w:rsid w:val="00A5296C"/>
    <w:rsid w:val="00A52A78"/>
    <w:rsid w:val="00A52AC0"/>
    <w:rsid w:val="00A52ADE"/>
    <w:rsid w:val="00A52B5B"/>
    <w:rsid w:val="00A52B6D"/>
    <w:rsid w:val="00A52C1E"/>
    <w:rsid w:val="00A52C29"/>
    <w:rsid w:val="00A52CE1"/>
    <w:rsid w:val="00A52E3A"/>
    <w:rsid w:val="00A52EA3"/>
    <w:rsid w:val="00A52EB7"/>
    <w:rsid w:val="00A52EBA"/>
    <w:rsid w:val="00A52F39"/>
    <w:rsid w:val="00A52F49"/>
    <w:rsid w:val="00A52F6D"/>
    <w:rsid w:val="00A5305D"/>
    <w:rsid w:val="00A530C2"/>
    <w:rsid w:val="00A53101"/>
    <w:rsid w:val="00A5317D"/>
    <w:rsid w:val="00A531D2"/>
    <w:rsid w:val="00A5322B"/>
    <w:rsid w:val="00A532B1"/>
    <w:rsid w:val="00A5330C"/>
    <w:rsid w:val="00A53375"/>
    <w:rsid w:val="00A533BC"/>
    <w:rsid w:val="00A533E9"/>
    <w:rsid w:val="00A5340A"/>
    <w:rsid w:val="00A5342D"/>
    <w:rsid w:val="00A53483"/>
    <w:rsid w:val="00A534E4"/>
    <w:rsid w:val="00A535D2"/>
    <w:rsid w:val="00A53640"/>
    <w:rsid w:val="00A53662"/>
    <w:rsid w:val="00A536FB"/>
    <w:rsid w:val="00A53732"/>
    <w:rsid w:val="00A53759"/>
    <w:rsid w:val="00A537BA"/>
    <w:rsid w:val="00A53891"/>
    <w:rsid w:val="00A5389D"/>
    <w:rsid w:val="00A53938"/>
    <w:rsid w:val="00A539EE"/>
    <w:rsid w:val="00A53AB6"/>
    <w:rsid w:val="00A53AD7"/>
    <w:rsid w:val="00A53B36"/>
    <w:rsid w:val="00A53B7A"/>
    <w:rsid w:val="00A53BBC"/>
    <w:rsid w:val="00A53C8E"/>
    <w:rsid w:val="00A53CF7"/>
    <w:rsid w:val="00A53D6A"/>
    <w:rsid w:val="00A53DFC"/>
    <w:rsid w:val="00A53E73"/>
    <w:rsid w:val="00A53E98"/>
    <w:rsid w:val="00A53FC4"/>
    <w:rsid w:val="00A5411D"/>
    <w:rsid w:val="00A54150"/>
    <w:rsid w:val="00A54178"/>
    <w:rsid w:val="00A541B6"/>
    <w:rsid w:val="00A54238"/>
    <w:rsid w:val="00A54310"/>
    <w:rsid w:val="00A54334"/>
    <w:rsid w:val="00A543A3"/>
    <w:rsid w:val="00A54413"/>
    <w:rsid w:val="00A54419"/>
    <w:rsid w:val="00A54465"/>
    <w:rsid w:val="00A544EC"/>
    <w:rsid w:val="00A54575"/>
    <w:rsid w:val="00A545AC"/>
    <w:rsid w:val="00A545B2"/>
    <w:rsid w:val="00A545D2"/>
    <w:rsid w:val="00A54850"/>
    <w:rsid w:val="00A54882"/>
    <w:rsid w:val="00A548E1"/>
    <w:rsid w:val="00A549C8"/>
    <w:rsid w:val="00A549CF"/>
    <w:rsid w:val="00A54A5A"/>
    <w:rsid w:val="00A54B4F"/>
    <w:rsid w:val="00A54B9E"/>
    <w:rsid w:val="00A54BFB"/>
    <w:rsid w:val="00A54C45"/>
    <w:rsid w:val="00A54C56"/>
    <w:rsid w:val="00A54CA4"/>
    <w:rsid w:val="00A54CDD"/>
    <w:rsid w:val="00A54CE1"/>
    <w:rsid w:val="00A54CF8"/>
    <w:rsid w:val="00A54DE0"/>
    <w:rsid w:val="00A54E41"/>
    <w:rsid w:val="00A54E7B"/>
    <w:rsid w:val="00A54E9B"/>
    <w:rsid w:val="00A55018"/>
    <w:rsid w:val="00A55019"/>
    <w:rsid w:val="00A550A3"/>
    <w:rsid w:val="00A550E0"/>
    <w:rsid w:val="00A550EA"/>
    <w:rsid w:val="00A55385"/>
    <w:rsid w:val="00A5539C"/>
    <w:rsid w:val="00A55444"/>
    <w:rsid w:val="00A55449"/>
    <w:rsid w:val="00A554E0"/>
    <w:rsid w:val="00A554FE"/>
    <w:rsid w:val="00A55520"/>
    <w:rsid w:val="00A55577"/>
    <w:rsid w:val="00A5564B"/>
    <w:rsid w:val="00A556AA"/>
    <w:rsid w:val="00A556EA"/>
    <w:rsid w:val="00A55729"/>
    <w:rsid w:val="00A55767"/>
    <w:rsid w:val="00A5578B"/>
    <w:rsid w:val="00A5578C"/>
    <w:rsid w:val="00A5584F"/>
    <w:rsid w:val="00A559FA"/>
    <w:rsid w:val="00A55A2E"/>
    <w:rsid w:val="00A55B05"/>
    <w:rsid w:val="00A55B06"/>
    <w:rsid w:val="00A55B64"/>
    <w:rsid w:val="00A55C00"/>
    <w:rsid w:val="00A55C34"/>
    <w:rsid w:val="00A55C3C"/>
    <w:rsid w:val="00A55C8B"/>
    <w:rsid w:val="00A55CCA"/>
    <w:rsid w:val="00A55D3F"/>
    <w:rsid w:val="00A55D70"/>
    <w:rsid w:val="00A55F2B"/>
    <w:rsid w:val="00A55F39"/>
    <w:rsid w:val="00A55F3A"/>
    <w:rsid w:val="00A55F53"/>
    <w:rsid w:val="00A56036"/>
    <w:rsid w:val="00A560A8"/>
    <w:rsid w:val="00A560C6"/>
    <w:rsid w:val="00A56126"/>
    <w:rsid w:val="00A5616C"/>
    <w:rsid w:val="00A561B3"/>
    <w:rsid w:val="00A561BA"/>
    <w:rsid w:val="00A562E3"/>
    <w:rsid w:val="00A56369"/>
    <w:rsid w:val="00A56370"/>
    <w:rsid w:val="00A563AF"/>
    <w:rsid w:val="00A563B9"/>
    <w:rsid w:val="00A56455"/>
    <w:rsid w:val="00A564C2"/>
    <w:rsid w:val="00A564DC"/>
    <w:rsid w:val="00A564EC"/>
    <w:rsid w:val="00A56522"/>
    <w:rsid w:val="00A56526"/>
    <w:rsid w:val="00A5654D"/>
    <w:rsid w:val="00A56552"/>
    <w:rsid w:val="00A5655F"/>
    <w:rsid w:val="00A5664D"/>
    <w:rsid w:val="00A56748"/>
    <w:rsid w:val="00A567D7"/>
    <w:rsid w:val="00A567EC"/>
    <w:rsid w:val="00A56809"/>
    <w:rsid w:val="00A56893"/>
    <w:rsid w:val="00A568E0"/>
    <w:rsid w:val="00A569FA"/>
    <w:rsid w:val="00A56A22"/>
    <w:rsid w:val="00A56B53"/>
    <w:rsid w:val="00A56BB6"/>
    <w:rsid w:val="00A56BD5"/>
    <w:rsid w:val="00A56C61"/>
    <w:rsid w:val="00A56C67"/>
    <w:rsid w:val="00A56CC3"/>
    <w:rsid w:val="00A56D5F"/>
    <w:rsid w:val="00A56D86"/>
    <w:rsid w:val="00A56DF0"/>
    <w:rsid w:val="00A56E46"/>
    <w:rsid w:val="00A5711B"/>
    <w:rsid w:val="00A5711F"/>
    <w:rsid w:val="00A571ED"/>
    <w:rsid w:val="00A572C1"/>
    <w:rsid w:val="00A572F1"/>
    <w:rsid w:val="00A57354"/>
    <w:rsid w:val="00A573D7"/>
    <w:rsid w:val="00A5746D"/>
    <w:rsid w:val="00A57510"/>
    <w:rsid w:val="00A57549"/>
    <w:rsid w:val="00A575B5"/>
    <w:rsid w:val="00A5760D"/>
    <w:rsid w:val="00A5761F"/>
    <w:rsid w:val="00A57656"/>
    <w:rsid w:val="00A5765D"/>
    <w:rsid w:val="00A57671"/>
    <w:rsid w:val="00A57679"/>
    <w:rsid w:val="00A5769C"/>
    <w:rsid w:val="00A576B2"/>
    <w:rsid w:val="00A57723"/>
    <w:rsid w:val="00A57765"/>
    <w:rsid w:val="00A57782"/>
    <w:rsid w:val="00A578DB"/>
    <w:rsid w:val="00A578DF"/>
    <w:rsid w:val="00A5792D"/>
    <w:rsid w:val="00A5794C"/>
    <w:rsid w:val="00A579A3"/>
    <w:rsid w:val="00A579D9"/>
    <w:rsid w:val="00A57A25"/>
    <w:rsid w:val="00A57AF7"/>
    <w:rsid w:val="00A57B86"/>
    <w:rsid w:val="00A57B9B"/>
    <w:rsid w:val="00A57CF7"/>
    <w:rsid w:val="00A57D03"/>
    <w:rsid w:val="00A57D5D"/>
    <w:rsid w:val="00A57DC5"/>
    <w:rsid w:val="00A57F16"/>
    <w:rsid w:val="00A57F39"/>
    <w:rsid w:val="00A57F7A"/>
    <w:rsid w:val="00A57FBE"/>
    <w:rsid w:val="00A57FCB"/>
    <w:rsid w:val="00A57FE1"/>
    <w:rsid w:val="00A60012"/>
    <w:rsid w:val="00A60171"/>
    <w:rsid w:val="00A601C0"/>
    <w:rsid w:val="00A601F0"/>
    <w:rsid w:val="00A60202"/>
    <w:rsid w:val="00A60212"/>
    <w:rsid w:val="00A60273"/>
    <w:rsid w:val="00A60360"/>
    <w:rsid w:val="00A60363"/>
    <w:rsid w:val="00A60366"/>
    <w:rsid w:val="00A603EB"/>
    <w:rsid w:val="00A60507"/>
    <w:rsid w:val="00A605DB"/>
    <w:rsid w:val="00A60724"/>
    <w:rsid w:val="00A60737"/>
    <w:rsid w:val="00A6080A"/>
    <w:rsid w:val="00A6086B"/>
    <w:rsid w:val="00A608AC"/>
    <w:rsid w:val="00A608E1"/>
    <w:rsid w:val="00A60963"/>
    <w:rsid w:val="00A6096C"/>
    <w:rsid w:val="00A6098D"/>
    <w:rsid w:val="00A609E8"/>
    <w:rsid w:val="00A60A0E"/>
    <w:rsid w:val="00A60A7C"/>
    <w:rsid w:val="00A60A94"/>
    <w:rsid w:val="00A60AFC"/>
    <w:rsid w:val="00A60B93"/>
    <w:rsid w:val="00A60CE5"/>
    <w:rsid w:val="00A60DEA"/>
    <w:rsid w:val="00A60E8F"/>
    <w:rsid w:val="00A60EC4"/>
    <w:rsid w:val="00A60F72"/>
    <w:rsid w:val="00A60FEA"/>
    <w:rsid w:val="00A6106F"/>
    <w:rsid w:val="00A61089"/>
    <w:rsid w:val="00A610AC"/>
    <w:rsid w:val="00A61145"/>
    <w:rsid w:val="00A61162"/>
    <w:rsid w:val="00A611F1"/>
    <w:rsid w:val="00A61206"/>
    <w:rsid w:val="00A612A4"/>
    <w:rsid w:val="00A612F5"/>
    <w:rsid w:val="00A61386"/>
    <w:rsid w:val="00A61488"/>
    <w:rsid w:val="00A614D1"/>
    <w:rsid w:val="00A6158D"/>
    <w:rsid w:val="00A615C9"/>
    <w:rsid w:val="00A615EC"/>
    <w:rsid w:val="00A616A7"/>
    <w:rsid w:val="00A616D9"/>
    <w:rsid w:val="00A6173A"/>
    <w:rsid w:val="00A6179A"/>
    <w:rsid w:val="00A6179D"/>
    <w:rsid w:val="00A61857"/>
    <w:rsid w:val="00A6186A"/>
    <w:rsid w:val="00A61A9F"/>
    <w:rsid w:val="00A61AAD"/>
    <w:rsid w:val="00A61AAE"/>
    <w:rsid w:val="00A61B20"/>
    <w:rsid w:val="00A61B2D"/>
    <w:rsid w:val="00A61B34"/>
    <w:rsid w:val="00A61B71"/>
    <w:rsid w:val="00A61BB0"/>
    <w:rsid w:val="00A61C91"/>
    <w:rsid w:val="00A61D8F"/>
    <w:rsid w:val="00A61DA1"/>
    <w:rsid w:val="00A61E59"/>
    <w:rsid w:val="00A61EA3"/>
    <w:rsid w:val="00A61ECE"/>
    <w:rsid w:val="00A61EF1"/>
    <w:rsid w:val="00A61F6E"/>
    <w:rsid w:val="00A61F77"/>
    <w:rsid w:val="00A62073"/>
    <w:rsid w:val="00A62082"/>
    <w:rsid w:val="00A62133"/>
    <w:rsid w:val="00A6213E"/>
    <w:rsid w:val="00A6217B"/>
    <w:rsid w:val="00A621C6"/>
    <w:rsid w:val="00A6220A"/>
    <w:rsid w:val="00A6225B"/>
    <w:rsid w:val="00A6227A"/>
    <w:rsid w:val="00A62283"/>
    <w:rsid w:val="00A6240F"/>
    <w:rsid w:val="00A62468"/>
    <w:rsid w:val="00A624AB"/>
    <w:rsid w:val="00A62506"/>
    <w:rsid w:val="00A6252F"/>
    <w:rsid w:val="00A625DC"/>
    <w:rsid w:val="00A6266C"/>
    <w:rsid w:val="00A6270F"/>
    <w:rsid w:val="00A6272D"/>
    <w:rsid w:val="00A62742"/>
    <w:rsid w:val="00A62783"/>
    <w:rsid w:val="00A628C9"/>
    <w:rsid w:val="00A628D6"/>
    <w:rsid w:val="00A628F0"/>
    <w:rsid w:val="00A629EA"/>
    <w:rsid w:val="00A62AE3"/>
    <w:rsid w:val="00A62B12"/>
    <w:rsid w:val="00A62B7B"/>
    <w:rsid w:val="00A62B8B"/>
    <w:rsid w:val="00A62BEC"/>
    <w:rsid w:val="00A62BF5"/>
    <w:rsid w:val="00A62BFF"/>
    <w:rsid w:val="00A62C33"/>
    <w:rsid w:val="00A62C42"/>
    <w:rsid w:val="00A62CAC"/>
    <w:rsid w:val="00A62CB5"/>
    <w:rsid w:val="00A62CC8"/>
    <w:rsid w:val="00A62CCF"/>
    <w:rsid w:val="00A62D2B"/>
    <w:rsid w:val="00A62D6C"/>
    <w:rsid w:val="00A62E39"/>
    <w:rsid w:val="00A62EAD"/>
    <w:rsid w:val="00A62F12"/>
    <w:rsid w:val="00A62F21"/>
    <w:rsid w:val="00A62F2A"/>
    <w:rsid w:val="00A62F2C"/>
    <w:rsid w:val="00A62F58"/>
    <w:rsid w:val="00A62FA6"/>
    <w:rsid w:val="00A62FF5"/>
    <w:rsid w:val="00A6302D"/>
    <w:rsid w:val="00A6304F"/>
    <w:rsid w:val="00A63063"/>
    <w:rsid w:val="00A6322A"/>
    <w:rsid w:val="00A632AB"/>
    <w:rsid w:val="00A6332C"/>
    <w:rsid w:val="00A6335F"/>
    <w:rsid w:val="00A6345E"/>
    <w:rsid w:val="00A63475"/>
    <w:rsid w:val="00A63584"/>
    <w:rsid w:val="00A635BE"/>
    <w:rsid w:val="00A63601"/>
    <w:rsid w:val="00A63650"/>
    <w:rsid w:val="00A6367D"/>
    <w:rsid w:val="00A63692"/>
    <w:rsid w:val="00A63693"/>
    <w:rsid w:val="00A636D7"/>
    <w:rsid w:val="00A636F5"/>
    <w:rsid w:val="00A63779"/>
    <w:rsid w:val="00A63799"/>
    <w:rsid w:val="00A637D8"/>
    <w:rsid w:val="00A637FA"/>
    <w:rsid w:val="00A63864"/>
    <w:rsid w:val="00A6394E"/>
    <w:rsid w:val="00A63989"/>
    <w:rsid w:val="00A639A9"/>
    <w:rsid w:val="00A63A6D"/>
    <w:rsid w:val="00A63AB3"/>
    <w:rsid w:val="00A63AC9"/>
    <w:rsid w:val="00A63B05"/>
    <w:rsid w:val="00A63B0A"/>
    <w:rsid w:val="00A63B9E"/>
    <w:rsid w:val="00A63CD6"/>
    <w:rsid w:val="00A63D6A"/>
    <w:rsid w:val="00A63D94"/>
    <w:rsid w:val="00A63DA8"/>
    <w:rsid w:val="00A63DC8"/>
    <w:rsid w:val="00A63DDA"/>
    <w:rsid w:val="00A63E4F"/>
    <w:rsid w:val="00A63E69"/>
    <w:rsid w:val="00A63E82"/>
    <w:rsid w:val="00A63FF1"/>
    <w:rsid w:val="00A64005"/>
    <w:rsid w:val="00A64031"/>
    <w:rsid w:val="00A64035"/>
    <w:rsid w:val="00A6408D"/>
    <w:rsid w:val="00A64198"/>
    <w:rsid w:val="00A641BF"/>
    <w:rsid w:val="00A64252"/>
    <w:rsid w:val="00A64288"/>
    <w:rsid w:val="00A64302"/>
    <w:rsid w:val="00A6430E"/>
    <w:rsid w:val="00A6436F"/>
    <w:rsid w:val="00A64370"/>
    <w:rsid w:val="00A64377"/>
    <w:rsid w:val="00A644B8"/>
    <w:rsid w:val="00A644F0"/>
    <w:rsid w:val="00A64546"/>
    <w:rsid w:val="00A64547"/>
    <w:rsid w:val="00A6472C"/>
    <w:rsid w:val="00A64754"/>
    <w:rsid w:val="00A647D8"/>
    <w:rsid w:val="00A64801"/>
    <w:rsid w:val="00A6487C"/>
    <w:rsid w:val="00A64921"/>
    <w:rsid w:val="00A6493B"/>
    <w:rsid w:val="00A64B23"/>
    <w:rsid w:val="00A64B3B"/>
    <w:rsid w:val="00A64D79"/>
    <w:rsid w:val="00A64EBE"/>
    <w:rsid w:val="00A64EE4"/>
    <w:rsid w:val="00A64EFD"/>
    <w:rsid w:val="00A64F36"/>
    <w:rsid w:val="00A65005"/>
    <w:rsid w:val="00A6502A"/>
    <w:rsid w:val="00A6504B"/>
    <w:rsid w:val="00A6505B"/>
    <w:rsid w:val="00A650E1"/>
    <w:rsid w:val="00A650FF"/>
    <w:rsid w:val="00A65179"/>
    <w:rsid w:val="00A651C9"/>
    <w:rsid w:val="00A65267"/>
    <w:rsid w:val="00A6529D"/>
    <w:rsid w:val="00A652CB"/>
    <w:rsid w:val="00A652E0"/>
    <w:rsid w:val="00A65598"/>
    <w:rsid w:val="00A655C7"/>
    <w:rsid w:val="00A65666"/>
    <w:rsid w:val="00A65715"/>
    <w:rsid w:val="00A658B7"/>
    <w:rsid w:val="00A658D0"/>
    <w:rsid w:val="00A65A02"/>
    <w:rsid w:val="00A65A37"/>
    <w:rsid w:val="00A65A89"/>
    <w:rsid w:val="00A65B3D"/>
    <w:rsid w:val="00A65B3E"/>
    <w:rsid w:val="00A65D43"/>
    <w:rsid w:val="00A65D68"/>
    <w:rsid w:val="00A65DC0"/>
    <w:rsid w:val="00A65DD0"/>
    <w:rsid w:val="00A65E4A"/>
    <w:rsid w:val="00A65E96"/>
    <w:rsid w:val="00A65EBB"/>
    <w:rsid w:val="00A65FCA"/>
    <w:rsid w:val="00A66038"/>
    <w:rsid w:val="00A66054"/>
    <w:rsid w:val="00A6607F"/>
    <w:rsid w:val="00A6611F"/>
    <w:rsid w:val="00A661AC"/>
    <w:rsid w:val="00A661C5"/>
    <w:rsid w:val="00A661E5"/>
    <w:rsid w:val="00A66228"/>
    <w:rsid w:val="00A662C5"/>
    <w:rsid w:val="00A662ED"/>
    <w:rsid w:val="00A66321"/>
    <w:rsid w:val="00A663EE"/>
    <w:rsid w:val="00A66448"/>
    <w:rsid w:val="00A664B5"/>
    <w:rsid w:val="00A664FD"/>
    <w:rsid w:val="00A6655F"/>
    <w:rsid w:val="00A665B5"/>
    <w:rsid w:val="00A666DE"/>
    <w:rsid w:val="00A666FF"/>
    <w:rsid w:val="00A6671C"/>
    <w:rsid w:val="00A667DE"/>
    <w:rsid w:val="00A66864"/>
    <w:rsid w:val="00A6686D"/>
    <w:rsid w:val="00A66886"/>
    <w:rsid w:val="00A668C7"/>
    <w:rsid w:val="00A668D7"/>
    <w:rsid w:val="00A66B36"/>
    <w:rsid w:val="00A66B65"/>
    <w:rsid w:val="00A66B8D"/>
    <w:rsid w:val="00A66BF4"/>
    <w:rsid w:val="00A66C64"/>
    <w:rsid w:val="00A66C94"/>
    <w:rsid w:val="00A66D40"/>
    <w:rsid w:val="00A66DFE"/>
    <w:rsid w:val="00A66E35"/>
    <w:rsid w:val="00A66EE9"/>
    <w:rsid w:val="00A67031"/>
    <w:rsid w:val="00A67073"/>
    <w:rsid w:val="00A670CE"/>
    <w:rsid w:val="00A6713D"/>
    <w:rsid w:val="00A6715F"/>
    <w:rsid w:val="00A67196"/>
    <w:rsid w:val="00A671EA"/>
    <w:rsid w:val="00A67206"/>
    <w:rsid w:val="00A67439"/>
    <w:rsid w:val="00A6746F"/>
    <w:rsid w:val="00A674A9"/>
    <w:rsid w:val="00A674B3"/>
    <w:rsid w:val="00A674EF"/>
    <w:rsid w:val="00A67513"/>
    <w:rsid w:val="00A67566"/>
    <w:rsid w:val="00A6756E"/>
    <w:rsid w:val="00A675C6"/>
    <w:rsid w:val="00A676FB"/>
    <w:rsid w:val="00A67742"/>
    <w:rsid w:val="00A6781E"/>
    <w:rsid w:val="00A6786B"/>
    <w:rsid w:val="00A67871"/>
    <w:rsid w:val="00A6792F"/>
    <w:rsid w:val="00A67937"/>
    <w:rsid w:val="00A67939"/>
    <w:rsid w:val="00A67A10"/>
    <w:rsid w:val="00A67A2C"/>
    <w:rsid w:val="00A67B08"/>
    <w:rsid w:val="00A67B21"/>
    <w:rsid w:val="00A67B24"/>
    <w:rsid w:val="00A67C60"/>
    <w:rsid w:val="00A67CF8"/>
    <w:rsid w:val="00A67D53"/>
    <w:rsid w:val="00A67EE5"/>
    <w:rsid w:val="00A67F11"/>
    <w:rsid w:val="00A67F13"/>
    <w:rsid w:val="00A67F35"/>
    <w:rsid w:val="00A67F61"/>
    <w:rsid w:val="00A67FA4"/>
    <w:rsid w:val="00A67FE8"/>
    <w:rsid w:val="00A7002B"/>
    <w:rsid w:val="00A70122"/>
    <w:rsid w:val="00A70204"/>
    <w:rsid w:val="00A70244"/>
    <w:rsid w:val="00A703DB"/>
    <w:rsid w:val="00A70417"/>
    <w:rsid w:val="00A7049B"/>
    <w:rsid w:val="00A704F1"/>
    <w:rsid w:val="00A70500"/>
    <w:rsid w:val="00A705B6"/>
    <w:rsid w:val="00A705D0"/>
    <w:rsid w:val="00A7061D"/>
    <w:rsid w:val="00A7062E"/>
    <w:rsid w:val="00A70645"/>
    <w:rsid w:val="00A7068F"/>
    <w:rsid w:val="00A706BF"/>
    <w:rsid w:val="00A70758"/>
    <w:rsid w:val="00A707DD"/>
    <w:rsid w:val="00A7086A"/>
    <w:rsid w:val="00A708B7"/>
    <w:rsid w:val="00A708CB"/>
    <w:rsid w:val="00A709EE"/>
    <w:rsid w:val="00A70A70"/>
    <w:rsid w:val="00A70A79"/>
    <w:rsid w:val="00A70BC4"/>
    <w:rsid w:val="00A70C1B"/>
    <w:rsid w:val="00A70C6B"/>
    <w:rsid w:val="00A70C7B"/>
    <w:rsid w:val="00A70E6A"/>
    <w:rsid w:val="00A70F02"/>
    <w:rsid w:val="00A70F20"/>
    <w:rsid w:val="00A70F60"/>
    <w:rsid w:val="00A70FC2"/>
    <w:rsid w:val="00A70FF3"/>
    <w:rsid w:val="00A71054"/>
    <w:rsid w:val="00A71062"/>
    <w:rsid w:val="00A7106F"/>
    <w:rsid w:val="00A7109D"/>
    <w:rsid w:val="00A710A9"/>
    <w:rsid w:val="00A710B9"/>
    <w:rsid w:val="00A71175"/>
    <w:rsid w:val="00A71192"/>
    <w:rsid w:val="00A7120E"/>
    <w:rsid w:val="00A71265"/>
    <w:rsid w:val="00A712AB"/>
    <w:rsid w:val="00A712FA"/>
    <w:rsid w:val="00A7138B"/>
    <w:rsid w:val="00A71438"/>
    <w:rsid w:val="00A715A0"/>
    <w:rsid w:val="00A715E7"/>
    <w:rsid w:val="00A71638"/>
    <w:rsid w:val="00A71659"/>
    <w:rsid w:val="00A71660"/>
    <w:rsid w:val="00A716D6"/>
    <w:rsid w:val="00A71722"/>
    <w:rsid w:val="00A71732"/>
    <w:rsid w:val="00A71772"/>
    <w:rsid w:val="00A717BB"/>
    <w:rsid w:val="00A718C2"/>
    <w:rsid w:val="00A71969"/>
    <w:rsid w:val="00A71A79"/>
    <w:rsid w:val="00A71A9D"/>
    <w:rsid w:val="00A71AFF"/>
    <w:rsid w:val="00A71B16"/>
    <w:rsid w:val="00A71B61"/>
    <w:rsid w:val="00A71B7F"/>
    <w:rsid w:val="00A71C0F"/>
    <w:rsid w:val="00A71D1A"/>
    <w:rsid w:val="00A71D55"/>
    <w:rsid w:val="00A71DF9"/>
    <w:rsid w:val="00A71E44"/>
    <w:rsid w:val="00A71E4E"/>
    <w:rsid w:val="00A71E56"/>
    <w:rsid w:val="00A71E7A"/>
    <w:rsid w:val="00A71EDB"/>
    <w:rsid w:val="00A71F94"/>
    <w:rsid w:val="00A71FA2"/>
    <w:rsid w:val="00A7200F"/>
    <w:rsid w:val="00A7211B"/>
    <w:rsid w:val="00A72143"/>
    <w:rsid w:val="00A72149"/>
    <w:rsid w:val="00A72160"/>
    <w:rsid w:val="00A72184"/>
    <w:rsid w:val="00A721BF"/>
    <w:rsid w:val="00A721E6"/>
    <w:rsid w:val="00A721EF"/>
    <w:rsid w:val="00A7222B"/>
    <w:rsid w:val="00A7225F"/>
    <w:rsid w:val="00A72289"/>
    <w:rsid w:val="00A722A7"/>
    <w:rsid w:val="00A7230E"/>
    <w:rsid w:val="00A724B6"/>
    <w:rsid w:val="00A7256B"/>
    <w:rsid w:val="00A72586"/>
    <w:rsid w:val="00A7258F"/>
    <w:rsid w:val="00A725B4"/>
    <w:rsid w:val="00A72603"/>
    <w:rsid w:val="00A72612"/>
    <w:rsid w:val="00A72627"/>
    <w:rsid w:val="00A72653"/>
    <w:rsid w:val="00A7268D"/>
    <w:rsid w:val="00A72693"/>
    <w:rsid w:val="00A72752"/>
    <w:rsid w:val="00A72772"/>
    <w:rsid w:val="00A72802"/>
    <w:rsid w:val="00A7280F"/>
    <w:rsid w:val="00A7282A"/>
    <w:rsid w:val="00A72870"/>
    <w:rsid w:val="00A728B1"/>
    <w:rsid w:val="00A728F5"/>
    <w:rsid w:val="00A729BF"/>
    <w:rsid w:val="00A72A53"/>
    <w:rsid w:val="00A72A6F"/>
    <w:rsid w:val="00A72AC9"/>
    <w:rsid w:val="00A72B0E"/>
    <w:rsid w:val="00A72BAC"/>
    <w:rsid w:val="00A72BAD"/>
    <w:rsid w:val="00A72CFF"/>
    <w:rsid w:val="00A72D49"/>
    <w:rsid w:val="00A72D6D"/>
    <w:rsid w:val="00A72DB8"/>
    <w:rsid w:val="00A72DD4"/>
    <w:rsid w:val="00A72DE3"/>
    <w:rsid w:val="00A72E8E"/>
    <w:rsid w:val="00A72EAF"/>
    <w:rsid w:val="00A72EBC"/>
    <w:rsid w:val="00A72F13"/>
    <w:rsid w:val="00A72F9E"/>
    <w:rsid w:val="00A7306E"/>
    <w:rsid w:val="00A7309C"/>
    <w:rsid w:val="00A730B0"/>
    <w:rsid w:val="00A730D2"/>
    <w:rsid w:val="00A73177"/>
    <w:rsid w:val="00A73185"/>
    <w:rsid w:val="00A73265"/>
    <w:rsid w:val="00A732BA"/>
    <w:rsid w:val="00A7332E"/>
    <w:rsid w:val="00A7337F"/>
    <w:rsid w:val="00A733F2"/>
    <w:rsid w:val="00A734EF"/>
    <w:rsid w:val="00A7351D"/>
    <w:rsid w:val="00A735D1"/>
    <w:rsid w:val="00A73639"/>
    <w:rsid w:val="00A73691"/>
    <w:rsid w:val="00A736CE"/>
    <w:rsid w:val="00A73727"/>
    <w:rsid w:val="00A7373B"/>
    <w:rsid w:val="00A73767"/>
    <w:rsid w:val="00A73772"/>
    <w:rsid w:val="00A73796"/>
    <w:rsid w:val="00A73811"/>
    <w:rsid w:val="00A73857"/>
    <w:rsid w:val="00A738A1"/>
    <w:rsid w:val="00A738ED"/>
    <w:rsid w:val="00A73918"/>
    <w:rsid w:val="00A7392C"/>
    <w:rsid w:val="00A73A0B"/>
    <w:rsid w:val="00A73AA4"/>
    <w:rsid w:val="00A73AD9"/>
    <w:rsid w:val="00A73B0D"/>
    <w:rsid w:val="00A73B10"/>
    <w:rsid w:val="00A73B16"/>
    <w:rsid w:val="00A73C0A"/>
    <w:rsid w:val="00A73C32"/>
    <w:rsid w:val="00A73C46"/>
    <w:rsid w:val="00A73C7D"/>
    <w:rsid w:val="00A73C97"/>
    <w:rsid w:val="00A73D00"/>
    <w:rsid w:val="00A73DC9"/>
    <w:rsid w:val="00A73DD8"/>
    <w:rsid w:val="00A73E5B"/>
    <w:rsid w:val="00A73EB1"/>
    <w:rsid w:val="00A73F79"/>
    <w:rsid w:val="00A74094"/>
    <w:rsid w:val="00A7416E"/>
    <w:rsid w:val="00A741AA"/>
    <w:rsid w:val="00A74224"/>
    <w:rsid w:val="00A74227"/>
    <w:rsid w:val="00A74248"/>
    <w:rsid w:val="00A74267"/>
    <w:rsid w:val="00A742A8"/>
    <w:rsid w:val="00A742BB"/>
    <w:rsid w:val="00A742C9"/>
    <w:rsid w:val="00A74302"/>
    <w:rsid w:val="00A74333"/>
    <w:rsid w:val="00A743B5"/>
    <w:rsid w:val="00A74448"/>
    <w:rsid w:val="00A7457A"/>
    <w:rsid w:val="00A74625"/>
    <w:rsid w:val="00A7472D"/>
    <w:rsid w:val="00A7476D"/>
    <w:rsid w:val="00A747B7"/>
    <w:rsid w:val="00A747D9"/>
    <w:rsid w:val="00A74833"/>
    <w:rsid w:val="00A7483F"/>
    <w:rsid w:val="00A748CA"/>
    <w:rsid w:val="00A748E9"/>
    <w:rsid w:val="00A7497E"/>
    <w:rsid w:val="00A74997"/>
    <w:rsid w:val="00A74A04"/>
    <w:rsid w:val="00A74B20"/>
    <w:rsid w:val="00A74B52"/>
    <w:rsid w:val="00A74BAB"/>
    <w:rsid w:val="00A74BD8"/>
    <w:rsid w:val="00A74BE8"/>
    <w:rsid w:val="00A74C08"/>
    <w:rsid w:val="00A74C26"/>
    <w:rsid w:val="00A74C65"/>
    <w:rsid w:val="00A74D3C"/>
    <w:rsid w:val="00A74E5A"/>
    <w:rsid w:val="00A74E77"/>
    <w:rsid w:val="00A74ECA"/>
    <w:rsid w:val="00A74F08"/>
    <w:rsid w:val="00A74F79"/>
    <w:rsid w:val="00A74FB0"/>
    <w:rsid w:val="00A7502D"/>
    <w:rsid w:val="00A75080"/>
    <w:rsid w:val="00A7512A"/>
    <w:rsid w:val="00A75159"/>
    <w:rsid w:val="00A751BB"/>
    <w:rsid w:val="00A752FF"/>
    <w:rsid w:val="00A75348"/>
    <w:rsid w:val="00A75367"/>
    <w:rsid w:val="00A75375"/>
    <w:rsid w:val="00A75387"/>
    <w:rsid w:val="00A75402"/>
    <w:rsid w:val="00A7545A"/>
    <w:rsid w:val="00A754E2"/>
    <w:rsid w:val="00A7550C"/>
    <w:rsid w:val="00A75519"/>
    <w:rsid w:val="00A75538"/>
    <w:rsid w:val="00A75564"/>
    <w:rsid w:val="00A75572"/>
    <w:rsid w:val="00A7558F"/>
    <w:rsid w:val="00A75605"/>
    <w:rsid w:val="00A75776"/>
    <w:rsid w:val="00A75798"/>
    <w:rsid w:val="00A7587B"/>
    <w:rsid w:val="00A758D3"/>
    <w:rsid w:val="00A758E6"/>
    <w:rsid w:val="00A7590E"/>
    <w:rsid w:val="00A75937"/>
    <w:rsid w:val="00A75949"/>
    <w:rsid w:val="00A759A3"/>
    <w:rsid w:val="00A759FE"/>
    <w:rsid w:val="00A75A0B"/>
    <w:rsid w:val="00A75A75"/>
    <w:rsid w:val="00A75ADC"/>
    <w:rsid w:val="00A75B18"/>
    <w:rsid w:val="00A75B47"/>
    <w:rsid w:val="00A75B7A"/>
    <w:rsid w:val="00A75BBD"/>
    <w:rsid w:val="00A75BC8"/>
    <w:rsid w:val="00A75C64"/>
    <w:rsid w:val="00A75CBE"/>
    <w:rsid w:val="00A75D0C"/>
    <w:rsid w:val="00A75D23"/>
    <w:rsid w:val="00A75E93"/>
    <w:rsid w:val="00A75F24"/>
    <w:rsid w:val="00A75F7B"/>
    <w:rsid w:val="00A75FDF"/>
    <w:rsid w:val="00A76020"/>
    <w:rsid w:val="00A76045"/>
    <w:rsid w:val="00A760F1"/>
    <w:rsid w:val="00A76123"/>
    <w:rsid w:val="00A76161"/>
    <w:rsid w:val="00A7616B"/>
    <w:rsid w:val="00A762B6"/>
    <w:rsid w:val="00A762D2"/>
    <w:rsid w:val="00A76319"/>
    <w:rsid w:val="00A7633A"/>
    <w:rsid w:val="00A76350"/>
    <w:rsid w:val="00A764FB"/>
    <w:rsid w:val="00A765F3"/>
    <w:rsid w:val="00A7667C"/>
    <w:rsid w:val="00A766F6"/>
    <w:rsid w:val="00A76725"/>
    <w:rsid w:val="00A76791"/>
    <w:rsid w:val="00A767E8"/>
    <w:rsid w:val="00A76877"/>
    <w:rsid w:val="00A768AB"/>
    <w:rsid w:val="00A76B52"/>
    <w:rsid w:val="00A76BE2"/>
    <w:rsid w:val="00A76BE5"/>
    <w:rsid w:val="00A76CDF"/>
    <w:rsid w:val="00A76DDF"/>
    <w:rsid w:val="00A76DE6"/>
    <w:rsid w:val="00A76EF5"/>
    <w:rsid w:val="00A76F30"/>
    <w:rsid w:val="00A76FC3"/>
    <w:rsid w:val="00A770A7"/>
    <w:rsid w:val="00A7710D"/>
    <w:rsid w:val="00A77111"/>
    <w:rsid w:val="00A77204"/>
    <w:rsid w:val="00A7726A"/>
    <w:rsid w:val="00A77289"/>
    <w:rsid w:val="00A772AF"/>
    <w:rsid w:val="00A772CB"/>
    <w:rsid w:val="00A7730F"/>
    <w:rsid w:val="00A77353"/>
    <w:rsid w:val="00A77379"/>
    <w:rsid w:val="00A7746A"/>
    <w:rsid w:val="00A774BC"/>
    <w:rsid w:val="00A774CA"/>
    <w:rsid w:val="00A77554"/>
    <w:rsid w:val="00A7758F"/>
    <w:rsid w:val="00A775E6"/>
    <w:rsid w:val="00A776F5"/>
    <w:rsid w:val="00A776FB"/>
    <w:rsid w:val="00A776FD"/>
    <w:rsid w:val="00A77737"/>
    <w:rsid w:val="00A7774E"/>
    <w:rsid w:val="00A778CA"/>
    <w:rsid w:val="00A77908"/>
    <w:rsid w:val="00A77A49"/>
    <w:rsid w:val="00A77A58"/>
    <w:rsid w:val="00A77A7C"/>
    <w:rsid w:val="00A77C07"/>
    <w:rsid w:val="00A77C0D"/>
    <w:rsid w:val="00A77C70"/>
    <w:rsid w:val="00A77C73"/>
    <w:rsid w:val="00A77CD4"/>
    <w:rsid w:val="00A77D74"/>
    <w:rsid w:val="00A77F01"/>
    <w:rsid w:val="00A77F46"/>
    <w:rsid w:val="00A77FA3"/>
    <w:rsid w:val="00A77FAC"/>
    <w:rsid w:val="00A800B1"/>
    <w:rsid w:val="00A800CA"/>
    <w:rsid w:val="00A80222"/>
    <w:rsid w:val="00A80237"/>
    <w:rsid w:val="00A8031D"/>
    <w:rsid w:val="00A80324"/>
    <w:rsid w:val="00A8039D"/>
    <w:rsid w:val="00A803DE"/>
    <w:rsid w:val="00A80428"/>
    <w:rsid w:val="00A804D2"/>
    <w:rsid w:val="00A80515"/>
    <w:rsid w:val="00A80538"/>
    <w:rsid w:val="00A80543"/>
    <w:rsid w:val="00A805DA"/>
    <w:rsid w:val="00A805E4"/>
    <w:rsid w:val="00A8060A"/>
    <w:rsid w:val="00A806B7"/>
    <w:rsid w:val="00A806E6"/>
    <w:rsid w:val="00A80735"/>
    <w:rsid w:val="00A8075F"/>
    <w:rsid w:val="00A80789"/>
    <w:rsid w:val="00A808FE"/>
    <w:rsid w:val="00A8093B"/>
    <w:rsid w:val="00A80A64"/>
    <w:rsid w:val="00A80CA5"/>
    <w:rsid w:val="00A80CD2"/>
    <w:rsid w:val="00A80DA9"/>
    <w:rsid w:val="00A80DAD"/>
    <w:rsid w:val="00A80DC4"/>
    <w:rsid w:val="00A80E85"/>
    <w:rsid w:val="00A80EC2"/>
    <w:rsid w:val="00A80ED2"/>
    <w:rsid w:val="00A80EE6"/>
    <w:rsid w:val="00A80FC5"/>
    <w:rsid w:val="00A80FD6"/>
    <w:rsid w:val="00A80FFC"/>
    <w:rsid w:val="00A81013"/>
    <w:rsid w:val="00A810D9"/>
    <w:rsid w:val="00A810E7"/>
    <w:rsid w:val="00A8116B"/>
    <w:rsid w:val="00A8117C"/>
    <w:rsid w:val="00A81195"/>
    <w:rsid w:val="00A8127F"/>
    <w:rsid w:val="00A81307"/>
    <w:rsid w:val="00A8136E"/>
    <w:rsid w:val="00A81472"/>
    <w:rsid w:val="00A8149A"/>
    <w:rsid w:val="00A815BE"/>
    <w:rsid w:val="00A815EB"/>
    <w:rsid w:val="00A8161C"/>
    <w:rsid w:val="00A81653"/>
    <w:rsid w:val="00A81683"/>
    <w:rsid w:val="00A816DC"/>
    <w:rsid w:val="00A81739"/>
    <w:rsid w:val="00A817B1"/>
    <w:rsid w:val="00A817FB"/>
    <w:rsid w:val="00A818AB"/>
    <w:rsid w:val="00A818D3"/>
    <w:rsid w:val="00A81980"/>
    <w:rsid w:val="00A81B6E"/>
    <w:rsid w:val="00A81B88"/>
    <w:rsid w:val="00A81C2B"/>
    <w:rsid w:val="00A81CD5"/>
    <w:rsid w:val="00A81D0A"/>
    <w:rsid w:val="00A81D24"/>
    <w:rsid w:val="00A81D60"/>
    <w:rsid w:val="00A81D90"/>
    <w:rsid w:val="00A81EF3"/>
    <w:rsid w:val="00A81FD6"/>
    <w:rsid w:val="00A8216C"/>
    <w:rsid w:val="00A821A6"/>
    <w:rsid w:val="00A821EE"/>
    <w:rsid w:val="00A82272"/>
    <w:rsid w:val="00A822CC"/>
    <w:rsid w:val="00A822E8"/>
    <w:rsid w:val="00A8238F"/>
    <w:rsid w:val="00A823C0"/>
    <w:rsid w:val="00A823DD"/>
    <w:rsid w:val="00A8241E"/>
    <w:rsid w:val="00A82477"/>
    <w:rsid w:val="00A82480"/>
    <w:rsid w:val="00A824F7"/>
    <w:rsid w:val="00A82533"/>
    <w:rsid w:val="00A82577"/>
    <w:rsid w:val="00A825E8"/>
    <w:rsid w:val="00A82629"/>
    <w:rsid w:val="00A826C9"/>
    <w:rsid w:val="00A826E0"/>
    <w:rsid w:val="00A82758"/>
    <w:rsid w:val="00A8279C"/>
    <w:rsid w:val="00A827A9"/>
    <w:rsid w:val="00A827F7"/>
    <w:rsid w:val="00A82851"/>
    <w:rsid w:val="00A82972"/>
    <w:rsid w:val="00A82983"/>
    <w:rsid w:val="00A8299A"/>
    <w:rsid w:val="00A82A0C"/>
    <w:rsid w:val="00A82A9C"/>
    <w:rsid w:val="00A82ACC"/>
    <w:rsid w:val="00A82B49"/>
    <w:rsid w:val="00A82B88"/>
    <w:rsid w:val="00A82BA4"/>
    <w:rsid w:val="00A82BA7"/>
    <w:rsid w:val="00A82BEC"/>
    <w:rsid w:val="00A82C0B"/>
    <w:rsid w:val="00A82C56"/>
    <w:rsid w:val="00A82CA2"/>
    <w:rsid w:val="00A82CD7"/>
    <w:rsid w:val="00A82D3F"/>
    <w:rsid w:val="00A82D76"/>
    <w:rsid w:val="00A82DC0"/>
    <w:rsid w:val="00A82E21"/>
    <w:rsid w:val="00A82E26"/>
    <w:rsid w:val="00A82ECD"/>
    <w:rsid w:val="00A82F23"/>
    <w:rsid w:val="00A82F80"/>
    <w:rsid w:val="00A82F85"/>
    <w:rsid w:val="00A82F9C"/>
    <w:rsid w:val="00A82FBC"/>
    <w:rsid w:val="00A82FCF"/>
    <w:rsid w:val="00A82FD6"/>
    <w:rsid w:val="00A82FD7"/>
    <w:rsid w:val="00A82FE4"/>
    <w:rsid w:val="00A8301D"/>
    <w:rsid w:val="00A83030"/>
    <w:rsid w:val="00A83054"/>
    <w:rsid w:val="00A83067"/>
    <w:rsid w:val="00A830A5"/>
    <w:rsid w:val="00A830F0"/>
    <w:rsid w:val="00A83183"/>
    <w:rsid w:val="00A8319D"/>
    <w:rsid w:val="00A831F5"/>
    <w:rsid w:val="00A83233"/>
    <w:rsid w:val="00A83245"/>
    <w:rsid w:val="00A8347E"/>
    <w:rsid w:val="00A834E2"/>
    <w:rsid w:val="00A83591"/>
    <w:rsid w:val="00A83634"/>
    <w:rsid w:val="00A83640"/>
    <w:rsid w:val="00A83711"/>
    <w:rsid w:val="00A8371E"/>
    <w:rsid w:val="00A8382B"/>
    <w:rsid w:val="00A83836"/>
    <w:rsid w:val="00A83847"/>
    <w:rsid w:val="00A83947"/>
    <w:rsid w:val="00A83AA3"/>
    <w:rsid w:val="00A83B4D"/>
    <w:rsid w:val="00A83BC1"/>
    <w:rsid w:val="00A83BCE"/>
    <w:rsid w:val="00A83CA6"/>
    <w:rsid w:val="00A83CCF"/>
    <w:rsid w:val="00A83CEC"/>
    <w:rsid w:val="00A83D30"/>
    <w:rsid w:val="00A83D4C"/>
    <w:rsid w:val="00A83D72"/>
    <w:rsid w:val="00A83EE8"/>
    <w:rsid w:val="00A83EFD"/>
    <w:rsid w:val="00A83FAB"/>
    <w:rsid w:val="00A8413C"/>
    <w:rsid w:val="00A8413F"/>
    <w:rsid w:val="00A84192"/>
    <w:rsid w:val="00A841F4"/>
    <w:rsid w:val="00A84208"/>
    <w:rsid w:val="00A8441B"/>
    <w:rsid w:val="00A844C3"/>
    <w:rsid w:val="00A844CD"/>
    <w:rsid w:val="00A844D3"/>
    <w:rsid w:val="00A84521"/>
    <w:rsid w:val="00A845A1"/>
    <w:rsid w:val="00A845B9"/>
    <w:rsid w:val="00A845CE"/>
    <w:rsid w:val="00A845D6"/>
    <w:rsid w:val="00A845D9"/>
    <w:rsid w:val="00A84614"/>
    <w:rsid w:val="00A8463C"/>
    <w:rsid w:val="00A8463E"/>
    <w:rsid w:val="00A846EE"/>
    <w:rsid w:val="00A847AB"/>
    <w:rsid w:val="00A8481A"/>
    <w:rsid w:val="00A8485E"/>
    <w:rsid w:val="00A848F4"/>
    <w:rsid w:val="00A8495D"/>
    <w:rsid w:val="00A8498B"/>
    <w:rsid w:val="00A84A54"/>
    <w:rsid w:val="00A84A8A"/>
    <w:rsid w:val="00A84A91"/>
    <w:rsid w:val="00A84AE9"/>
    <w:rsid w:val="00A84C8E"/>
    <w:rsid w:val="00A84E1C"/>
    <w:rsid w:val="00A84F7E"/>
    <w:rsid w:val="00A84F82"/>
    <w:rsid w:val="00A85021"/>
    <w:rsid w:val="00A85037"/>
    <w:rsid w:val="00A85181"/>
    <w:rsid w:val="00A85183"/>
    <w:rsid w:val="00A8532C"/>
    <w:rsid w:val="00A853A7"/>
    <w:rsid w:val="00A853FD"/>
    <w:rsid w:val="00A85556"/>
    <w:rsid w:val="00A855A6"/>
    <w:rsid w:val="00A855B0"/>
    <w:rsid w:val="00A855E6"/>
    <w:rsid w:val="00A8561E"/>
    <w:rsid w:val="00A856B1"/>
    <w:rsid w:val="00A856C4"/>
    <w:rsid w:val="00A856DD"/>
    <w:rsid w:val="00A857A7"/>
    <w:rsid w:val="00A8585E"/>
    <w:rsid w:val="00A858A1"/>
    <w:rsid w:val="00A858A5"/>
    <w:rsid w:val="00A85974"/>
    <w:rsid w:val="00A85A39"/>
    <w:rsid w:val="00A85A70"/>
    <w:rsid w:val="00A85AC0"/>
    <w:rsid w:val="00A85B90"/>
    <w:rsid w:val="00A85B92"/>
    <w:rsid w:val="00A85C2C"/>
    <w:rsid w:val="00A85CA6"/>
    <w:rsid w:val="00A85D84"/>
    <w:rsid w:val="00A85F13"/>
    <w:rsid w:val="00A85FBB"/>
    <w:rsid w:val="00A86023"/>
    <w:rsid w:val="00A86047"/>
    <w:rsid w:val="00A8604C"/>
    <w:rsid w:val="00A86132"/>
    <w:rsid w:val="00A861DE"/>
    <w:rsid w:val="00A86251"/>
    <w:rsid w:val="00A8628F"/>
    <w:rsid w:val="00A862E7"/>
    <w:rsid w:val="00A86309"/>
    <w:rsid w:val="00A86329"/>
    <w:rsid w:val="00A863E2"/>
    <w:rsid w:val="00A8660B"/>
    <w:rsid w:val="00A86673"/>
    <w:rsid w:val="00A866AD"/>
    <w:rsid w:val="00A867D6"/>
    <w:rsid w:val="00A8685B"/>
    <w:rsid w:val="00A86882"/>
    <w:rsid w:val="00A86922"/>
    <w:rsid w:val="00A86A23"/>
    <w:rsid w:val="00A86B85"/>
    <w:rsid w:val="00A86BD3"/>
    <w:rsid w:val="00A86C2E"/>
    <w:rsid w:val="00A86E1C"/>
    <w:rsid w:val="00A86E34"/>
    <w:rsid w:val="00A86FA4"/>
    <w:rsid w:val="00A86FF4"/>
    <w:rsid w:val="00A870E2"/>
    <w:rsid w:val="00A871EC"/>
    <w:rsid w:val="00A87214"/>
    <w:rsid w:val="00A87290"/>
    <w:rsid w:val="00A87292"/>
    <w:rsid w:val="00A872C8"/>
    <w:rsid w:val="00A872CF"/>
    <w:rsid w:val="00A87302"/>
    <w:rsid w:val="00A873A7"/>
    <w:rsid w:val="00A873AD"/>
    <w:rsid w:val="00A87456"/>
    <w:rsid w:val="00A8750F"/>
    <w:rsid w:val="00A8751A"/>
    <w:rsid w:val="00A87527"/>
    <w:rsid w:val="00A87532"/>
    <w:rsid w:val="00A8771A"/>
    <w:rsid w:val="00A87788"/>
    <w:rsid w:val="00A877B6"/>
    <w:rsid w:val="00A87878"/>
    <w:rsid w:val="00A878B6"/>
    <w:rsid w:val="00A87938"/>
    <w:rsid w:val="00A87986"/>
    <w:rsid w:val="00A879C1"/>
    <w:rsid w:val="00A87A2B"/>
    <w:rsid w:val="00A87B79"/>
    <w:rsid w:val="00A87B7F"/>
    <w:rsid w:val="00A87C91"/>
    <w:rsid w:val="00A87CD9"/>
    <w:rsid w:val="00A87CE5"/>
    <w:rsid w:val="00A87DBF"/>
    <w:rsid w:val="00A87DC3"/>
    <w:rsid w:val="00A87E2A"/>
    <w:rsid w:val="00A87EA4"/>
    <w:rsid w:val="00A87F1A"/>
    <w:rsid w:val="00A87F60"/>
    <w:rsid w:val="00A87FD2"/>
    <w:rsid w:val="00A87FF7"/>
    <w:rsid w:val="00A9000B"/>
    <w:rsid w:val="00A900BD"/>
    <w:rsid w:val="00A900CD"/>
    <w:rsid w:val="00A90350"/>
    <w:rsid w:val="00A90405"/>
    <w:rsid w:val="00A9040C"/>
    <w:rsid w:val="00A90415"/>
    <w:rsid w:val="00A9053F"/>
    <w:rsid w:val="00A9056B"/>
    <w:rsid w:val="00A90597"/>
    <w:rsid w:val="00A905D5"/>
    <w:rsid w:val="00A906C0"/>
    <w:rsid w:val="00A906E0"/>
    <w:rsid w:val="00A90735"/>
    <w:rsid w:val="00A907B1"/>
    <w:rsid w:val="00A907D4"/>
    <w:rsid w:val="00A90809"/>
    <w:rsid w:val="00A908C1"/>
    <w:rsid w:val="00A908D8"/>
    <w:rsid w:val="00A908E7"/>
    <w:rsid w:val="00A90946"/>
    <w:rsid w:val="00A90971"/>
    <w:rsid w:val="00A909A9"/>
    <w:rsid w:val="00A909AF"/>
    <w:rsid w:val="00A909DE"/>
    <w:rsid w:val="00A90A4A"/>
    <w:rsid w:val="00A90A54"/>
    <w:rsid w:val="00A90A97"/>
    <w:rsid w:val="00A90AEE"/>
    <w:rsid w:val="00A90B64"/>
    <w:rsid w:val="00A90BD6"/>
    <w:rsid w:val="00A90BDB"/>
    <w:rsid w:val="00A90BF2"/>
    <w:rsid w:val="00A90C15"/>
    <w:rsid w:val="00A90C68"/>
    <w:rsid w:val="00A90C85"/>
    <w:rsid w:val="00A90CE3"/>
    <w:rsid w:val="00A90D36"/>
    <w:rsid w:val="00A90E4F"/>
    <w:rsid w:val="00A9101C"/>
    <w:rsid w:val="00A9105A"/>
    <w:rsid w:val="00A910C6"/>
    <w:rsid w:val="00A910E4"/>
    <w:rsid w:val="00A91101"/>
    <w:rsid w:val="00A91182"/>
    <w:rsid w:val="00A91285"/>
    <w:rsid w:val="00A91348"/>
    <w:rsid w:val="00A9134E"/>
    <w:rsid w:val="00A91365"/>
    <w:rsid w:val="00A91436"/>
    <w:rsid w:val="00A91477"/>
    <w:rsid w:val="00A915F9"/>
    <w:rsid w:val="00A9165A"/>
    <w:rsid w:val="00A9166C"/>
    <w:rsid w:val="00A91715"/>
    <w:rsid w:val="00A9174E"/>
    <w:rsid w:val="00A91794"/>
    <w:rsid w:val="00A91883"/>
    <w:rsid w:val="00A918FE"/>
    <w:rsid w:val="00A91971"/>
    <w:rsid w:val="00A919BB"/>
    <w:rsid w:val="00A91A04"/>
    <w:rsid w:val="00A91B43"/>
    <w:rsid w:val="00A91B98"/>
    <w:rsid w:val="00A91BF3"/>
    <w:rsid w:val="00A91CCE"/>
    <w:rsid w:val="00A91D9F"/>
    <w:rsid w:val="00A91EBD"/>
    <w:rsid w:val="00A91F12"/>
    <w:rsid w:val="00A9204B"/>
    <w:rsid w:val="00A9206D"/>
    <w:rsid w:val="00A920A2"/>
    <w:rsid w:val="00A920CE"/>
    <w:rsid w:val="00A92115"/>
    <w:rsid w:val="00A92133"/>
    <w:rsid w:val="00A92204"/>
    <w:rsid w:val="00A9220D"/>
    <w:rsid w:val="00A9227E"/>
    <w:rsid w:val="00A922A1"/>
    <w:rsid w:val="00A9237A"/>
    <w:rsid w:val="00A92382"/>
    <w:rsid w:val="00A92399"/>
    <w:rsid w:val="00A9239B"/>
    <w:rsid w:val="00A923C0"/>
    <w:rsid w:val="00A92408"/>
    <w:rsid w:val="00A92419"/>
    <w:rsid w:val="00A9242A"/>
    <w:rsid w:val="00A9246E"/>
    <w:rsid w:val="00A924A5"/>
    <w:rsid w:val="00A9251D"/>
    <w:rsid w:val="00A925F6"/>
    <w:rsid w:val="00A9267D"/>
    <w:rsid w:val="00A926A7"/>
    <w:rsid w:val="00A927D8"/>
    <w:rsid w:val="00A9283D"/>
    <w:rsid w:val="00A92880"/>
    <w:rsid w:val="00A928EF"/>
    <w:rsid w:val="00A929BE"/>
    <w:rsid w:val="00A929E4"/>
    <w:rsid w:val="00A92A46"/>
    <w:rsid w:val="00A92A7F"/>
    <w:rsid w:val="00A92AF4"/>
    <w:rsid w:val="00A92BB4"/>
    <w:rsid w:val="00A92BDA"/>
    <w:rsid w:val="00A92BF6"/>
    <w:rsid w:val="00A92CD0"/>
    <w:rsid w:val="00A92D4F"/>
    <w:rsid w:val="00A92D53"/>
    <w:rsid w:val="00A92DBF"/>
    <w:rsid w:val="00A92DC5"/>
    <w:rsid w:val="00A92DD3"/>
    <w:rsid w:val="00A92E0A"/>
    <w:rsid w:val="00A92F29"/>
    <w:rsid w:val="00A92F4B"/>
    <w:rsid w:val="00A92FBF"/>
    <w:rsid w:val="00A92FDA"/>
    <w:rsid w:val="00A92FE4"/>
    <w:rsid w:val="00A930BF"/>
    <w:rsid w:val="00A93147"/>
    <w:rsid w:val="00A931C7"/>
    <w:rsid w:val="00A933EB"/>
    <w:rsid w:val="00A933FF"/>
    <w:rsid w:val="00A934A1"/>
    <w:rsid w:val="00A934E7"/>
    <w:rsid w:val="00A9353F"/>
    <w:rsid w:val="00A9355E"/>
    <w:rsid w:val="00A935E9"/>
    <w:rsid w:val="00A93612"/>
    <w:rsid w:val="00A93693"/>
    <w:rsid w:val="00A93694"/>
    <w:rsid w:val="00A936B7"/>
    <w:rsid w:val="00A936CF"/>
    <w:rsid w:val="00A93743"/>
    <w:rsid w:val="00A9377F"/>
    <w:rsid w:val="00A937F9"/>
    <w:rsid w:val="00A93857"/>
    <w:rsid w:val="00A938DD"/>
    <w:rsid w:val="00A938E2"/>
    <w:rsid w:val="00A9395C"/>
    <w:rsid w:val="00A93A95"/>
    <w:rsid w:val="00A93AEB"/>
    <w:rsid w:val="00A93B19"/>
    <w:rsid w:val="00A93BB5"/>
    <w:rsid w:val="00A93BCB"/>
    <w:rsid w:val="00A93C1B"/>
    <w:rsid w:val="00A93C5F"/>
    <w:rsid w:val="00A93C6D"/>
    <w:rsid w:val="00A93D54"/>
    <w:rsid w:val="00A93D9B"/>
    <w:rsid w:val="00A93E3B"/>
    <w:rsid w:val="00A93EA4"/>
    <w:rsid w:val="00A93EF9"/>
    <w:rsid w:val="00A93F0F"/>
    <w:rsid w:val="00A93F21"/>
    <w:rsid w:val="00A93FBE"/>
    <w:rsid w:val="00A93FC3"/>
    <w:rsid w:val="00A9400D"/>
    <w:rsid w:val="00A940AD"/>
    <w:rsid w:val="00A94113"/>
    <w:rsid w:val="00A941AD"/>
    <w:rsid w:val="00A941D3"/>
    <w:rsid w:val="00A941D6"/>
    <w:rsid w:val="00A942BA"/>
    <w:rsid w:val="00A94307"/>
    <w:rsid w:val="00A94469"/>
    <w:rsid w:val="00A94567"/>
    <w:rsid w:val="00A9456C"/>
    <w:rsid w:val="00A94571"/>
    <w:rsid w:val="00A945F4"/>
    <w:rsid w:val="00A94648"/>
    <w:rsid w:val="00A94679"/>
    <w:rsid w:val="00A94783"/>
    <w:rsid w:val="00A9478B"/>
    <w:rsid w:val="00A948B1"/>
    <w:rsid w:val="00A948EF"/>
    <w:rsid w:val="00A949BA"/>
    <w:rsid w:val="00A949E8"/>
    <w:rsid w:val="00A94A01"/>
    <w:rsid w:val="00A94A5E"/>
    <w:rsid w:val="00A94B16"/>
    <w:rsid w:val="00A94B4D"/>
    <w:rsid w:val="00A94B4E"/>
    <w:rsid w:val="00A94BC3"/>
    <w:rsid w:val="00A94C39"/>
    <w:rsid w:val="00A94D11"/>
    <w:rsid w:val="00A94D4F"/>
    <w:rsid w:val="00A94D82"/>
    <w:rsid w:val="00A94D85"/>
    <w:rsid w:val="00A94EF4"/>
    <w:rsid w:val="00A94EF5"/>
    <w:rsid w:val="00A94F6F"/>
    <w:rsid w:val="00A94F81"/>
    <w:rsid w:val="00A94F99"/>
    <w:rsid w:val="00A94FF5"/>
    <w:rsid w:val="00A9502B"/>
    <w:rsid w:val="00A95034"/>
    <w:rsid w:val="00A9503B"/>
    <w:rsid w:val="00A95205"/>
    <w:rsid w:val="00A95214"/>
    <w:rsid w:val="00A952CD"/>
    <w:rsid w:val="00A953CC"/>
    <w:rsid w:val="00A95546"/>
    <w:rsid w:val="00A95569"/>
    <w:rsid w:val="00A9558E"/>
    <w:rsid w:val="00A9559D"/>
    <w:rsid w:val="00A955BB"/>
    <w:rsid w:val="00A95608"/>
    <w:rsid w:val="00A95629"/>
    <w:rsid w:val="00A9562F"/>
    <w:rsid w:val="00A95645"/>
    <w:rsid w:val="00A9566C"/>
    <w:rsid w:val="00A95683"/>
    <w:rsid w:val="00A956CA"/>
    <w:rsid w:val="00A95734"/>
    <w:rsid w:val="00A95759"/>
    <w:rsid w:val="00A957F6"/>
    <w:rsid w:val="00A958B0"/>
    <w:rsid w:val="00A958D1"/>
    <w:rsid w:val="00A95903"/>
    <w:rsid w:val="00A959A5"/>
    <w:rsid w:val="00A95A83"/>
    <w:rsid w:val="00A95A85"/>
    <w:rsid w:val="00A95AA2"/>
    <w:rsid w:val="00A95AE4"/>
    <w:rsid w:val="00A95B08"/>
    <w:rsid w:val="00A95B82"/>
    <w:rsid w:val="00A95BA7"/>
    <w:rsid w:val="00A95BC2"/>
    <w:rsid w:val="00A95BE3"/>
    <w:rsid w:val="00A95D5E"/>
    <w:rsid w:val="00A95DE3"/>
    <w:rsid w:val="00A95E40"/>
    <w:rsid w:val="00A95ECC"/>
    <w:rsid w:val="00A95F68"/>
    <w:rsid w:val="00A95F9A"/>
    <w:rsid w:val="00A95FB5"/>
    <w:rsid w:val="00A95FF7"/>
    <w:rsid w:val="00A9601B"/>
    <w:rsid w:val="00A96089"/>
    <w:rsid w:val="00A960B4"/>
    <w:rsid w:val="00A9610F"/>
    <w:rsid w:val="00A9617E"/>
    <w:rsid w:val="00A96277"/>
    <w:rsid w:val="00A96288"/>
    <w:rsid w:val="00A962C1"/>
    <w:rsid w:val="00A962EB"/>
    <w:rsid w:val="00A962ED"/>
    <w:rsid w:val="00A9631E"/>
    <w:rsid w:val="00A9632C"/>
    <w:rsid w:val="00A963F7"/>
    <w:rsid w:val="00A9649C"/>
    <w:rsid w:val="00A9658D"/>
    <w:rsid w:val="00A96596"/>
    <w:rsid w:val="00A965B5"/>
    <w:rsid w:val="00A9667B"/>
    <w:rsid w:val="00A966A3"/>
    <w:rsid w:val="00A96710"/>
    <w:rsid w:val="00A96725"/>
    <w:rsid w:val="00A9675B"/>
    <w:rsid w:val="00A9677A"/>
    <w:rsid w:val="00A9678C"/>
    <w:rsid w:val="00A967C3"/>
    <w:rsid w:val="00A967D4"/>
    <w:rsid w:val="00A967E4"/>
    <w:rsid w:val="00A96807"/>
    <w:rsid w:val="00A9682B"/>
    <w:rsid w:val="00A9682F"/>
    <w:rsid w:val="00A96838"/>
    <w:rsid w:val="00A968A6"/>
    <w:rsid w:val="00A968E5"/>
    <w:rsid w:val="00A96976"/>
    <w:rsid w:val="00A96984"/>
    <w:rsid w:val="00A969BD"/>
    <w:rsid w:val="00A969F5"/>
    <w:rsid w:val="00A96B52"/>
    <w:rsid w:val="00A96CC4"/>
    <w:rsid w:val="00A96CF4"/>
    <w:rsid w:val="00A96CFC"/>
    <w:rsid w:val="00A96D63"/>
    <w:rsid w:val="00A96D66"/>
    <w:rsid w:val="00A96DD3"/>
    <w:rsid w:val="00A96E3E"/>
    <w:rsid w:val="00A96E4D"/>
    <w:rsid w:val="00A96E8A"/>
    <w:rsid w:val="00A970FC"/>
    <w:rsid w:val="00A97100"/>
    <w:rsid w:val="00A97206"/>
    <w:rsid w:val="00A9734B"/>
    <w:rsid w:val="00A9741A"/>
    <w:rsid w:val="00A97457"/>
    <w:rsid w:val="00A9749D"/>
    <w:rsid w:val="00A97563"/>
    <w:rsid w:val="00A975AD"/>
    <w:rsid w:val="00A975E9"/>
    <w:rsid w:val="00A975EA"/>
    <w:rsid w:val="00A975FD"/>
    <w:rsid w:val="00A977F2"/>
    <w:rsid w:val="00A9785C"/>
    <w:rsid w:val="00A978BE"/>
    <w:rsid w:val="00A978EA"/>
    <w:rsid w:val="00A979AF"/>
    <w:rsid w:val="00A979BA"/>
    <w:rsid w:val="00A979C0"/>
    <w:rsid w:val="00A979FF"/>
    <w:rsid w:val="00A97A07"/>
    <w:rsid w:val="00A97A66"/>
    <w:rsid w:val="00A97ABB"/>
    <w:rsid w:val="00A97B38"/>
    <w:rsid w:val="00A97B92"/>
    <w:rsid w:val="00A97BE5"/>
    <w:rsid w:val="00A97C19"/>
    <w:rsid w:val="00A97C39"/>
    <w:rsid w:val="00A97C7A"/>
    <w:rsid w:val="00A97CA8"/>
    <w:rsid w:val="00A97CDB"/>
    <w:rsid w:val="00A97D4D"/>
    <w:rsid w:val="00A97D51"/>
    <w:rsid w:val="00A97D69"/>
    <w:rsid w:val="00A97E08"/>
    <w:rsid w:val="00A97E4D"/>
    <w:rsid w:val="00A97F94"/>
    <w:rsid w:val="00A97F9D"/>
    <w:rsid w:val="00AA0001"/>
    <w:rsid w:val="00AA0081"/>
    <w:rsid w:val="00AA00A0"/>
    <w:rsid w:val="00AA00B8"/>
    <w:rsid w:val="00AA00CB"/>
    <w:rsid w:val="00AA0117"/>
    <w:rsid w:val="00AA0125"/>
    <w:rsid w:val="00AA0131"/>
    <w:rsid w:val="00AA021F"/>
    <w:rsid w:val="00AA02C1"/>
    <w:rsid w:val="00AA02CD"/>
    <w:rsid w:val="00AA0335"/>
    <w:rsid w:val="00AA0397"/>
    <w:rsid w:val="00AA04CA"/>
    <w:rsid w:val="00AA04D4"/>
    <w:rsid w:val="00AA0561"/>
    <w:rsid w:val="00AA0615"/>
    <w:rsid w:val="00AA06DA"/>
    <w:rsid w:val="00AA0776"/>
    <w:rsid w:val="00AA0795"/>
    <w:rsid w:val="00AA07B1"/>
    <w:rsid w:val="00AA07BD"/>
    <w:rsid w:val="00AA08C1"/>
    <w:rsid w:val="00AA08F3"/>
    <w:rsid w:val="00AA097C"/>
    <w:rsid w:val="00AA0989"/>
    <w:rsid w:val="00AA099C"/>
    <w:rsid w:val="00AA0A96"/>
    <w:rsid w:val="00AA0B47"/>
    <w:rsid w:val="00AA0D73"/>
    <w:rsid w:val="00AA0D8D"/>
    <w:rsid w:val="00AA0DF5"/>
    <w:rsid w:val="00AA0E34"/>
    <w:rsid w:val="00AA0EA8"/>
    <w:rsid w:val="00AA0F18"/>
    <w:rsid w:val="00AA0FA3"/>
    <w:rsid w:val="00AA1048"/>
    <w:rsid w:val="00AA1118"/>
    <w:rsid w:val="00AA132E"/>
    <w:rsid w:val="00AA135B"/>
    <w:rsid w:val="00AA13D5"/>
    <w:rsid w:val="00AA141E"/>
    <w:rsid w:val="00AA148B"/>
    <w:rsid w:val="00AA14A9"/>
    <w:rsid w:val="00AA14AD"/>
    <w:rsid w:val="00AA1549"/>
    <w:rsid w:val="00AA155F"/>
    <w:rsid w:val="00AA16C2"/>
    <w:rsid w:val="00AA1741"/>
    <w:rsid w:val="00AA1754"/>
    <w:rsid w:val="00AA176C"/>
    <w:rsid w:val="00AA17B0"/>
    <w:rsid w:val="00AA17BF"/>
    <w:rsid w:val="00AA1834"/>
    <w:rsid w:val="00AA184A"/>
    <w:rsid w:val="00AA1853"/>
    <w:rsid w:val="00AA18CE"/>
    <w:rsid w:val="00AA1902"/>
    <w:rsid w:val="00AA1941"/>
    <w:rsid w:val="00AA1963"/>
    <w:rsid w:val="00AA19B9"/>
    <w:rsid w:val="00AA1A0E"/>
    <w:rsid w:val="00AA1B57"/>
    <w:rsid w:val="00AA1B6B"/>
    <w:rsid w:val="00AA1B7B"/>
    <w:rsid w:val="00AA1BF2"/>
    <w:rsid w:val="00AA1CB1"/>
    <w:rsid w:val="00AA1D5F"/>
    <w:rsid w:val="00AA1D8E"/>
    <w:rsid w:val="00AA1DF1"/>
    <w:rsid w:val="00AA1E25"/>
    <w:rsid w:val="00AA1F54"/>
    <w:rsid w:val="00AA1F5A"/>
    <w:rsid w:val="00AA1F7C"/>
    <w:rsid w:val="00AA1FB4"/>
    <w:rsid w:val="00AA1FEF"/>
    <w:rsid w:val="00AA2028"/>
    <w:rsid w:val="00AA20A0"/>
    <w:rsid w:val="00AA20BF"/>
    <w:rsid w:val="00AA213F"/>
    <w:rsid w:val="00AA216C"/>
    <w:rsid w:val="00AA21E4"/>
    <w:rsid w:val="00AA21F3"/>
    <w:rsid w:val="00AA21F8"/>
    <w:rsid w:val="00AA2228"/>
    <w:rsid w:val="00AA2272"/>
    <w:rsid w:val="00AA248D"/>
    <w:rsid w:val="00AA2551"/>
    <w:rsid w:val="00AA25D6"/>
    <w:rsid w:val="00AA26CB"/>
    <w:rsid w:val="00AA276C"/>
    <w:rsid w:val="00AA2796"/>
    <w:rsid w:val="00AA282F"/>
    <w:rsid w:val="00AA289E"/>
    <w:rsid w:val="00AA28AD"/>
    <w:rsid w:val="00AA28D0"/>
    <w:rsid w:val="00AA2943"/>
    <w:rsid w:val="00AA2944"/>
    <w:rsid w:val="00AA2949"/>
    <w:rsid w:val="00AA2A27"/>
    <w:rsid w:val="00AA2A3F"/>
    <w:rsid w:val="00AA2AA1"/>
    <w:rsid w:val="00AA2AFC"/>
    <w:rsid w:val="00AA2B8B"/>
    <w:rsid w:val="00AA2BCF"/>
    <w:rsid w:val="00AA2BE2"/>
    <w:rsid w:val="00AA2BF7"/>
    <w:rsid w:val="00AA2C12"/>
    <w:rsid w:val="00AA2C17"/>
    <w:rsid w:val="00AA2C29"/>
    <w:rsid w:val="00AA2CAE"/>
    <w:rsid w:val="00AA2CB8"/>
    <w:rsid w:val="00AA2D03"/>
    <w:rsid w:val="00AA2D22"/>
    <w:rsid w:val="00AA2D41"/>
    <w:rsid w:val="00AA2D4D"/>
    <w:rsid w:val="00AA2DC3"/>
    <w:rsid w:val="00AA2E2B"/>
    <w:rsid w:val="00AA2E3B"/>
    <w:rsid w:val="00AA2ECC"/>
    <w:rsid w:val="00AA2F57"/>
    <w:rsid w:val="00AA2F9A"/>
    <w:rsid w:val="00AA2FBA"/>
    <w:rsid w:val="00AA2FC5"/>
    <w:rsid w:val="00AA2FD7"/>
    <w:rsid w:val="00AA2FE5"/>
    <w:rsid w:val="00AA3011"/>
    <w:rsid w:val="00AA3055"/>
    <w:rsid w:val="00AA3080"/>
    <w:rsid w:val="00AA3088"/>
    <w:rsid w:val="00AA3092"/>
    <w:rsid w:val="00AA3096"/>
    <w:rsid w:val="00AA3117"/>
    <w:rsid w:val="00AA3240"/>
    <w:rsid w:val="00AA3266"/>
    <w:rsid w:val="00AA32B2"/>
    <w:rsid w:val="00AA32F1"/>
    <w:rsid w:val="00AA330E"/>
    <w:rsid w:val="00AA335B"/>
    <w:rsid w:val="00AA3374"/>
    <w:rsid w:val="00AA3394"/>
    <w:rsid w:val="00AA33DA"/>
    <w:rsid w:val="00AA3400"/>
    <w:rsid w:val="00AA3418"/>
    <w:rsid w:val="00AA34A0"/>
    <w:rsid w:val="00AA34B2"/>
    <w:rsid w:val="00AA34C5"/>
    <w:rsid w:val="00AA3518"/>
    <w:rsid w:val="00AA3598"/>
    <w:rsid w:val="00AA359F"/>
    <w:rsid w:val="00AA3641"/>
    <w:rsid w:val="00AA3659"/>
    <w:rsid w:val="00AA369A"/>
    <w:rsid w:val="00AA371F"/>
    <w:rsid w:val="00AA38DA"/>
    <w:rsid w:val="00AA390D"/>
    <w:rsid w:val="00AA3915"/>
    <w:rsid w:val="00AA39E7"/>
    <w:rsid w:val="00AA3B23"/>
    <w:rsid w:val="00AA3B27"/>
    <w:rsid w:val="00AA3B6C"/>
    <w:rsid w:val="00AA3BAD"/>
    <w:rsid w:val="00AA3C1D"/>
    <w:rsid w:val="00AA3C7C"/>
    <w:rsid w:val="00AA3D4E"/>
    <w:rsid w:val="00AA3D6F"/>
    <w:rsid w:val="00AA3D74"/>
    <w:rsid w:val="00AA3DBE"/>
    <w:rsid w:val="00AA3E17"/>
    <w:rsid w:val="00AA3E38"/>
    <w:rsid w:val="00AA3F72"/>
    <w:rsid w:val="00AA401C"/>
    <w:rsid w:val="00AA4091"/>
    <w:rsid w:val="00AA411E"/>
    <w:rsid w:val="00AA419D"/>
    <w:rsid w:val="00AA41D2"/>
    <w:rsid w:val="00AA421C"/>
    <w:rsid w:val="00AA4246"/>
    <w:rsid w:val="00AA42DB"/>
    <w:rsid w:val="00AA430A"/>
    <w:rsid w:val="00AA4310"/>
    <w:rsid w:val="00AA436E"/>
    <w:rsid w:val="00AA43BF"/>
    <w:rsid w:val="00AA44A1"/>
    <w:rsid w:val="00AA45D5"/>
    <w:rsid w:val="00AA4738"/>
    <w:rsid w:val="00AA477F"/>
    <w:rsid w:val="00AA47B1"/>
    <w:rsid w:val="00AA4813"/>
    <w:rsid w:val="00AA483B"/>
    <w:rsid w:val="00AA486B"/>
    <w:rsid w:val="00AA488C"/>
    <w:rsid w:val="00AA48F6"/>
    <w:rsid w:val="00AA4998"/>
    <w:rsid w:val="00AA49B8"/>
    <w:rsid w:val="00AA49CE"/>
    <w:rsid w:val="00AA49E6"/>
    <w:rsid w:val="00AA49F3"/>
    <w:rsid w:val="00AA4A60"/>
    <w:rsid w:val="00AA4A65"/>
    <w:rsid w:val="00AA4ABA"/>
    <w:rsid w:val="00AA4B0D"/>
    <w:rsid w:val="00AA4B3B"/>
    <w:rsid w:val="00AA4B50"/>
    <w:rsid w:val="00AA4C32"/>
    <w:rsid w:val="00AA4C69"/>
    <w:rsid w:val="00AA4D13"/>
    <w:rsid w:val="00AA4DBD"/>
    <w:rsid w:val="00AA4E5E"/>
    <w:rsid w:val="00AA4EE4"/>
    <w:rsid w:val="00AA4F07"/>
    <w:rsid w:val="00AA4F17"/>
    <w:rsid w:val="00AA502B"/>
    <w:rsid w:val="00AA50EA"/>
    <w:rsid w:val="00AA5112"/>
    <w:rsid w:val="00AA516A"/>
    <w:rsid w:val="00AA519C"/>
    <w:rsid w:val="00AA519F"/>
    <w:rsid w:val="00AA51A2"/>
    <w:rsid w:val="00AA51B5"/>
    <w:rsid w:val="00AA529A"/>
    <w:rsid w:val="00AA533F"/>
    <w:rsid w:val="00AA5341"/>
    <w:rsid w:val="00AA5355"/>
    <w:rsid w:val="00AA542A"/>
    <w:rsid w:val="00AA5456"/>
    <w:rsid w:val="00AA545B"/>
    <w:rsid w:val="00AA549F"/>
    <w:rsid w:val="00AA54F3"/>
    <w:rsid w:val="00AA55A7"/>
    <w:rsid w:val="00AA56E9"/>
    <w:rsid w:val="00AA5780"/>
    <w:rsid w:val="00AA578C"/>
    <w:rsid w:val="00AA57B3"/>
    <w:rsid w:val="00AA586D"/>
    <w:rsid w:val="00AA58AB"/>
    <w:rsid w:val="00AA5906"/>
    <w:rsid w:val="00AA5907"/>
    <w:rsid w:val="00AA59DB"/>
    <w:rsid w:val="00AA5A27"/>
    <w:rsid w:val="00AA5A29"/>
    <w:rsid w:val="00AA5B10"/>
    <w:rsid w:val="00AA5B20"/>
    <w:rsid w:val="00AA5BEF"/>
    <w:rsid w:val="00AA5C1F"/>
    <w:rsid w:val="00AA5C7F"/>
    <w:rsid w:val="00AA5D1F"/>
    <w:rsid w:val="00AA5DD5"/>
    <w:rsid w:val="00AA5DE0"/>
    <w:rsid w:val="00AA5E42"/>
    <w:rsid w:val="00AA5ED3"/>
    <w:rsid w:val="00AA5F06"/>
    <w:rsid w:val="00AA6051"/>
    <w:rsid w:val="00AA6090"/>
    <w:rsid w:val="00AA60BC"/>
    <w:rsid w:val="00AA6117"/>
    <w:rsid w:val="00AA6129"/>
    <w:rsid w:val="00AA61F4"/>
    <w:rsid w:val="00AA6261"/>
    <w:rsid w:val="00AA6415"/>
    <w:rsid w:val="00AA6494"/>
    <w:rsid w:val="00AA649E"/>
    <w:rsid w:val="00AA64D3"/>
    <w:rsid w:val="00AA6573"/>
    <w:rsid w:val="00AA664A"/>
    <w:rsid w:val="00AA669D"/>
    <w:rsid w:val="00AA66F1"/>
    <w:rsid w:val="00AA6701"/>
    <w:rsid w:val="00AA6731"/>
    <w:rsid w:val="00AA6791"/>
    <w:rsid w:val="00AA67A9"/>
    <w:rsid w:val="00AA67D7"/>
    <w:rsid w:val="00AA683E"/>
    <w:rsid w:val="00AA6855"/>
    <w:rsid w:val="00AA6892"/>
    <w:rsid w:val="00AA689C"/>
    <w:rsid w:val="00AA68AC"/>
    <w:rsid w:val="00AA68C0"/>
    <w:rsid w:val="00AA6914"/>
    <w:rsid w:val="00AA696E"/>
    <w:rsid w:val="00AA697D"/>
    <w:rsid w:val="00AA6998"/>
    <w:rsid w:val="00AA6A10"/>
    <w:rsid w:val="00AA6A2C"/>
    <w:rsid w:val="00AA6A78"/>
    <w:rsid w:val="00AA6A92"/>
    <w:rsid w:val="00AA6AC4"/>
    <w:rsid w:val="00AA6BBD"/>
    <w:rsid w:val="00AA6C4F"/>
    <w:rsid w:val="00AA6C71"/>
    <w:rsid w:val="00AA6C73"/>
    <w:rsid w:val="00AA6C8C"/>
    <w:rsid w:val="00AA6CE7"/>
    <w:rsid w:val="00AA6CF2"/>
    <w:rsid w:val="00AA6D1C"/>
    <w:rsid w:val="00AA6D80"/>
    <w:rsid w:val="00AA6D98"/>
    <w:rsid w:val="00AA6DB1"/>
    <w:rsid w:val="00AA6DD9"/>
    <w:rsid w:val="00AA6DE9"/>
    <w:rsid w:val="00AA6E01"/>
    <w:rsid w:val="00AA6EB4"/>
    <w:rsid w:val="00AA6EC6"/>
    <w:rsid w:val="00AA6EF8"/>
    <w:rsid w:val="00AA6F6C"/>
    <w:rsid w:val="00AA6FE9"/>
    <w:rsid w:val="00AA7037"/>
    <w:rsid w:val="00AA706B"/>
    <w:rsid w:val="00AA708A"/>
    <w:rsid w:val="00AA70CF"/>
    <w:rsid w:val="00AA70DD"/>
    <w:rsid w:val="00AA714E"/>
    <w:rsid w:val="00AA715E"/>
    <w:rsid w:val="00AA7194"/>
    <w:rsid w:val="00AA71AC"/>
    <w:rsid w:val="00AA71D5"/>
    <w:rsid w:val="00AA7379"/>
    <w:rsid w:val="00AA7382"/>
    <w:rsid w:val="00AA73AC"/>
    <w:rsid w:val="00AA747A"/>
    <w:rsid w:val="00AA74B2"/>
    <w:rsid w:val="00AA74CB"/>
    <w:rsid w:val="00AA74D4"/>
    <w:rsid w:val="00AA7506"/>
    <w:rsid w:val="00AA752E"/>
    <w:rsid w:val="00AA75CD"/>
    <w:rsid w:val="00AA75DD"/>
    <w:rsid w:val="00AA75E0"/>
    <w:rsid w:val="00AA7673"/>
    <w:rsid w:val="00AA7696"/>
    <w:rsid w:val="00AA7767"/>
    <w:rsid w:val="00AA77C9"/>
    <w:rsid w:val="00AA7843"/>
    <w:rsid w:val="00AA7879"/>
    <w:rsid w:val="00AA7987"/>
    <w:rsid w:val="00AA79A9"/>
    <w:rsid w:val="00AA79FB"/>
    <w:rsid w:val="00AA7B17"/>
    <w:rsid w:val="00AA7B7C"/>
    <w:rsid w:val="00AA7BA7"/>
    <w:rsid w:val="00AA7BE5"/>
    <w:rsid w:val="00AA7C13"/>
    <w:rsid w:val="00AA7CD0"/>
    <w:rsid w:val="00AA7CEF"/>
    <w:rsid w:val="00AA7D4A"/>
    <w:rsid w:val="00AA7ED0"/>
    <w:rsid w:val="00AB0192"/>
    <w:rsid w:val="00AB01E4"/>
    <w:rsid w:val="00AB01FA"/>
    <w:rsid w:val="00AB038E"/>
    <w:rsid w:val="00AB04FB"/>
    <w:rsid w:val="00AB05FD"/>
    <w:rsid w:val="00AB06A7"/>
    <w:rsid w:val="00AB072B"/>
    <w:rsid w:val="00AB0759"/>
    <w:rsid w:val="00AB075B"/>
    <w:rsid w:val="00AB0786"/>
    <w:rsid w:val="00AB0799"/>
    <w:rsid w:val="00AB07CD"/>
    <w:rsid w:val="00AB083B"/>
    <w:rsid w:val="00AB08F8"/>
    <w:rsid w:val="00AB094C"/>
    <w:rsid w:val="00AB09D1"/>
    <w:rsid w:val="00AB0A50"/>
    <w:rsid w:val="00AB0A6C"/>
    <w:rsid w:val="00AB0A87"/>
    <w:rsid w:val="00AB0A94"/>
    <w:rsid w:val="00AB0B1A"/>
    <w:rsid w:val="00AB0B23"/>
    <w:rsid w:val="00AB0C27"/>
    <w:rsid w:val="00AB0CEC"/>
    <w:rsid w:val="00AB0D15"/>
    <w:rsid w:val="00AB0D2D"/>
    <w:rsid w:val="00AB0D64"/>
    <w:rsid w:val="00AB0D9E"/>
    <w:rsid w:val="00AB0DB0"/>
    <w:rsid w:val="00AB0E01"/>
    <w:rsid w:val="00AB0E8E"/>
    <w:rsid w:val="00AB0F00"/>
    <w:rsid w:val="00AB1079"/>
    <w:rsid w:val="00AB10EC"/>
    <w:rsid w:val="00AB114A"/>
    <w:rsid w:val="00AB12C8"/>
    <w:rsid w:val="00AB1372"/>
    <w:rsid w:val="00AB140B"/>
    <w:rsid w:val="00AB14D3"/>
    <w:rsid w:val="00AB1595"/>
    <w:rsid w:val="00AB15A9"/>
    <w:rsid w:val="00AB16A1"/>
    <w:rsid w:val="00AB16B0"/>
    <w:rsid w:val="00AB16CF"/>
    <w:rsid w:val="00AB16D2"/>
    <w:rsid w:val="00AB179E"/>
    <w:rsid w:val="00AB17C9"/>
    <w:rsid w:val="00AB17E4"/>
    <w:rsid w:val="00AB18A8"/>
    <w:rsid w:val="00AB19A7"/>
    <w:rsid w:val="00AB19D5"/>
    <w:rsid w:val="00AB1A43"/>
    <w:rsid w:val="00AB1A5A"/>
    <w:rsid w:val="00AB1AA4"/>
    <w:rsid w:val="00AB1AC6"/>
    <w:rsid w:val="00AB1AFF"/>
    <w:rsid w:val="00AB1B10"/>
    <w:rsid w:val="00AB1B31"/>
    <w:rsid w:val="00AB1B49"/>
    <w:rsid w:val="00AB1B5F"/>
    <w:rsid w:val="00AB1BCE"/>
    <w:rsid w:val="00AB1C0C"/>
    <w:rsid w:val="00AB1C7A"/>
    <w:rsid w:val="00AB1C9C"/>
    <w:rsid w:val="00AB1CC5"/>
    <w:rsid w:val="00AB1D31"/>
    <w:rsid w:val="00AB1DF1"/>
    <w:rsid w:val="00AB1E04"/>
    <w:rsid w:val="00AB1E55"/>
    <w:rsid w:val="00AB1E83"/>
    <w:rsid w:val="00AB1EAC"/>
    <w:rsid w:val="00AB1FDC"/>
    <w:rsid w:val="00AB2012"/>
    <w:rsid w:val="00AB2032"/>
    <w:rsid w:val="00AB204B"/>
    <w:rsid w:val="00AB20E3"/>
    <w:rsid w:val="00AB20FB"/>
    <w:rsid w:val="00AB21D3"/>
    <w:rsid w:val="00AB21F1"/>
    <w:rsid w:val="00AB2304"/>
    <w:rsid w:val="00AB2368"/>
    <w:rsid w:val="00AB238D"/>
    <w:rsid w:val="00AB23DB"/>
    <w:rsid w:val="00AB24FC"/>
    <w:rsid w:val="00AB2508"/>
    <w:rsid w:val="00AB2543"/>
    <w:rsid w:val="00AB256A"/>
    <w:rsid w:val="00AB26ED"/>
    <w:rsid w:val="00AB270B"/>
    <w:rsid w:val="00AB27CD"/>
    <w:rsid w:val="00AB29F6"/>
    <w:rsid w:val="00AB2AB6"/>
    <w:rsid w:val="00AB2B5C"/>
    <w:rsid w:val="00AB2B5E"/>
    <w:rsid w:val="00AB2B91"/>
    <w:rsid w:val="00AB2BCB"/>
    <w:rsid w:val="00AB2C08"/>
    <w:rsid w:val="00AB2C88"/>
    <w:rsid w:val="00AB2D2C"/>
    <w:rsid w:val="00AB2D33"/>
    <w:rsid w:val="00AB2DD0"/>
    <w:rsid w:val="00AB2DEB"/>
    <w:rsid w:val="00AB2E66"/>
    <w:rsid w:val="00AB2E83"/>
    <w:rsid w:val="00AB2F0B"/>
    <w:rsid w:val="00AB2FE1"/>
    <w:rsid w:val="00AB31A3"/>
    <w:rsid w:val="00AB31B2"/>
    <w:rsid w:val="00AB31F1"/>
    <w:rsid w:val="00AB3203"/>
    <w:rsid w:val="00AB330F"/>
    <w:rsid w:val="00AB3313"/>
    <w:rsid w:val="00AB3572"/>
    <w:rsid w:val="00AB35A7"/>
    <w:rsid w:val="00AB3612"/>
    <w:rsid w:val="00AB364A"/>
    <w:rsid w:val="00AB3657"/>
    <w:rsid w:val="00AB369A"/>
    <w:rsid w:val="00AB3735"/>
    <w:rsid w:val="00AB377C"/>
    <w:rsid w:val="00AB37AF"/>
    <w:rsid w:val="00AB3893"/>
    <w:rsid w:val="00AB3928"/>
    <w:rsid w:val="00AB395C"/>
    <w:rsid w:val="00AB396C"/>
    <w:rsid w:val="00AB3990"/>
    <w:rsid w:val="00AB39AF"/>
    <w:rsid w:val="00AB3A5B"/>
    <w:rsid w:val="00AB3B8F"/>
    <w:rsid w:val="00AB3CBA"/>
    <w:rsid w:val="00AB3CF9"/>
    <w:rsid w:val="00AB3E68"/>
    <w:rsid w:val="00AB3E9E"/>
    <w:rsid w:val="00AB3ECA"/>
    <w:rsid w:val="00AB3EEB"/>
    <w:rsid w:val="00AB3F34"/>
    <w:rsid w:val="00AB3F51"/>
    <w:rsid w:val="00AB3FBD"/>
    <w:rsid w:val="00AB40DD"/>
    <w:rsid w:val="00AB4179"/>
    <w:rsid w:val="00AB4209"/>
    <w:rsid w:val="00AB421B"/>
    <w:rsid w:val="00AB4229"/>
    <w:rsid w:val="00AB4237"/>
    <w:rsid w:val="00AB429B"/>
    <w:rsid w:val="00AB4328"/>
    <w:rsid w:val="00AB4447"/>
    <w:rsid w:val="00AB4457"/>
    <w:rsid w:val="00AB4541"/>
    <w:rsid w:val="00AB455E"/>
    <w:rsid w:val="00AB4571"/>
    <w:rsid w:val="00AB45AE"/>
    <w:rsid w:val="00AB4641"/>
    <w:rsid w:val="00AB4682"/>
    <w:rsid w:val="00AB46B1"/>
    <w:rsid w:val="00AB46EE"/>
    <w:rsid w:val="00AB4715"/>
    <w:rsid w:val="00AB4719"/>
    <w:rsid w:val="00AB486A"/>
    <w:rsid w:val="00AB486D"/>
    <w:rsid w:val="00AB48A6"/>
    <w:rsid w:val="00AB48FA"/>
    <w:rsid w:val="00AB48FB"/>
    <w:rsid w:val="00AB494F"/>
    <w:rsid w:val="00AB49A5"/>
    <w:rsid w:val="00AB49D1"/>
    <w:rsid w:val="00AB4A2B"/>
    <w:rsid w:val="00AB4A2E"/>
    <w:rsid w:val="00AB4A31"/>
    <w:rsid w:val="00AB4ACC"/>
    <w:rsid w:val="00AB4B1A"/>
    <w:rsid w:val="00AB4B23"/>
    <w:rsid w:val="00AB4B24"/>
    <w:rsid w:val="00AB4B80"/>
    <w:rsid w:val="00AB4BCB"/>
    <w:rsid w:val="00AB4C11"/>
    <w:rsid w:val="00AB4C1D"/>
    <w:rsid w:val="00AB4C36"/>
    <w:rsid w:val="00AB4D3B"/>
    <w:rsid w:val="00AB4D45"/>
    <w:rsid w:val="00AB4D54"/>
    <w:rsid w:val="00AB4D7C"/>
    <w:rsid w:val="00AB4E33"/>
    <w:rsid w:val="00AB4E3A"/>
    <w:rsid w:val="00AB4E77"/>
    <w:rsid w:val="00AB4E95"/>
    <w:rsid w:val="00AB4F38"/>
    <w:rsid w:val="00AB4F3F"/>
    <w:rsid w:val="00AB4F6B"/>
    <w:rsid w:val="00AB504B"/>
    <w:rsid w:val="00AB50A9"/>
    <w:rsid w:val="00AB50BF"/>
    <w:rsid w:val="00AB51A6"/>
    <w:rsid w:val="00AB5275"/>
    <w:rsid w:val="00AB53A4"/>
    <w:rsid w:val="00AB53E9"/>
    <w:rsid w:val="00AB53FC"/>
    <w:rsid w:val="00AB5417"/>
    <w:rsid w:val="00AB542F"/>
    <w:rsid w:val="00AB544C"/>
    <w:rsid w:val="00AB545D"/>
    <w:rsid w:val="00AB54A1"/>
    <w:rsid w:val="00AB54E9"/>
    <w:rsid w:val="00AB558E"/>
    <w:rsid w:val="00AB55CA"/>
    <w:rsid w:val="00AB55EA"/>
    <w:rsid w:val="00AB5749"/>
    <w:rsid w:val="00AB5761"/>
    <w:rsid w:val="00AB5839"/>
    <w:rsid w:val="00AB5844"/>
    <w:rsid w:val="00AB585F"/>
    <w:rsid w:val="00AB5862"/>
    <w:rsid w:val="00AB5920"/>
    <w:rsid w:val="00AB592A"/>
    <w:rsid w:val="00AB59BF"/>
    <w:rsid w:val="00AB5AD9"/>
    <w:rsid w:val="00AB5ADB"/>
    <w:rsid w:val="00AB5ADD"/>
    <w:rsid w:val="00AB5B34"/>
    <w:rsid w:val="00AB5B95"/>
    <w:rsid w:val="00AB5BC3"/>
    <w:rsid w:val="00AB5BF8"/>
    <w:rsid w:val="00AB5C57"/>
    <w:rsid w:val="00AB5C5F"/>
    <w:rsid w:val="00AB5C8B"/>
    <w:rsid w:val="00AB5CF1"/>
    <w:rsid w:val="00AB5D3F"/>
    <w:rsid w:val="00AB5D91"/>
    <w:rsid w:val="00AB5DA4"/>
    <w:rsid w:val="00AB5DE2"/>
    <w:rsid w:val="00AB5EC0"/>
    <w:rsid w:val="00AB5EED"/>
    <w:rsid w:val="00AB5F39"/>
    <w:rsid w:val="00AB5FB8"/>
    <w:rsid w:val="00AB60F9"/>
    <w:rsid w:val="00AB6110"/>
    <w:rsid w:val="00AB6211"/>
    <w:rsid w:val="00AB621B"/>
    <w:rsid w:val="00AB6220"/>
    <w:rsid w:val="00AB624F"/>
    <w:rsid w:val="00AB626A"/>
    <w:rsid w:val="00AB6291"/>
    <w:rsid w:val="00AB6424"/>
    <w:rsid w:val="00AB6444"/>
    <w:rsid w:val="00AB64F4"/>
    <w:rsid w:val="00AB6584"/>
    <w:rsid w:val="00AB65BD"/>
    <w:rsid w:val="00AB6693"/>
    <w:rsid w:val="00AB66D5"/>
    <w:rsid w:val="00AB66DC"/>
    <w:rsid w:val="00AB6753"/>
    <w:rsid w:val="00AB6790"/>
    <w:rsid w:val="00AB67F7"/>
    <w:rsid w:val="00AB682A"/>
    <w:rsid w:val="00AB682F"/>
    <w:rsid w:val="00AB684A"/>
    <w:rsid w:val="00AB6887"/>
    <w:rsid w:val="00AB68B7"/>
    <w:rsid w:val="00AB6904"/>
    <w:rsid w:val="00AB69A4"/>
    <w:rsid w:val="00AB69FF"/>
    <w:rsid w:val="00AB6B38"/>
    <w:rsid w:val="00AB6B60"/>
    <w:rsid w:val="00AB6BF2"/>
    <w:rsid w:val="00AB6C5F"/>
    <w:rsid w:val="00AB6C91"/>
    <w:rsid w:val="00AB6DB4"/>
    <w:rsid w:val="00AB6DE4"/>
    <w:rsid w:val="00AB6E16"/>
    <w:rsid w:val="00AB6E21"/>
    <w:rsid w:val="00AB6EFB"/>
    <w:rsid w:val="00AB6EFC"/>
    <w:rsid w:val="00AB6F2C"/>
    <w:rsid w:val="00AB6FB5"/>
    <w:rsid w:val="00AB700D"/>
    <w:rsid w:val="00AB710A"/>
    <w:rsid w:val="00AB713F"/>
    <w:rsid w:val="00AB725B"/>
    <w:rsid w:val="00AB7299"/>
    <w:rsid w:val="00AB72F3"/>
    <w:rsid w:val="00AB7313"/>
    <w:rsid w:val="00AB74C4"/>
    <w:rsid w:val="00AB7519"/>
    <w:rsid w:val="00AB7570"/>
    <w:rsid w:val="00AB7620"/>
    <w:rsid w:val="00AB778D"/>
    <w:rsid w:val="00AB77BD"/>
    <w:rsid w:val="00AB78CD"/>
    <w:rsid w:val="00AB79AC"/>
    <w:rsid w:val="00AB79F8"/>
    <w:rsid w:val="00AB7AE1"/>
    <w:rsid w:val="00AB7AE3"/>
    <w:rsid w:val="00AB7B2C"/>
    <w:rsid w:val="00AB7BAB"/>
    <w:rsid w:val="00AB7BFE"/>
    <w:rsid w:val="00AB7D38"/>
    <w:rsid w:val="00AB7D73"/>
    <w:rsid w:val="00AB7DA5"/>
    <w:rsid w:val="00AB7DAB"/>
    <w:rsid w:val="00AB7DB0"/>
    <w:rsid w:val="00AB7E05"/>
    <w:rsid w:val="00AB7F5A"/>
    <w:rsid w:val="00AC0024"/>
    <w:rsid w:val="00AC0067"/>
    <w:rsid w:val="00AC006A"/>
    <w:rsid w:val="00AC0082"/>
    <w:rsid w:val="00AC00CD"/>
    <w:rsid w:val="00AC0104"/>
    <w:rsid w:val="00AC0118"/>
    <w:rsid w:val="00AC0192"/>
    <w:rsid w:val="00AC0195"/>
    <w:rsid w:val="00AC01FF"/>
    <w:rsid w:val="00AC02B2"/>
    <w:rsid w:val="00AC0340"/>
    <w:rsid w:val="00AC0424"/>
    <w:rsid w:val="00AC0452"/>
    <w:rsid w:val="00AC056F"/>
    <w:rsid w:val="00AC05FE"/>
    <w:rsid w:val="00AC0698"/>
    <w:rsid w:val="00AC06DB"/>
    <w:rsid w:val="00AC06EC"/>
    <w:rsid w:val="00AC06F8"/>
    <w:rsid w:val="00AC07A8"/>
    <w:rsid w:val="00AC07C2"/>
    <w:rsid w:val="00AC092A"/>
    <w:rsid w:val="00AC09E8"/>
    <w:rsid w:val="00AC0B24"/>
    <w:rsid w:val="00AC0B9A"/>
    <w:rsid w:val="00AC0C42"/>
    <w:rsid w:val="00AC0CAE"/>
    <w:rsid w:val="00AC0D97"/>
    <w:rsid w:val="00AC0DC3"/>
    <w:rsid w:val="00AC0DF2"/>
    <w:rsid w:val="00AC0E4B"/>
    <w:rsid w:val="00AC0ED4"/>
    <w:rsid w:val="00AC0F86"/>
    <w:rsid w:val="00AC0F94"/>
    <w:rsid w:val="00AC0FB4"/>
    <w:rsid w:val="00AC102E"/>
    <w:rsid w:val="00AC1092"/>
    <w:rsid w:val="00AC10D8"/>
    <w:rsid w:val="00AC114C"/>
    <w:rsid w:val="00AC11B0"/>
    <w:rsid w:val="00AC11B1"/>
    <w:rsid w:val="00AC1291"/>
    <w:rsid w:val="00AC1303"/>
    <w:rsid w:val="00AC130C"/>
    <w:rsid w:val="00AC1313"/>
    <w:rsid w:val="00AC133D"/>
    <w:rsid w:val="00AC1396"/>
    <w:rsid w:val="00AC1442"/>
    <w:rsid w:val="00AC149B"/>
    <w:rsid w:val="00AC14B8"/>
    <w:rsid w:val="00AC151A"/>
    <w:rsid w:val="00AC156A"/>
    <w:rsid w:val="00AC159E"/>
    <w:rsid w:val="00AC15CB"/>
    <w:rsid w:val="00AC15E8"/>
    <w:rsid w:val="00AC15F2"/>
    <w:rsid w:val="00AC164C"/>
    <w:rsid w:val="00AC1718"/>
    <w:rsid w:val="00AC1793"/>
    <w:rsid w:val="00AC1796"/>
    <w:rsid w:val="00AC17FB"/>
    <w:rsid w:val="00AC1840"/>
    <w:rsid w:val="00AC18A0"/>
    <w:rsid w:val="00AC18F0"/>
    <w:rsid w:val="00AC191F"/>
    <w:rsid w:val="00AC194C"/>
    <w:rsid w:val="00AC194D"/>
    <w:rsid w:val="00AC1988"/>
    <w:rsid w:val="00AC19D0"/>
    <w:rsid w:val="00AC19EA"/>
    <w:rsid w:val="00AC1A00"/>
    <w:rsid w:val="00AC1A3E"/>
    <w:rsid w:val="00AC1A51"/>
    <w:rsid w:val="00AC1A99"/>
    <w:rsid w:val="00AC1BC0"/>
    <w:rsid w:val="00AC1BC7"/>
    <w:rsid w:val="00AC1BCD"/>
    <w:rsid w:val="00AC1C9A"/>
    <w:rsid w:val="00AC1CE7"/>
    <w:rsid w:val="00AC1D27"/>
    <w:rsid w:val="00AC1D90"/>
    <w:rsid w:val="00AC1DEA"/>
    <w:rsid w:val="00AC1DF8"/>
    <w:rsid w:val="00AC1E28"/>
    <w:rsid w:val="00AC1F82"/>
    <w:rsid w:val="00AC2008"/>
    <w:rsid w:val="00AC200A"/>
    <w:rsid w:val="00AC2047"/>
    <w:rsid w:val="00AC2254"/>
    <w:rsid w:val="00AC22A1"/>
    <w:rsid w:val="00AC22A8"/>
    <w:rsid w:val="00AC22CB"/>
    <w:rsid w:val="00AC23EC"/>
    <w:rsid w:val="00AC24AB"/>
    <w:rsid w:val="00AC24E4"/>
    <w:rsid w:val="00AC25AC"/>
    <w:rsid w:val="00AC26DF"/>
    <w:rsid w:val="00AC27CF"/>
    <w:rsid w:val="00AC28E0"/>
    <w:rsid w:val="00AC2915"/>
    <w:rsid w:val="00AC295A"/>
    <w:rsid w:val="00AC29D2"/>
    <w:rsid w:val="00AC2A2F"/>
    <w:rsid w:val="00AC2A4D"/>
    <w:rsid w:val="00AC2AA1"/>
    <w:rsid w:val="00AC2B00"/>
    <w:rsid w:val="00AC2B23"/>
    <w:rsid w:val="00AC2B48"/>
    <w:rsid w:val="00AC2BF1"/>
    <w:rsid w:val="00AC2E32"/>
    <w:rsid w:val="00AC2FA0"/>
    <w:rsid w:val="00AC2FA9"/>
    <w:rsid w:val="00AC3016"/>
    <w:rsid w:val="00AC30FF"/>
    <w:rsid w:val="00AC31D6"/>
    <w:rsid w:val="00AC3202"/>
    <w:rsid w:val="00AC335E"/>
    <w:rsid w:val="00AC336C"/>
    <w:rsid w:val="00AC337D"/>
    <w:rsid w:val="00AC3495"/>
    <w:rsid w:val="00AC34A0"/>
    <w:rsid w:val="00AC34DB"/>
    <w:rsid w:val="00AC352D"/>
    <w:rsid w:val="00AC352E"/>
    <w:rsid w:val="00AC36B3"/>
    <w:rsid w:val="00AC3700"/>
    <w:rsid w:val="00AC3722"/>
    <w:rsid w:val="00AC3750"/>
    <w:rsid w:val="00AC3868"/>
    <w:rsid w:val="00AC3971"/>
    <w:rsid w:val="00AC3973"/>
    <w:rsid w:val="00AC399A"/>
    <w:rsid w:val="00AC3A42"/>
    <w:rsid w:val="00AC3BDF"/>
    <w:rsid w:val="00AC3C07"/>
    <w:rsid w:val="00AC3CBE"/>
    <w:rsid w:val="00AC3CE1"/>
    <w:rsid w:val="00AC3D85"/>
    <w:rsid w:val="00AC3E53"/>
    <w:rsid w:val="00AC3EBF"/>
    <w:rsid w:val="00AC3EC3"/>
    <w:rsid w:val="00AC3EFA"/>
    <w:rsid w:val="00AC3EFC"/>
    <w:rsid w:val="00AC3F28"/>
    <w:rsid w:val="00AC4023"/>
    <w:rsid w:val="00AC4075"/>
    <w:rsid w:val="00AC409E"/>
    <w:rsid w:val="00AC40C0"/>
    <w:rsid w:val="00AC4172"/>
    <w:rsid w:val="00AC4199"/>
    <w:rsid w:val="00AC429F"/>
    <w:rsid w:val="00AC4357"/>
    <w:rsid w:val="00AC43E4"/>
    <w:rsid w:val="00AC441D"/>
    <w:rsid w:val="00AC4421"/>
    <w:rsid w:val="00AC4453"/>
    <w:rsid w:val="00AC44DE"/>
    <w:rsid w:val="00AC44FC"/>
    <w:rsid w:val="00AC4530"/>
    <w:rsid w:val="00AC4592"/>
    <w:rsid w:val="00AC459A"/>
    <w:rsid w:val="00AC460E"/>
    <w:rsid w:val="00AC4610"/>
    <w:rsid w:val="00AC46BB"/>
    <w:rsid w:val="00AC46BC"/>
    <w:rsid w:val="00AC4748"/>
    <w:rsid w:val="00AC474A"/>
    <w:rsid w:val="00AC4784"/>
    <w:rsid w:val="00AC478B"/>
    <w:rsid w:val="00AC47C7"/>
    <w:rsid w:val="00AC47D0"/>
    <w:rsid w:val="00AC48AC"/>
    <w:rsid w:val="00AC4900"/>
    <w:rsid w:val="00AC4915"/>
    <w:rsid w:val="00AC4939"/>
    <w:rsid w:val="00AC49AE"/>
    <w:rsid w:val="00AC49D2"/>
    <w:rsid w:val="00AC49EA"/>
    <w:rsid w:val="00AC49FD"/>
    <w:rsid w:val="00AC4A88"/>
    <w:rsid w:val="00AC4AC9"/>
    <w:rsid w:val="00AC4ADE"/>
    <w:rsid w:val="00AC4AF1"/>
    <w:rsid w:val="00AC4B6F"/>
    <w:rsid w:val="00AC4B7E"/>
    <w:rsid w:val="00AC4BAB"/>
    <w:rsid w:val="00AC4C35"/>
    <w:rsid w:val="00AC4C63"/>
    <w:rsid w:val="00AC4C66"/>
    <w:rsid w:val="00AC4CA0"/>
    <w:rsid w:val="00AC4CD0"/>
    <w:rsid w:val="00AC4D50"/>
    <w:rsid w:val="00AC4D51"/>
    <w:rsid w:val="00AC4DC0"/>
    <w:rsid w:val="00AC4E93"/>
    <w:rsid w:val="00AC4EB9"/>
    <w:rsid w:val="00AC4EC1"/>
    <w:rsid w:val="00AC4F16"/>
    <w:rsid w:val="00AC4F1B"/>
    <w:rsid w:val="00AC4FA4"/>
    <w:rsid w:val="00AC4FCA"/>
    <w:rsid w:val="00AC5069"/>
    <w:rsid w:val="00AC50ED"/>
    <w:rsid w:val="00AC510E"/>
    <w:rsid w:val="00AC51A1"/>
    <w:rsid w:val="00AC5262"/>
    <w:rsid w:val="00AC52F4"/>
    <w:rsid w:val="00AC5346"/>
    <w:rsid w:val="00AC534F"/>
    <w:rsid w:val="00AC53F8"/>
    <w:rsid w:val="00AC540A"/>
    <w:rsid w:val="00AC5448"/>
    <w:rsid w:val="00AC547E"/>
    <w:rsid w:val="00AC5528"/>
    <w:rsid w:val="00AC55C7"/>
    <w:rsid w:val="00AC565F"/>
    <w:rsid w:val="00AC569F"/>
    <w:rsid w:val="00AC575A"/>
    <w:rsid w:val="00AC5783"/>
    <w:rsid w:val="00AC5793"/>
    <w:rsid w:val="00AC57AE"/>
    <w:rsid w:val="00AC58C3"/>
    <w:rsid w:val="00AC5982"/>
    <w:rsid w:val="00AC59A1"/>
    <w:rsid w:val="00AC5A4F"/>
    <w:rsid w:val="00AC5A75"/>
    <w:rsid w:val="00AC5A8C"/>
    <w:rsid w:val="00AC5AA2"/>
    <w:rsid w:val="00AC5ABC"/>
    <w:rsid w:val="00AC5B0F"/>
    <w:rsid w:val="00AC5B1B"/>
    <w:rsid w:val="00AC5C3C"/>
    <w:rsid w:val="00AC5D11"/>
    <w:rsid w:val="00AC5D50"/>
    <w:rsid w:val="00AC5DAD"/>
    <w:rsid w:val="00AC5E5D"/>
    <w:rsid w:val="00AC5EA2"/>
    <w:rsid w:val="00AC5EC8"/>
    <w:rsid w:val="00AC5FF9"/>
    <w:rsid w:val="00AC60A7"/>
    <w:rsid w:val="00AC6179"/>
    <w:rsid w:val="00AC620C"/>
    <w:rsid w:val="00AC639C"/>
    <w:rsid w:val="00AC6428"/>
    <w:rsid w:val="00AC642A"/>
    <w:rsid w:val="00AC6430"/>
    <w:rsid w:val="00AC6484"/>
    <w:rsid w:val="00AC650E"/>
    <w:rsid w:val="00AC6531"/>
    <w:rsid w:val="00AC6533"/>
    <w:rsid w:val="00AC657A"/>
    <w:rsid w:val="00AC6580"/>
    <w:rsid w:val="00AC65A7"/>
    <w:rsid w:val="00AC65BF"/>
    <w:rsid w:val="00AC6723"/>
    <w:rsid w:val="00AC672A"/>
    <w:rsid w:val="00AC675E"/>
    <w:rsid w:val="00AC6787"/>
    <w:rsid w:val="00AC67E3"/>
    <w:rsid w:val="00AC685E"/>
    <w:rsid w:val="00AC68B0"/>
    <w:rsid w:val="00AC68F6"/>
    <w:rsid w:val="00AC6929"/>
    <w:rsid w:val="00AC6979"/>
    <w:rsid w:val="00AC6A77"/>
    <w:rsid w:val="00AC6B74"/>
    <w:rsid w:val="00AC6B7F"/>
    <w:rsid w:val="00AC6BA2"/>
    <w:rsid w:val="00AC6C15"/>
    <w:rsid w:val="00AC6C34"/>
    <w:rsid w:val="00AC6CC9"/>
    <w:rsid w:val="00AC6D34"/>
    <w:rsid w:val="00AC6D4A"/>
    <w:rsid w:val="00AC6DF2"/>
    <w:rsid w:val="00AC6E5E"/>
    <w:rsid w:val="00AC6F2B"/>
    <w:rsid w:val="00AC6F43"/>
    <w:rsid w:val="00AC701A"/>
    <w:rsid w:val="00AC7032"/>
    <w:rsid w:val="00AC7128"/>
    <w:rsid w:val="00AC7144"/>
    <w:rsid w:val="00AC71C4"/>
    <w:rsid w:val="00AC71D9"/>
    <w:rsid w:val="00AC71EF"/>
    <w:rsid w:val="00AC72A2"/>
    <w:rsid w:val="00AC72ED"/>
    <w:rsid w:val="00AC73C3"/>
    <w:rsid w:val="00AC744F"/>
    <w:rsid w:val="00AC7473"/>
    <w:rsid w:val="00AC74E2"/>
    <w:rsid w:val="00AC7581"/>
    <w:rsid w:val="00AC75B3"/>
    <w:rsid w:val="00AC763B"/>
    <w:rsid w:val="00AC7647"/>
    <w:rsid w:val="00AC7663"/>
    <w:rsid w:val="00AC77A0"/>
    <w:rsid w:val="00AC7868"/>
    <w:rsid w:val="00AC78F8"/>
    <w:rsid w:val="00AC7906"/>
    <w:rsid w:val="00AC7945"/>
    <w:rsid w:val="00AC79C5"/>
    <w:rsid w:val="00AC79FB"/>
    <w:rsid w:val="00AC7B9B"/>
    <w:rsid w:val="00AC7BED"/>
    <w:rsid w:val="00AC7BF7"/>
    <w:rsid w:val="00AC7C2D"/>
    <w:rsid w:val="00AC7C2E"/>
    <w:rsid w:val="00AC7C50"/>
    <w:rsid w:val="00AC7C73"/>
    <w:rsid w:val="00AC7D1B"/>
    <w:rsid w:val="00AC7DD4"/>
    <w:rsid w:val="00AC7DE3"/>
    <w:rsid w:val="00AC7EAB"/>
    <w:rsid w:val="00AC7ED7"/>
    <w:rsid w:val="00AC7FAC"/>
    <w:rsid w:val="00AD00F7"/>
    <w:rsid w:val="00AD00FC"/>
    <w:rsid w:val="00AD0125"/>
    <w:rsid w:val="00AD01E4"/>
    <w:rsid w:val="00AD0273"/>
    <w:rsid w:val="00AD02BE"/>
    <w:rsid w:val="00AD0364"/>
    <w:rsid w:val="00AD04A7"/>
    <w:rsid w:val="00AD04B4"/>
    <w:rsid w:val="00AD04CA"/>
    <w:rsid w:val="00AD04E0"/>
    <w:rsid w:val="00AD052D"/>
    <w:rsid w:val="00AD0579"/>
    <w:rsid w:val="00AD0591"/>
    <w:rsid w:val="00AD0598"/>
    <w:rsid w:val="00AD05C5"/>
    <w:rsid w:val="00AD0653"/>
    <w:rsid w:val="00AD0670"/>
    <w:rsid w:val="00AD0749"/>
    <w:rsid w:val="00AD07E0"/>
    <w:rsid w:val="00AD085A"/>
    <w:rsid w:val="00AD0894"/>
    <w:rsid w:val="00AD091D"/>
    <w:rsid w:val="00AD0977"/>
    <w:rsid w:val="00AD0A1E"/>
    <w:rsid w:val="00AD0A20"/>
    <w:rsid w:val="00AD0A52"/>
    <w:rsid w:val="00AD0A5E"/>
    <w:rsid w:val="00AD0A91"/>
    <w:rsid w:val="00AD0BCD"/>
    <w:rsid w:val="00AD0C04"/>
    <w:rsid w:val="00AD0C1A"/>
    <w:rsid w:val="00AD0CCE"/>
    <w:rsid w:val="00AD0D8C"/>
    <w:rsid w:val="00AD0E13"/>
    <w:rsid w:val="00AD0F2A"/>
    <w:rsid w:val="00AD0F5B"/>
    <w:rsid w:val="00AD10E1"/>
    <w:rsid w:val="00AD10F0"/>
    <w:rsid w:val="00AD1103"/>
    <w:rsid w:val="00AD1168"/>
    <w:rsid w:val="00AD1170"/>
    <w:rsid w:val="00AD118D"/>
    <w:rsid w:val="00AD121E"/>
    <w:rsid w:val="00AD1242"/>
    <w:rsid w:val="00AD1288"/>
    <w:rsid w:val="00AD135D"/>
    <w:rsid w:val="00AD1433"/>
    <w:rsid w:val="00AD146C"/>
    <w:rsid w:val="00AD148B"/>
    <w:rsid w:val="00AD148E"/>
    <w:rsid w:val="00AD149E"/>
    <w:rsid w:val="00AD158F"/>
    <w:rsid w:val="00AD1612"/>
    <w:rsid w:val="00AD1694"/>
    <w:rsid w:val="00AD16C3"/>
    <w:rsid w:val="00AD16DC"/>
    <w:rsid w:val="00AD16F4"/>
    <w:rsid w:val="00AD17CB"/>
    <w:rsid w:val="00AD17DF"/>
    <w:rsid w:val="00AD17F1"/>
    <w:rsid w:val="00AD1876"/>
    <w:rsid w:val="00AD18D9"/>
    <w:rsid w:val="00AD1BCD"/>
    <w:rsid w:val="00AD1BFD"/>
    <w:rsid w:val="00AD1C40"/>
    <w:rsid w:val="00AD1C5B"/>
    <w:rsid w:val="00AD1D57"/>
    <w:rsid w:val="00AD1D76"/>
    <w:rsid w:val="00AD1DE3"/>
    <w:rsid w:val="00AD1E32"/>
    <w:rsid w:val="00AD1E65"/>
    <w:rsid w:val="00AD1EB3"/>
    <w:rsid w:val="00AD1EC7"/>
    <w:rsid w:val="00AD1EDC"/>
    <w:rsid w:val="00AD1F52"/>
    <w:rsid w:val="00AD203C"/>
    <w:rsid w:val="00AD2092"/>
    <w:rsid w:val="00AD20D8"/>
    <w:rsid w:val="00AD216E"/>
    <w:rsid w:val="00AD218A"/>
    <w:rsid w:val="00AD21CB"/>
    <w:rsid w:val="00AD21CE"/>
    <w:rsid w:val="00AD21CF"/>
    <w:rsid w:val="00AD2219"/>
    <w:rsid w:val="00AD225C"/>
    <w:rsid w:val="00AD22D1"/>
    <w:rsid w:val="00AD23D1"/>
    <w:rsid w:val="00AD23DA"/>
    <w:rsid w:val="00AD23E8"/>
    <w:rsid w:val="00AD23EA"/>
    <w:rsid w:val="00AD2462"/>
    <w:rsid w:val="00AD2480"/>
    <w:rsid w:val="00AD25A1"/>
    <w:rsid w:val="00AD2642"/>
    <w:rsid w:val="00AD26B7"/>
    <w:rsid w:val="00AD26C6"/>
    <w:rsid w:val="00AD27BB"/>
    <w:rsid w:val="00AD27D8"/>
    <w:rsid w:val="00AD2809"/>
    <w:rsid w:val="00AD29D7"/>
    <w:rsid w:val="00AD29D8"/>
    <w:rsid w:val="00AD2A1C"/>
    <w:rsid w:val="00AD2B72"/>
    <w:rsid w:val="00AD2B8F"/>
    <w:rsid w:val="00AD2C0C"/>
    <w:rsid w:val="00AD2CA2"/>
    <w:rsid w:val="00AD2CE1"/>
    <w:rsid w:val="00AD2CEE"/>
    <w:rsid w:val="00AD2D1F"/>
    <w:rsid w:val="00AD2D3D"/>
    <w:rsid w:val="00AD2ED4"/>
    <w:rsid w:val="00AD2EDD"/>
    <w:rsid w:val="00AD2F3B"/>
    <w:rsid w:val="00AD2F77"/>
    <w:rsid w:val="00AD3036"/>
    <w:rsid w:val="00AD303D"/>
    <w:rsid w:val="00AD3056"/>
    <w:rsid w:val="00AD3066"/>
    <w:rsid w:val="00AD315E"/>
    <w:rsid w:val="00AD31A5"/>
    <w:rsid w:val="00AD31E9"/>
    <w:rsid w:val="00AD31F0"/>
    <w:rsid w:val="00AD326E"/>
    <w:rsid w:val="00AD326F"/>
    <w:rsid w:val="00AD3283"/>
    <w:rsid w:val="00AD3287"/>
    <w:rsid w:val="00AD32AE"/>
    <w:rsid w:val="00AD33C1"/>
    <w:rsid w:val="00AD33D6"/>
    <w:rsid w:val="00AD356B"/>
    <w:rsid w:val="00AD35C4"/>
    <w:rsid w:val="00AD35E7"/>
    <w:rsid w:val="00AD3701"/>
    <w:rsid w:val="00AD3786"/>
    <w:rsid w:val="00AD3787"/>
    <w:rsid w:val="00AD37BD"/>
    <w:rsid w:val="00AD3823"/>
    <w:rsid w:val="00AD38AA"/>
    <w:rsid w:val="00AD38AD"/>
    <w:rsid w:val="00AD391F"/>
    <w:rsid w:val="00AD3983"/>
    <w:rsid w:val="00AD39D2"/>
    <w:rsid w:val="00AD39EE"/>
    <w:rsid w:val="00AD3A19"/>
    <w:rsid w:val="00AD3AB2"/>
    <w:rsid w:val="00AD3AD1"/>
    <w:rsid w:val="00AD3B0A"/>
    <w:rsid w:val="00AD3B39"/>
    <w:rsid w:val="00AD3B4E"/>
    <w:rsid w:val="00AD3BC4"/>
    <w:rsid w:val="00AD3C95"/>
    <w:rsid w:val="00AD3CA3"/>
    <w:rsid w:val="00AD3CB3"/>
    <w:rsid w:val="00AD3CC4"/>
    <w:rsid w:val="00AD3D15"/>
    <w:rsid w:val="00AD3D43"/>
    <w:rsid w:val="00AD3D81"/>
    <w:rsid w:val="00AD3DCF"/>
    <w:rsid w:val="00AD3DD4"/>
    <w:rsid w:val="00AD3E0D"/>
    <w:rsid w:val="00AD3E47"/>
    <w:rsid w:val="00AD3F85"/>
    <w:rsid w:val="00AD4000"/>
    <w:rsid w:val="00AD407F"/>
    <w:rsid w:val="00AD40BA"/>
    <w:rsid w:val="00AD40C2"/>
    <w:rsid w:val="00AD417F"/>
    <w:rsid w:val="00AD41B5"/>
    <w:rsid w:val="00AD41C4"/>
    <w:rsid w:val="00AD41E1"/>
    <w:rsid w:val="00AD4227"/>
    <w:rsid w:val="00AD4243"/>
    <w:rsid w:val="00AD435F"/>
    <w:rsid w:val="00AD4388"/>
    <w:rsid w:val="00AD43B5"/>
    <w:rsid w:val="00AD4575"/>
    <w:rsid w:val="00AD45D9"/>
    <w:rsid w:val="00AD46AA"/>
    <w:rsid w:val="00AD46FB"/>
    <w:rsid w:val="00AD474A"/>
    <w:rsid w:val="00AD47F8"/>
    <w:rsid w:val="00AD4821"/>
    <w:rsid w:val="00AD486C"/>
    <w:rsid w:val="00AD48CC"/>
    <w:rsid w:val="00AD48E5"/>
    <w:rsid w:val="00AD4906"/>
    <w:rsid w:val="00AD49C7"/>
    <w:rsid w:val="00AD4A66"/>
    <w:rsid w:val="00AD4A67"/>
    <w:rsid w:val="00AD4AE8"/>
    <w:rsid w:val="00AD4BFB"/>
    <w:rsid w:val="00AD4BFD"/>
    <w:rsid w:val="00AD4E36"/>
    <w:rsid w:val="00AD4EE6"/>
    <w:rsid w:val="00AD507C"/>
    <w:rsid w:val="00AD50E4"/>
    <w:rsid w:val="00AD5161"/>
    <w:rsid w:val="00AD5168"/>
    <w:rsid w:val="00AD51F1"/>
    <w:rsid w:val="00AD5246"/>
    <w:rsid w:val="00AD5304"/>
    <w:rsid w:val="00AD5315"/>
    <w:rsid w:val="00AD53D0"/>
    <w:rsid w:val="00AD55F8"/>
    <w:rsid w:val="00AD5602"/>
    <w:rsid w:val="00AD565F"/>
    <w:rsid w:val="00AD56BF"/>
    <w:rsid w:val="00AD5740"/>
    <w:rsid w:val="00AD5757"/>
    <w:rsid w:val="00AD576C"/>
    <w:rsid w:val="00AD5848"/>
    <w:rsid w:val="00AD5885"/>
    <w:rsid w:val="00AD589D"/>
    <w:rsid w:val="00AD58F5"/>
    <w:rsid w:val="00AD5954"/>
    <w:rsid w:val="00AD59A1"/>
    <w:rsid w:val="00AD5AA9"/>
    <w:rsid w:val="00AD5AC5"/>
    <w:rsid w:val="00AD5ADC"/>
    <w:rsid w:val="00AD5AE4"/>
    <w:rsid w:val="00AD5B71"/>
    <w:rsid w:val="00AD5B89"/>
    <w:rsid w:val="00AD5B8D"/>
    <w:rsid w:val="00AD5C74"/>
    <w:rsid w:val="00AD5D57"/>
    <w:rsid w:val="00AD5DEB"/>
    <w:rsid w:val="00AD5EF1"/>
    <w:rsid w:val="00AD5F25"/>
    <w:rsid w:val="00AD5F70"/>
    <w:rsid w:val="00AD5F83"/>
    <w:rsid w:val="00AD5FD7"/>
    <w:rsid w:val="00AD600B"/>
    <w:rsid w:val="00AD6025"/>
    <w:rsid w:val="00AD6092"/>
    <w:rsid w:val="00AD60A5"/>
    <w:rsid w:val="00AD60BC"/>
    <w:rsid w:val="00AD60D8"/>
    <w:rsid w:val="00AD6110"/>
    <w:rsid w:val="00AD611A"/>
    <w:rsid w:val="00AD6144"/>
    <w:rsid w:val="00AD61C4"/>
    <w:rsid w:val="00AD61C5"/>
    <w:rsid w:val="00AD61DE"/>
    <w:rsid w:val="00AD6350"/>
    <w:rsid w:val="00AD635E"/>
    <w:rsid w:val="00AD636F"/>
    <w:rsid w:val="00AD639B"/>
    <w:rsid w:val="00AD63D9"/>
    <w:rsid w:val="00AD64D8"/>
    <w:rsid w:val="00AD64FA"/>
    <w:rsid w:val="00AD657B"/>
    <w:rsid w:val="00AD65E2"/>
    <w:rsid w:val="00AD6601"/>
    <w:rsid w:val="00AD663D"/>
    <w:rsid w:val="00AD669F"/>
    <w:rsid w:val="00AD67D1"/>
    <w:rsid w:val="00AD685B"/>
    <w:rsid w:val="00AD6874"/>
    <w:rsid w:val="00AD6898"/>
    <w:rsid w:val="00AD68C2"/>
    <w:rsid w:val="00AD6A61"/>
    <w:rsid w:val="00AD6A85"/>
    <w:rsid w:val="00AD6B2B"/>
    <w:rsid w:val="00AD6B3E"/>
    <w:rsid w:val="00AD6B3F"/>
    <w:rsid w:val="00AD6BB4"/>
    <w:rsid w:val="00AD6C88"/>
    <w:rsid w:val="00AD6D16"/>
    <w:rsid w:val="00AD6DBA"/>
    <w:rsid w:val="00AD6E55"/>
    <w:rsid w:val="00AD6E8B"/>
    <w:rsid w:val="00AD6EDF"/>
    <w:rsid w:val="00AD6EF2"/>
    <w:rsid w:val="00AD6F24"/>
    <w:rsid w:val="00AD70EE"/>
    <w:rsid w:val="00AD7111"/>
    <w:rsid w:val="00AD7125"/>
    <w:rsid w:val="00AD7141"/>
    <w:rsid w:val="00AD7193"/>
    <w:rsid w:val="00AD71B8"/>
    <w:rsid w:val="00AD71CF"/>
    <w:rsid w:val="00AD728E"/>
    <w:rsid w:val="00AD72F7"/>
    <w:rsid w:val="00AD7348"/>
    <w:rsid w:val="00AD7423"/>
    <w:rsid w:val="00AD748F"/>
    <w:rsid w:val="00AD74E4"/>
    <w:rsid w:val="00AD758E"/>
    <w:rsid w:val="00AD7611"/>
    <w:rsid w:val="00AD7631"/>
    <w:rsid w:val="00AD76EE"/>
    <w:rsid w:val="00AD7711"/>
    <w:rsid w:val="00AD7717"/>
    <w:rsid w:val="00AD77F7"/>
    <w:rsid w:val="00AD790C"/>
    <w:rsid w:val="00AD791D"/>
    <w:rsid w:val="00AD7956"/>
    <w:rsid w:val="00AD79BF"/>
    <w:rsid w:val="00AD7AF5"/>
    <w:rsid w:val="00AD7B64"/>
    <w:rsid w:val="00AD7B7F"/>
    <w:rsid w:val="00AD7B9D"/>
    <w:rsid w:val="00AD7C93"/>
    <w:rsid w:val="00AD7D4C"/>
    <w:rsid w:val="00AD7DE6"/>
    <w:rsid w:val="00AD7EE0"/>
    <w:rsid w:val="00AD7F16"/>
    <w:rsid w:val="00AD7F7B"/>
    <w:rsid w:val="00AD7FA1"/>
    <w:rsid w:val="00AD7FA3"/>
    <w:rsid w:val="00AD7FB0"/>
    <w:rsid w:val="00AD7FE9"/>
    <w:rsid w:val="00AE005A"/>
    <w:rsid w:val="00AE005B"/>
    <w:rsid w:val="00AE00AB"/>
    <w:rsid w:val="00AE00F3"/>
    <w:rsid w:val="00AE01DF"/>
    <w:rsid w:val="00AE01F3"/>
    <w:rsid w:val="00AE0236"/>
    <w:rsid w:val="00AE0332"/>
    <w:rsid w:val="00AE0337"/>
    <w:rsid w:val="00AE0349"/>
    <w:rsid w:val="00AE060D"/>
    <w:rsid w:val="00AE0688"/>
    <w:rsid w:val="00AE06DD"/>
    <w:rsid w:val="00AE0726"/>
    <w:rsid w:val="00AE0750"/>
    <w:rsid w:val="00AE07DB"/>
    <w:rsid w:val="00AE0807"/>
    <w:rsid w:val="00AE08A7"/>
    <w:rsid w:val="00AE08C4"/>
    <w:rsid w:val="00AE095F"/>
    <w:rsid w:val="00AE0975"/>
    <w:rsid w:val="00AE0A56"/>
    <w:rsid w:val="00AE0A9A"/>
    <w:rsid w:val="00AE0AD1"/>
    <w:rsid w:val="00AE0B57"/>
    <w:rsid w:val="00AE0C16"/>
    <w:rsid w:val="00AE0C1A"/>
    <w:rsid w:val="00AE0C5B"/>
    <w:rsid w:val="00AE0C60"/>
    <w:rsid w:val="00AE0C6C"/>
    <w:rsid w:val="00AE0C73"/>
    <w:rsid w:val="00AE0C97"/>
    <w:rsid w:val="00AE0D2C"/>
    <w:rsid w:val="00AE0D49"/>
    <w:rsid w:val="00AE0E4C"/>
    <w:rsid w:val="00AE0E50"/>
    <w:rsid w:val="00AE0F73"/>
    <w:rsid w:val="00AE0FA8"/>
    <w:rsid w:val="00AE0FB4"/>
    <w:rsid w:val="00AE0FBF"/>
    <w:rsid w:val="00AE0FDF"/>
    <w:rsid w:val="00AE1057"/>
    <w:rsid w:val="00AE106C"/>
    <w:rsid w:val="00AE1080"/>
    <w:rsid w:val="00AE10CB"/>
    <w:rsid w:val="00AE11B6"/>
    <w:rsid w:val="00AE1230"/>
    <w:rsid w:val="00AE12B8"/>
    <w:rsid w:val="00AE12BD"/>
    <w:rsid w:val="00AE13A7"/>
    <w:rsid w:val="00AE13F2"/>
    <w:rsid w:val="00AE14D2"/>
    <w:rsid w:val="00AE150B"/>
    <w:rsid w:val="00AE151B"/>
    <w:rsid w:val="00AE153D"/>
    <w:rsid w:val="00AE1548"/>
    <w:rsid w:val="00AE1561"/>
    <w:rsid w:val="00AE1630"/>
    <w:rsid w:val="00AE16D1"/>
    <w:rsid w:val="00AE180A"/>
    <w:rsid w:val="00AE1872"/>
    <w:rsid w:val="00AE1882"/>
    <w:rsid w:val="00AE1961"/>
    <w:rsid w:val="00AE197F"/>
    <w:rsid w:val="00AE1A08"/>
    <w:rsid w:val="00AE1A85"/>
    <w:rsid w:val="00AE1B24"/>
    <w:rsid w:val="00AE1B52"/>
    <w:rsid w:val="00AE1C9D"/>
    <w:rsid w:val="00AE1CF8"/>
    <w:rsid w:val="00AE1D70"/>
    <w:rsid w:val="00AE1DD5"/>
    <w:rsid w:val="00AE1DDB"/>
    <w:rsid w:val="00AE1DE6"/>
    <w:rsid w:val="00AE1E3E"/>
    <w:rsid w:val="00AE1E51"/>
    <w:rsid w:val="00AE1E62"/>
    <w:rsid w:val="00AE1EC0"/>
    <w:rsid w:val="00AE1F33"/>
    <w:rsid w:val="00AE1F57"/>
    <w:rsid w:val="00AE1FAE"/>
    <w:rsid w:val="00AE1FF2"/>
    <w:rsid w:val="00AE201A"/>
    <w:rsid w:val="00AE2027"/>
    <w:rsid w:val="00AE2073"/>
    <w:rsid w:val="00AE2113"/>
    <w:rsid w:val="00AE212E"/>
    <w:rsid w:val="00AE21AB"/>
    <w:rsid w:val="00AE226D"/>
    <w:rsid w:val="00AE236A"/>
    <w:rsid w:val="00AE2375"/>
    <w:rsid w:val="00AE249E"/>
    <w:rsid w:val="00AE24D2"/>
    <w:rsid w:val="00AE2526"/>
    <w:rsid w:val="00AE260F"/>
    <w:rsid w:val="00AE2646"/>
    <w:rsid w:val="00AE265C"/>
    <w:rsid w:val="00AE268E"/>
    <w:rsid w:val="00AE26AA"/>
    <w:rsid w:val="00AE275B"/>
    <w:rsid w:val="00AE287E"/>
    <w:rsid w:val="00AE288C"/>
    <w:rsid w:val="00AE2948"/>
    <w:rsid w:val="00AE2976"/>
    <w:rsid w:val="00AE29D9"/>
    <w:rsid w:val="00AE2A36"/>
    <w:rsid w:val="00AE2A45"/>
    <w:rsid w:val="00AE2A69"/>
    <w:rsid w:val="00AE2CEF"/>
    <w:rsid w:val="00AE2D04"/>
    <w:rsid w:val="00AE2D3C"/>
    <w:rsid w:val="00AE2DBD"/>
    <w:rsid w:val="00AE2E8D"/>
    <w:rsid w:val="00AE2F01"/>
    <w:rsid w:val="00AE2F92"/>
    <w:rsid w:val="00AE2FCF"/>
    <w:rsid w:val="00AE3024"/>
    <w:rsid w:val="00AE3092"/>
    <w:rsid w:val="00AE30FD"/>
    <w:rsid w:val="00AE3110"/>
    <w:rsid w:val="00AE322E"/>
    <w:rsid w:val="00AE32EC"/>
    <w:rsid w:val="00AE3351"/>
    <w:rsid w:val="00AE3391"/>
    <w:rsid w:val="00AE33E9"/>
    <w:rsid w:val="00AE3508"/>
    <w:rsid w:val="00AE351E"/>
    <w:rsid w:val="00AE3586"/>
    <w:rsid w:val="00AE378E"/>
    <w:rsid w:val="00AE37A1"/>
    <w:rsid w:val="00AE37BF"/>
    <w:rsid w:val="00AE37FC"/>
    <w:rsid w:val="00AE388E"/>
    <w:rsid w:val="00AE396B"/>
    <w:rsid w:val="00AE3A6C"/>
    <w:rsid w:val="00AE3C29"/>
    <w:rsid w:val="00AE3CB0"/>
    <w:rsid w:val="00AE3CDD"/>
    <w:rsid w:val="00AE3D45"/>
    <w:rsid w:val="00AE3D53"/>
    <w:rsid w:val="00AE3D8E"/>
    <w:rsid w:val="00AE3D9E"/>
    <w:rsid w:val="00AE3E65"/>
    <w:rsid w:val="00AE3E9D"/>
    <w:rsid w:val="00AE3EA1"/>
    <w:rsid w:val="00AE3EFF"/>
    <w:rsid w:val="00AE3FB5"/>
    <w:rsid w:val="00AE40FF"/>
    <w:rsid w:val="00AE4103"/>
    <w:rsid w:val="00AE4147"/>
    <w:rsid w:val="00AE4162"/>
    <w:rsid w:val="00AE416E"/>
    <w:rsid w:val="00AE41A9"/>
    <w:rsid w:val="00AE41BF"/>
    <w:rsid w:val="00AE41EE"/>
    <w:rsid w:val="00AE4204"/>
    <w:rsid w:val="00AE4243"/>
    <w:rsid w:val="00AE42A8"/>
    <w:rsid w:val="00AE42B5"/>
    <w:rsid w:val="00AE42E2"/>
    <w:rsid w:val="00AE42F2"/>
    <w:rsid w:val="00AE4314"/>
    <w:rsid w:val="00AE4335"/>
    <w:rsid w:val="00AE444A"/>
    <w:rsid w:val="00AE448C"/>
    <w:rsid w:val="00AE44AB"/>
    <w:rsid w:val="00AE4521"/>
    <w:rsid w:val="00AE4540"/>
    <w:rsid w:val="00AE456C"/>
    <w:rsid w:val="00AE45D6"/>
    <w:rsid w:val="00AE4605"/>
    <w:rsid w:val="00AE4609"/>
    <w:rsid w:val="00AE4673"/>
    <w:rsid w:val="00AE4685"/>
    <w:rsid w:val="00AE46B6"/>
    <w:rsid w:val="00AE46D6"/>
    <w:rsid w:val="00AE4783"/>
    <w:rsid w:val="00AE47E5"/>
    <w:rsid w:val="00AE4826"/>
    <w:rsid w:val="00AE48AD"/>
    <w:rsid w:val="00AE4923"/>
    <w:rsid w:val="00AE4948"/>
    <w:rsid w:val="00AE49C7"/>
    <w:rsid w:val="00AE4A12"/>
    <w:rsid w:val="00AE4A2F"/>
    <w:rsid w:val="00AE4A31"/>
    <w:rsid w:val="00AE4A34"/>
    <w:rsid w:val="00AE4AB5"/>
    <w:rsid w:val="00AE4AB6"/>
    <w:rsid w:val="00AE4ACB"/>
    <w:rsid w:val="00AE4ACF"/>
    <w:rsid w:val="00AE4AEF"/>
    <w:rsid w:val="00AE4D32"/>
    <w:rsid w:val="00AE4D34"/>
    <w:rsid w:val="00AE4D78"/>
    <w:rsid w:val="00AE4DC1"/>
    <w:rsid w:val="00AE4E89"/>
    <w:rsid w:val="00AE4EA5"/>
    <w:rsid w:val="00AE4ECB"/>
    <w:rsid w:val="00AE4F05"/>
    <w:rsid w:val="00AE50D9"/>
    <w:rsid w:val="00AE50F1"/>
    <w:rsid w:val="00AE51D1"/>
    <w:rsid w:val="00AE51EC"/>
    <w:rsid w:val="00AE51F9"/>
    <w:rsid w:val="00AE5202"/>
    <w:rsid w:val="00AE5273"/>
    <w:rsid w:val="00AE5280"/>
    <w:rsid w:val="00AE5298"/>
    <w:rsid w:val="00AE537F"/>
    <w:rsid w:val="00AE53BA"/>
    <w:rsid w:val="00AE53C3"/>
    <w:rsid w:val="00AE5629"/>
    <w:rsid w:val="00AE56C5"/>
    <w:rsid w:val="00AE56D1"/>
    <w:rsid w:val="00AE5742"/>
    <w:rsid w:val="00AE57BE"/>
    <w:rsid w:val="00AE57C6"/>
    <w:rsid w:val="00AE5844"/>
    <w:rsid w:val="00AE584F"/>
    <w:rsid w:val="00AE58B5"/>
    <w:rsid w:val="00AE5911"/>
    <w:rsid w:val="00AE595A"/>
    <w:rsid w:val="00AE59DC"/>
    <w:rsid w:val="00AE5A1C"/>
    <w:rsid w:val="00AE5AF0"/>
    <w:rsid w:val="00AE5C04"/>
    <w:rsid w:val="00AE5CDD"/>
    <w:rsid w:val="00AE5D3B"/>
    <w:rsid w:val="00AE5D72"/>
    <w:rsid w:val="00AE5DF8"/>
    <w:rsid w:val="00AE5E10"/>
    <w:rsid w:val="00AE5E19"/>
    <w:rsid w:val="00AE5E51"/>
    <w:rsid w:val="00AE5EB4"/>
    <w:rsid w:val="00AE6030"/>
    <w:rsid w:val="00AE6047"/>
    <w:rsid w:val="00AE6084"/>
    <w:rsid w:val="00AE613F"/>
    <w:rsid w:val="00AE614D"/>
    <w:rsid w:val="00AE619E"/>
    <w:rsid w:val="00AE61CA"/>
    <w:rsid w:val="00AE61CB"/>
    <w:rsid w:val="00AE6210"/>
    <w:rsid w:val="00AE6243"/>
    <w:rsid w:val="00AE6257"/>
    <w:rsid w:val="00AE627E"/>
    <w:rsid w:val="00AE62F5"/>
    <w:rsid w:val="00AE6365"/>
    <w:rsid w:val="00AE6388"/>
    <w:rsid w:val="00AE6392"/>
    <w:rsid w:val="00AE63CE"/>
    <w:rsid w:val="00AE63D7"/>
    <w:rsid w:val="00AE6486"/>
    <w:rsid w:val="00AE64EE"/>
    <w:rsid w:val="00AE65A2"/>
    <w:rsid w:val="00AE6631"/>
    <w:rsid w:val="00AE664A"/>
    <w:rsid w:val="00AE66A9"/>
    <w:rsid w:val="00AE66FF"/>
    <w:rsid w:val="00AE687B"/>
    <w:rsid w:val="00AE68BB"/>
    <w:rsid w:val="00AE691F"/>
    <w:rsid w:val="00AE6A55"/>
    <w:rsid w:val="00AE6AC9"/>
    <w:rsid w:val="00AE6B25"/>
    <w:rsid w:val="00AE6B70"/>
    <w:rsid w:val="00AE6BBF"/>
    <w:rsid w:val="00AE6BD0"/>
    <w:rsid w:val="00AE6D27"/>
    <w:rsid w:val="00AE6D2D"/>
    <w:rsid w:val="00AE6D32"/>
    <w:rsid w:val="00AE6D67"/>
    <w:rsid w:val="00AE6D8E"/>
    <w:rsid w:val="00AE6DA3"/>
    <w:rsid w:val="00AE6DBF"/>
    <w:rsid w:val="00AE6E19"/>
    <w:rsid w:val="00AE6E34"/>
    <w:rsid w:val="00AE6E85"/>
    <w:rsid w:val="00AE6EAD"/>
    <w:rsid w:val="00AE6ECF"/>
    <w:rsid w:val="00AE6F39"/>
    <w:rsid w:val="00AE7084"/>
    <w:rsid w:val="00AE7091"/>
    <w:rsid w:val="00AE7095"/>
    <w:rsid w:val="00AE70DD"/>
    <w:rsid w:val="00AE70EF"/>
    <w:rsid w:val="00AE7161"/>
    <w:rsid w:val="00AE716C"/>
    <w:rsid w:val="00AE71EB"/>
    <w:rsid w:val="00AE7205"/>
    <w:rsid w:val="00AE737F"/>
    <w:rsid w:val="00AE7410"/>
    <w:rsid w:val="00AE74EE"/>
    <w:rsid w:val="00AE7518"/>
    <w:rsid w:val="00AE75B9"/>
    <w:rsid w:val="00AE75CC"/>
    <w:rsid w:val="00AE75FA"/>
    <w:rsid w:val="00AE766F"/>
    <w:rsid w:val="00AE778D"/>
    <w:rsid w:val="00AE785E"/>
    <w:rsid w:val="00AE7899"/>
    <w:rsid w:val="00AE78A8"/>
    <w:rsid w:val="00AE79FC"/>
    <w:rsid w:val="00AE7A40"/>
    <w:rsid w:val="00AE7ACB"/>
    <w:rsid w:val="00AE7B2B"/>
    <w:rsid w:val="00AE7BF2"/>
    <w:rsid w:val="00AE7C23"/>
    <w:rsid w:val="00AE7C7B"/>
    <w:rsid w:val="00AE7CA5"/>
    <w:rsid w:val="00AE7DB5"/>
    <w:rsid w:val="00AE7DC7"/>
    <w:rsid w:val="00AE7DF4"/>
    <w:rsid w:val="00AE7E11"/>
    <w:rsid w:val="00AE7E31"/>
    <w:rsid w:val="00AE7E83"/>
    <w:rsid w:val="00AE7F7D"/>
    <w:rsid w:val="00AE7F9E"/>
    <w:rsid w:val="00AE7FCE"/>
    <w:rsid w:val="00AE7FD7"/>
    <w:rsid w:val="00AF001E"/>
    <w:rsid w:val="00AF0029"/>
    <w:rsid w:val="00AF00F4"/>
    <w:rsid w:val="00AF0137"/>
    <w:rsid w:val="00AF013E"/>
    <w:rsid w:val="00AF017C"/>
    <w:rsid w:val="00AF01AB"/>
    <w:rsid w:val="00AF01D5"/>
    <w:rsid w:val="00AF01F1"/>
    <w:rsid w:val="00AF0205"/>
    <w:rsid w:val="00AF02DB"/>
    <w:rsid w:val="00AF02F5"/>
    <w:rsid w:val="00AF031D"/>
    <w:rsid w:val="00AF042A"/>
    <w:rsid w:val="00AF04DE"/>
    <w:rsid w:val="00AF04E7"/>
    <w:rsid w:val="00AF058F"/>
    <w:rsid w:val="00AF0597"/>
    <w:rsid w:val="00AF05AB"/>
    <w:rsid w:val="00AF05C2"/>
    <w:rsid w:val="00AF06DE"/>
    <w:rsid w:val="00AF0733"/>
    <w:rsid w:val="00AF0767"/>
    <w:rsid w:val="00AF07BF"/>
    <w:rsid w:val="00AF07DC"/>
    <w:rsid w:val="00AF07FC"/>
    <w:rsid w:val="00AF0809"/>
    <w:rsid w:val="00AF0A5E"/>
    <w:rsid w:val="00AF0AF6"/>
    <w:rsid w:val="00AF0B01"/>
    <w:rsid w:val="00AF0B31"/>
    <w:rsid w:val="00AF0B3A"/>
    <w:rsid w:val="00AF0B3E"/>
    <w:rsid w:val="00AF0B53"/>
    <w:rsid w:val="00AF0BB7"/>
    <w:rsid w:val="00AF0C56"/>
    <w:rsid w:val="00AF0CC2"/>
    <w:rsid w:val="00AF0D1E"/>
    <w:rsid w:val="00AF0D54"/>
    <w:rsid w:val="00AF0D8F"/>
    <w:rsid w:val="00AF0E5E"/>
    <w:rsid w:val="00AF0E87"/>
    <w:rsid w:val="00AF0EA8"/>
    <w:rsid w:val="00AF0F95"/>
    <w:rsid w:val="00AF1040"/>
    <w:rsid w:val="00AF107F"/>
    <w:rsid w:val="00AF10A6"/>
    <w:rsid w:val="00AF10E4"/>
    <w:rsid w:val="00AF10F0"/>
    <w:rsid w:val="00AF11D9"/>
    <w:rsid w:val="00AF11FA"/>
    <w:rsid w:val="00AF120E"/>
    <w:rsid w:val="00AF12AC"/>
    <w:rsid w:val="00AF12C1"/>
    <w:rsid w:val="00AF12F0"/>
    <w:rsid w:val="00AF1368"/>
    <w:rsid w:val="00AF144C"/>
    <w:rsid w:val="00AF14A5"/>
    <w:rsid w:val="00AF1567"/>
    <w:rsid w:val="00AF165F"/>
    <w:rsid w:val="00AF1703"/>
    <w:rsid w:val="00AF1754"/>
    <w:rsid w:val="00AF183C"/>
    <w:rsid w:val="00AF194B"/>
    <w:rsid w:val="00AF1A2A"/>
    <w:rsid w:val="00AF1A37"/>
    <w:rsid w:val="00AF1A82"/>
    <w:rsid w:val="00AF1A9B"/>
    <w:rsid w:val="00AF1B4B"/>
    <w:rsid w:val="00AF1B6B"/>
    <w:rsid w:val="00AF1B8E"/>
    <w:rsid w:val="00AF1BE5"/>
    <w:rsid w:val="00AF1BE7"/>
    <w:rsid w:val="00AF1D39"/>
    <w:rsid w:val="00AF1D5A"/>
    <w:rsid w:val="00AF1D8F"/>
    <w:rsid w:val="00AF1D9C"/>
    <w:rsid w:val="00AF1DA8"/>
    <w:rsid w:val="00AF1E0B"/>
    <w:rsid w:val="00AF1E79"/>
    <w:rsid w:val="00AF1ED0"/>
    <w:rsid w:val="00AF1F7B"/>
    <w:rsid w:val="00AF2076"/>
    <w:rsid w:val="00AF219F"/>
    <w:rsid w:val="00AF2237"/>
    <w:rsid w:val="00AF232B"/>
    <w:rsid w:val="00AF2376"/>
    <w:rsid w:val="00AF24CF"/>
    <w:rsid w:val="00AF24F3"/>
    <w:rsid w:val="00AF2677"/>
    <w:rsid w:val="00AF269B"/>
    <w:rsid w:val="00AF26EE"/>
    <w:rsid w:val="00AF2778"/>
    <w:rsid w:val="00AF293B"/>
    <w:rsid w:val="00AF293F"/>
    <w:rsid w:val="00AF2942"/>
    <w:rsid w:val="00AF2956"/>
    <w:rsid w:val="00AF298B"/>
    <w:rsid w:val="00AF2AB1"/>
    <w:rsid w:val="00AF2AD2"/>
    <w:rsid w:val="00AF2ADD"/>
    <w:rsid w:val="00AF2B22"/>
    <w:rsid w:val="00AF2B3D"/>
    <w:rsid w:val="00AF2B79"/>
    <w:rsid w:val="00AF2B8F"/>
    <w:rsid w:val="00AF2C08"/>
    <w:rsid w:val="00AF2C16"/>
    <w:rsid w:val="00AF2C4B"/>
    <w:rsid w:val="00AF2C8C"/>
    <w:rsid w:val="00AF2DBE"/>
    <w:rsid w:val="00AF2DE2"/>
    <w:rsid w:val="00AF2E16"/>
    <w:rsid w:val="00AF2E48"/>
    <w:rsid w:val="00AF2E60"/>
    <w:rsid w:val="00AF2EAA"/>
    <w:rsid w:val="00AF2FC0"/>
    <w:rsid w:val="00AF3078"/>
    <w:rsid w:val="00AF30C7"/>
    <w:rsid w:val="00AF3147"/>
    <w:rsid w:val="00AF3153"/>
    <w:rsid w:val="00AF3186"/>
    <w:rsid w:val="00AF3190"/>
    <w:rsid w:val="00AF31A4"/>
    <w:rsid w:val="00AF31F4"/>
    <w:rsid w:val="00AF3300"/>
    <w:rsid w:val="00AF3305"/>
    <w:rsid w:val="00AF33D0"/>
    <w:rsid w:val="00AF33E8"/>
    <w:rsid w:val="00AF3436"/>
    <w:rsid w:val="00AF3513"/>
    <w:rsid w:val="00AF3531"/>
    <w:rsid w:val="00AF3536"/>
    <w:rsid w:val="00AF3744"/>
    <w:rsid w:val="00AF3788"/>
    <w:rsid w:val="00AF3886"/>
    <w:rsid w:val="00AF390E"/>
    <w:rsid w:val="00AF3992"/>
    <w:rsid w:val="00AF39EB"/>
    <w:rsid w:val="00AF3A2E"/>
    <w:rsid w:val="00AF3A53"/>
    <w:rsid w:val="00AF3A76"/>
    <w:rsid w:val="00AF3A9A"/>
    <w:rsid w:val="00AF3AAA"/>
    <w:rsid w:val="00AF3AB5"/>
    <w:rsid w:val="00AF3AC0"/>
    <w:rsid w:val="00AF3ADF"/>
    <w:rsid w:val="00AF3AE1"/>
    <w:rsid w:val="00AF3B66"/>
    <w:rsid w:val="00AF3B91"/>
    <w:rsid w:val="00AF3B95"/>
    <w:rsid w:val="00AF3BEF"/>
    <w:rsid w:val="00AF3C60"/>
    <w:rsid w:val="00AF3D02"/>
    <w:rsid w:val="00AF3DF5"/>
    <w:rsid w:val="00AF3E0A"/>
    <w:rsid w:val="00AF3E9C"/>
    <w:rsid w:val="00AF3FF9"/>
    <w:rsid w:val="00AF4002"/>
    <w:rsid w:val="00AF4042"/>
    <w:rsid w:val="00AF405A"/>
    <w:rsid w:val="00AF418D"/>
    <w:rsid w:val="00AF41A3"/>
    <w:rsid w:val="00AF41DD"/>
    <w:rsid w:val="00AF4230"/>
    <w:rsid w:val="00AF42D3"/>
    <w:rsid w:val="00AF42DC"/>
    <w:rsid w:val="00AF42F5"/>
    <w:rsid w:val="00AF43CA"/>
    <w:rsid w:val="00AF43EC"/>
    <w:rsid w:val="00AF44DF"/>
    <w:rsid w:val="00AF454C"/>
    <w:rsid w:val="00AF4577"/>
    <w:rsid w:val="00AF4586"/>
    <w:rsid w:val="00AF4613"/>
    <w:rsid w:val="00AF46D9"/>
    <w:rsid w:val="00AF4721"/>
    <w:rsid w:val="00AF479A"/>
    <w:rsid w:val="00AF47D4"/>
    <w:rsid w:val="00AF4911"/>
    <w:rsid w:val="00AF4917"/>
    <w:rsid w:val="00AF4961"/>
    <w:rsid w:val="00AF4984"/>
    <w:rsid w:val="00AF49AA"/>
    <w:rsid w:val="00AF49DC"/>
    <w:rsid w:val="00AF49EA"/>
    <w:rsid w:val="00AF4A93"/>
    <w:rsid w:val="00AF4A95"/>
    <w:rsid w:val="00AF4ADD"/>
    <w:rsid w:val="00AF4B15"/>
    <w:rsid w:val="00AF4B6D"/>
    <w:rsid w:val="00AF4C10"/>
    <w:rsid w:val="00AF4C54"/>
    <w:rsid w:val="00AF4C57"/>
    <w:rsid w:val="00AF4C59"/>
    <w:rsid w:val="00AF4C6D"/>
    <w:rsid w:val="00AF4C77"/>
    <w:rsid w:val="00AF4CB4"/>
    <w:rsid w:val="00AF4D19"/>
    <w:rsid w:val="00AF4D63"/>
    <w:rsid w:val="00AF4D9D"/>
    <w:rsid w:val="00AF4DE2"/>
    <w:rsid w:val="00AF4E8D"/>
    <w:rsid w:val="00AF4EB6"/>
    <w:rsid w:val="00AF4EE0"/>
    <w:rsid w:val="00AF4F6B"/>
    <w:rsid w:val="00AF4F83"/>
    <w:rsid w:val="00AF4F8C"/>
    <w:rsid w:val="00AF4FE3"/>
    <w:rsid w:val="00AF5206"/>
    <w:rsid w:val="00AF521F"/>
    <w:rsid w:val="00AF5222"/>
    <w:rsid w:val="00AF5250"/>
    <w:rsid w:val="00AF52D5"/>
    <w:rsid w:val="00AF52E9"/>
    <w:rsid w:val="00AF5473"/>
    <w:rsid w:val="00AF5566"/>
    <w:rsid w:val="00AF55FC"/>
    <w:rsid w:val="00AF563A"/>
    <w:rsid w:val="00AF563E"/>
    <w:rsid w:val="00AF56A9"/>
    <w:rsid w:val="00AF56C6"/>
    <w:rsid w:val="00AF57D3"/>
    <w:rsid w:val="00AF57E8"/>
    <w:rsid w:val="00AF581B"/>
    <w:rsid w:val="00AF5841"/>
    <w:rsid w:val="00AF5A03"/>
    <w:rsid w:val="00AF5B25"/>
    <w:rsid w:val="00AF5C3D"/>
    <w:rsid w:val="00AF5C45"/>
    <w:rsid w:val="00AF5C67"/>
    <w:rsid w:val="00AF5C99"/>
    <w:rsid w:val="00AF5CB1"/>
    <w:rsid w:val="00AF5CCA"/>
    <w:rsid w:val="00AF5CD3"/>
    <w:rsid w:val="00AF5D13"/>
    <w:rsid w:val="00AF5D8C"/>
    <w:rsid w:val="00AF5DB2"/>
    <w:rsid w:val="00AF5E37"/>
    <w:rsid w:val="00AF5E6C"/>
    <w:rsid w:val="00AF5EDE"/>
    <w:rsid w:val="00AF5F43"/>
    <w:rsid w:val="00AF5F62"/>
    <w:rsid w:val="00AF5F7D"/>
    <w:rsid w:val="00AF5F97"/>
    <w:rsid w:val="00AF5FAD"/>
    <w:rsid w:val="00AF6008"/>
    <w:rsid w:val="00AF603B"/>
    <w:rsid w:val="00AF608D"/>
    <w:rsid w:val="00AF60C6"/>
    <w:rsid w:val="00AF61AD"/>
    <w:rsid w:val="00AF61D2"/>
    <w:rsid w:val="00AF61DC"/>
    <w:rsid w:val="00AF634F"/>
    <w:rsid w:val="00AF63D6"/>
    <w:rsid w:val="00AF63F5"/>
    <w:rsid w:val="00AF653A"/>
    <w:rsid w:val="00AF65A5"/>
    <w:rsid w:val="00AF65BB"/>
    <w:rsid w:val="00AF670D"/>
    <w:rsid w:val="00AF6788"/>
    <w:rsid w:val="00AF67AB"/>
    <w:rsid w:val="00AF67E4"/>
    <w:rsid w:val="00AF6853"/>
    <w:rsid w:val="00AF68EA"/>
    <w:rsid w:val="00AF692F"/>
    <w:rsid w:val="00AF69D8"/>
    <w:rsid w:val="00AF6A43"/>
    <w:rsid w:val="00AF6A5D"/>
    <w:rsid w:val="00AF6BA3"/>
    <w:rsid w:val="00AF6C31"/>
    <w:rsid w:val="00AF6C97"/>
    <w:rsid w:val="00AF6CD4"/>
    <w:rsid w:val="00AF6CD7"/>
    <w:rsid w:val="00AF6D6E"/>
    <w:rsid w:val="00AF6DDF"/>
    <w:rsid w:val="00AF6E1D"/>
    <w:rsid w:val="00AF6EA7"/>
    <w:rsid w:val="00AF6EAD"/>
    <w:rsid w:val="00AF6EBC"/>
    <w:rsid w:val="00AF6EE8"/>
    <w:rsid w:val="00AF6F30"/>
    <w:rsid w:val="00AF6FD4"/>
    <w:rsid w:val="00AF6FDB"/>
    <w:rsid w:val="00AF700A"/>
    <w:rsid w:val="00AF700F"/>
    <w:rsid w:val="00AF7019"/>
    <w:rsid w:val="00AF707A"/>
    <w:rsid w:val="00AF70A6"/>
    <w:rsid w:val="00AF726E"/>
    <w:rsid w:val="00AF728C"/>
    <w:rsid w:val="00AF72E1"/>
    <w:rsid w:val="00AF73C7"/>
    <w:rsid w:val="00AF73EE"/>
    <w:rsid w:val="00AF7429"/>
    <w:rsid w:val="00AF748D"/>
    <w:rsid w:val="00AF759A"/>
    <w:rsid w:val="00AF75D0"/>
    <w:rsid w:val="00AF763F"/>
    <w:rsid w:val="00AF769B"/>
    <w:rsid w:val="00AF76A2"/>
    <w:rsid w:val="00AF76D1"/>
    <w:rsid w:val="00AF76E9"/>
    <w:rsid w:val="00AF774B"/>
    <w:rsid w:val="00AF7761"/>
    <w:rsid w:val="00AF7798"/>
    <w:rsid w:val="00AF77BF"/>
    <w:rsid w:val="00AF7835"/>
    <w:rsid w:val="00AF7919"/>
    <w:rsid w:val="00AF79B4"/>
    <w:rsid w:val="00AF7A1A"/>
    <w:rsid w:val="00AF7A6F"/>
    <w:rsid w:val="00AF7AFC"/>
    <w:rsid w:val="00AF7B6E"/>
    <w:rsid w:val="00AF7BCC"/>
    <w:rsid w:val="00AF7CEB"/>
    <w:rsid w:val="00AF7D27"/>
    <w:rsid w:val="00AF7DD5"/>
    <w:rsid w:val="00AF7EB7"/>
    <w:rsid w:val="00B00009"/>
    <w:rsid w:val="00B00016"/>
    <w:rsid w:val="00B00050"/>
    <w:rsid w:val="00B000BC"/>
    <w:rsid w:val="00B00145"/>
    <w:rsid w:val="00B0022B"/>
    <w:rsid w:val="00B0029C"/>
    <w:rsid w:val="00B0029D"/>
    <w:rsid w:val="00B0031B"/>
    <w:rsid w:val="00B0039A"/>
    <w:rsid w:val="00B004E0"/>
    <w:rsid w:val="00B0056C"/>
    <w:rsid w:val="00B00574"/>
    <w:rsid w:val="00B005BD"/>
    <w:rsid w:val="00B00638"/>
    <w:rsid w:val="00B00710"/>
    <w:rsid w:val="00B00764"/>
    <w:rsid w:val="00B00798"/>
    <w:rsid w:val="00B007A5"/>
    <w:rsid w:val="00B008F3"/>
    <w:rsid w:val="00B008F6"/>
    <w:rsid w:val="00B00910"/>
    <w:rsid w:val="00B0094F"/>
    <w:rsid w:val="00B009C5"/>
    <w:rsid w:val="00B00A44"/>
    <w:rsid w:val="00B00A6B"/>
    <w:rsid w:val="00B00B4F"/>
    <w:rsid w:val="00B00B9C"/>
    <w:rsid w:val="00B00BBC"/>
    <w:rsid w:val="00B00C22"/>
    <w:rsid w:val="00B00C2E"/>
    <w:rsid w:val="00B00C6B"/>
    <w:rsid w:val="00B00D2D"/>
    <w:rsid w:val="00B00D5B"/>
    <w:rsid w:val="00B00EBB"/>
    <w:rsid w:val="00B00ECC"/>
    <w:rsid w:val="00B00F9B"/>
    <w:rsid w:val="00B00FD2"/>
    <w:rsid w:val="00B0100F"/>
    <w:rsid w:val="00B0114A"/>
    <w:rsid w:val="00B0115E"/>
    <w:rsid w:val="00B011A9"/>
    <w:rsid w:val="00B011CE"/>
    <w:rsid w:val="00B01201"/>
    <w:rsid w:val="00B01263"/>
    <w:rsid w:val="00B01290"/>
    <w:rsid w:val="00B012A5"/>
    <w:rsid w:val="00B0135A"/>
    <w:rsid w:val="00B0163C"/>
    <w:rsid w:val="00B016DA"/>
    <w:rsid w:val="00B016ED"/>
    <w:rsid w:val="00B016FB"/>
    <w:rsid w:val="00B017A4"/>
    <w:rsid w:val="00B0183C"/>
    <w:rsid w:val="00B01884"/>
    <w:rsid w:val="00B018CC"/>
    <w:rsid w:val="00B01924"/>
    <w:rsid w:val="00B01928"/>
    <w:rsid w:val="00B01958"/>
    <w:rsid w:val="00B01966"/>
    <w:rsid w:val="00B01977"/>
    <w:rsid w:val="00B01A64"/>
    <w:rsid w:val="00B01AAD"/>
    <w:rsid w:val="00B01BFC"/>
    <w:rsid w:val="00B01C27"/>
    <w:rsid w:val="00B01CC5"/>
    <w:rsid w:val="00B01D0D"/>
    <w:rsid w:val="00B01D2C"/>
    <w:rsid w:val="00B01E18"/>
    <w:rsid w:val="00B01FB4"/>
    <w:rsid w:val="00B020FF"/>
    <w:rsid w:val="00B02123"/>
    <w:rsid w:val="00B02143"/>
    <w:rsid w:val="00B021E5"/>
    <w:rsid w:val="00B02227"/>
    <w:rsid w:val="00B02248"/>
    <w:rsid w:val="00B022E9"/>
    <w:rsid w:val="00B023F8"/>
    <w:rsid w:val="00B02439"/>
    <w:rsid w:val="00B02481"/>
    <w:rsid w:val="00B024FE"/>
    <w:rsid w:val="00B02595"/>
    <w:rsid w:val="00B025B4"/>
    <w:rsid w:val="00B02655"/>
    <w:rsid w:val="00B02720"/>
    <w:rsid w:val="00B0276B"/>
    <w:rsid w:val="00B0279B"/>
    <w:rsid w:val="00B027C6"/>
    <w:rsid w:val="00B027CE"/>
    <w:rsid w:val="00B0281F"/>
    <w:rsid w:val="00B02848"/>
    <w:rsid w:val="00B028DE"/>
    <w:rsid w:val="00B0291C"/>
    <w:rsid w:val="00B02934"/>
    <w:rsid w:val="00B02938"/>
    <w:rsid w:val="00B029B9"/>
    <w:rsid w:val="00B029EE"/>
    <w:rsid w:val="00B02A63"/>
    <w:rsid w:val="00B02AA7"/>
    <w:rsid w:val="00B02AC1"/>
    <w:rsid w:val="00B02B76"/>
    <w:rsid w:val="00B02B95"/>
    <w:rsid w:val="00B02C0C"/>
    <w:rsid w:val="00B02CB3"/>
    <w:rsid w:val="00B02D8E"/>
    <w:rsid w:val="00B02F76"/>
    <w:rsid w:val="00B0306B"/>
    <w:rsid w:val="00B03152"/>
    <w:rsid w:val="00B03199"/>
    <w:rsid w:val="00B031F0"/>
    <w:rsid w:val="00B0325A"/>
    <w:rsid w:val="00B03261"/>
    <w:rsid w:val="00B03312"/>
    <w:rsid w:val="00B03369"/>
    <w:rsid w:val="00B03398"/>
    <w:rsid w:val="00B0348F"/>
    <w:rsid w:val="00B034C9"/>
    <w:rsid w:val="00B03568"/>
    <w:rsid w:val="00B0362D"/>
    <w:rsid w:val="00B03669"/>
    <w:rsid w:val="00B03767"/>
    <w:rsid w:val="00B0398F"/>
    <w:rsid w:val="00B0399F"/>
    <w:rsid w:val="00B03A33"/>
    <w:rsid w:val="00B03AA6"/>
    <w:rsid w:val="00B03AC6"/>
    <w:rsid w:val="00B03B38"/>
    <w:rsid w:val="00B03C17"/>
    <w:rsid w:val="00B03C9A"/>
    <w:rsid w:val="00B03CE1"/>
    <w:rsid w:val="00B03D4D"/>
    <w:rsid w:val="00B03DBD"/>
    <w:rsid w:val="00B03E17"/>
    <w:rsid w:val="00B03EF1"/>
    <w:rsid w:val="00B03F1D"/>
    <w:rsid w:val="00B03F62"/>
    <w:rsid w:val="00B04011"/>
    <w:rsid w:val="00B04030"/>
    <w:rsid w:val="00B04071"/>
    <w:rsid w:val="00B040AB"/>
    <w:rsid w:val="00B0413B"/>
    <w:rsid w:val="00B04178"/>
    <w:rsid w:val="00B0419E"/>
    <w:rsid w:val="00B041A3"/>
    <w:rsid w:val="00B041C7"/>
    <w:rsid w:val="00B04240"/>
    <w:rsid w:val="00B0428E"/>
    <w:rsid w:val="00B042C6"/>
    <w:rsid w:val="00B04302"/>
    <w:rsid w:val="00B04326"/>
    <w:rsid w:val="00B04348"/>
    <w:rsid w:val="00B04420"/>
    <w:rsid w:val="00B04529"/>
    <w:rsid w:val="00B04578"/>
    <w:rsid w:val="00B045F1"/>
    <w:rsid w:val="00B04639"/>
    <w:rsid w:val="00B04680"/>
    <w:rsid w:val="00B046BF"/>
    <w:rsid w:val="00B046E2"/>
    <w:rsid w:val="00B04783"/>
    <w:rsid w:val="00B047C6"/>
    <w:rsid w:val="00B047E3"/>
    <w:rsid w:val="00B047F5"/>
    <w:rsid w:val="00B047F6"/>
    <w:rsid w:val="00B04890"/>
    <w:rsid w:val="00B04898"/>
    <w:rsid w:val="00B048E9"/>
    <w:rsid w:val="00B049AD"/>
    <w:rsid w:val="00B04A0D"/>
    <w:rsid w:val="00B04A7B"/>
    <w:rsid w:val="00B04AE4"/>
    <w:rsid w:val="00B04AEC"/>
    <w:rsid w:val="00B04B9E"/>
    <w:rsid w:val="00B04BBC"/>
    <w:rsid w:val="00B04BFE"/>
    <w:rsid w:val="00B04CCE"/>
    <w:rsid w:val="00B04CD5"/>
    <w:rsid w:val="00B04CE4"/>
    <w:rsid w:val="00B04D46"/>
    <w:rsid w:val="00B04D94"/>
    <w:rsid w:val="00B04DEC"/>
    <w:rsid w:val="00B04E95"/>
    <w:rsid w:val="00B04F2B"/>
    <w:rsid w:val="00B04F82"/>
    <w:rsid w:val="00B05067"/>
    <w:rsid w:val="00B0519B"/>
    <w:rsid w:val="00B0529A"/>
    <w:rsid w:val="00B052E3"/>
    <w:rsid w:val="00B052EC"/>
    <w:rsid w:val="00B0535D"/>
    <w:rsid w:val="00B05418"/>
    <w:rsid w:val="00B05494"/>
    <w:rsid w:val="00B05516"/>
    <w:rsid w:val="00B0554F"/>
    <w:rsid w:val="00B05555"/>
    <w:rsid w:val="00B05607"/>
    <w:rsid w:val="00B05738"/>
    <w:rsid w:val="00B0575B"/>
    <w:rsid w:val="00B05799"/>
    <w:rsid w:val="00B058FD"/>
    <w:rsid w:val="00B05928"/>
    <w:rsid w:val="00B05B3B"/>
    <w:rsid w:val="00B05B43"/>
    <w:rsid w:val="00B05B46"/>
    <w:rsid w:val="00B05B87"/>
    <w:rsid w:val="00B05BD9"/>
    <w:rsid w:val="00B05C22"/>
    <w:rsid w:val="00B05D60"/>
    <w:rsid w:val="00B05DD2"/>
    <w:rsid w:val="00B05E1C"/>
    <w:rsid w:val="00B05EF1"/>
    <w:rsid w:val="00B05F17"/>
    <w:rsid w:val="00B05F50"/>
    <w:rsid w:val="00B05F66"/>
    <w:rsid w:val="00B06046"/>
    <w:rsid w:val="00B0617E"/>
    <w:rsid w:val="00B062B6"/>
    <w:rsid w:val="00B06455"/>
    <w:rsid w:val="00B064B8"/>
    <w:rsid w:val="00B064F2"/>
    <w:rsid w:val="00B06520"/>
    <w:rsid w:val="00B06539"/>
    <w:rsid w:val="00B0659A"/>
    <w:rsid w:val="00B065C2"/>
    <w:rsid w:val="00B065C3"/>
    <w:rsid w:val="00B06637"/>
    <w:rsid w:val="00B06670"/>
    <w:rsid w:val="00B06709"/>
    <w:rsid w:val="00B06723"/>
    <w:rsid w:val="00B0674F"/>
    <w:rsid w:val="00B06775"/>
    <w:rsid w:val="00B06794"/>
    <w:rsid w:val="00B06798"/>
    <w:rsid w:val="00B067C0"/>
    <w:rsid w:val="00B06843"/>
    <w:rsid w:val="00B0686D"/>
    <w:rsid w:val="00B068B5"/>
    <w:rsid w:val="00B0696B"/>
    <w:rsid w:val="00B06994"/>
    <w:rsid w:val="00B069F5"/>
    <w:rsid w:val="00B06AEE"/>
    <w:rsid w:val="00B06B96"/>
    <w:rsid w:val="00B06BBF"/>
    <w:rsid w:val="00B06BFD"/>
    <w:rsid w:val="00B06E1D"/>
    <w:rsid w:val="00B06E20"/>
    <w:rsid w:val="00B06E28"/>
    <w:rsid w:val="00B06F65"/>
    <w:rsid w:val="00B06F81"/>
    <w:rsid w:val="00B06FA4"/>
    <w:rsid w:val="00B06FD9"/>
    <w:rsid w:val="00B06FDA"/>
    <w:rsid w:val="00B07032"/>
    <w:rsid w:val="00B070DE"/>
    <w:rsid w:val="00B070EB"/>
    <w:rsid w:val="00B07196"/>
    <w:rsid w:val="00B071E3"/>
    <w:rsid w:val="00B072A1"/>
    <w:rsid w:val="00B072BF"/>
    <w:rsid w:val="00B072E2"/>
    <w:rsid w:val="00B072F3"/>
    <w:rsid w:val="00B07408"/>
    <w:rsid w:val="00B07431"/>
    <w:rsid w:val="00B074D7"/>
    <w:rsid w:val="00B074D8"/>
    <w:rsid w:val="00B07537"/>
    <w:rsid w:val="00B07563"/>
    <w:rsid w:val="00B07574"/>
    <w:rsid w:val="00B0757D"/>
    <w:rsid w:val="00B075E1"/>
    <w:rsid w:val="00B07607"/>
    <w:rsid w:val="00B076BA"/>
    <w:rsid w:val="00B076CE"/>
    <w:rsid w:val="00B076D0"/>
    <w:rsid w:val="00B07701"/>
    <w:rsid w:val="00B0770C"/>
    <w:rsid w:val="00B07743"/>
    <w:rsid w:val="00B077B6"/>
    <w:rsid w:val="00B077F7"/>
    <w:rsid w:val="00B07824"/>
    <w:rsid w:val="00B0786D"/>
    <w:rsid w:val="00B078AA"/>
    <w:rsid w:val="00B0794A"/>
    <w:rsid w:val="00B0796C"/>
    <w:rsid w:val="00B07AAC"/>
    <w:rsid w:val="00B07AAD"/>
    <w:rsid w:val="00B07B32"/>
    <w:rsid w:val="00B07C46"/>
    <w:rsid w:val="00B07C87"/>
    <w:rsid w:val="00B07DB6"/>
    <w:rsid w:val="00B07E0D"/>
    <w:rsid w:val="00B07F21"/>
    <w:rsid w:val="00B07F98"/>
    <w:rsid w:val="00B10018"/>
    <w:rsid w:val="00B10059"/>
    <w:rsid w:val="00B1016B"/>
    <w:rsid w:val="00B101DA"/>
    <w:rsid w:val="00B101DC"/>
    <w:rsid w:val="00B101F8"/>
    <w:rsid w:val="00B10243"/>
    <w:rsid w:val="00B102DD"/>
    <w:rsid w:val="00B1038C"/>
    <w:rsid w:val="00B103E3"/>
    <w:rsid w:val="00B103F9"/>
    <w:rsid w:val="00B10461"/>
    <w:rsid w:val="00B10476"/>
    <w:rsid w:val="00B104F9"/>
    <w:rsid w:val="00B1056A"/>
    <w:rsid w:val="00B1056B"/>
    <w:rsid w:val="00B1059D"/>
    <w:rsid w:val="00B10613"/>
    <w:rsid w:val="00B1067A"/>
    <w:rsid w:val="00B106CF"/>
    <w:rsid w:val="00B106FA"/>
    <w:rsid w:val="00B107D6"/>
    <w:rsid w:val="00B10815"/>
    <w:rsid w:val="00B108E6"/>
    <w:rsid w:val="00B1090D"/>
    <w:rsid w:val="00B10910"/>
    <w:rsid w:val="00B10930"/>
    <w:rsid w:val="00B109F5"/>
    <w:rsid w:val="00B10B2B"/>
    <w:rsid w:val="00B10C83"/>
    <w:rsid w:val="00B10CF0"/>
    <w:rsid w:val="00B10D7D"/>
    <w:rsid w:val="00B10E35"/>
    <w:rsid w:val="00B10E8D"/>
    <w:rsid w:val="00B10EFA"/>
    <w:rsid w:val="00B10F1E"/>
    <w:rsid w:val="00B10F51"/>
    <w:rsid w:val="00B10F83"/>
    <w:rsid w:val="00B10F90"/>
    <w:rsid w:val="00B10FC7"/>
    <w:rsid w:val="00B11142"/>
    <w:rsid w:val="00B11173"/>
    <w:rsid w:val="00B111FF"/>
    <w:rsid w:val="00B11228"/>
    <w:rsid w:val="00B112C4"/>
    <w:rsid w:val="00B112ED"/>
    <w:rsid w:val="00B11362"/>
    <w:rsid w:val="00B114F2"/>
    <w:rsid w:val="00B114FA"/>
    <w:rsid w:val="00B11678"/>
    <w:rsid w:val="00B11691"/>
    <w:rsid w:val="00B116F6"/>
    <w:rsid w:val="00B11709"/>
    <w:rsid w:val="00B11712"/>
    <w:rsid w:val="00B117DC"/>
    <w:rsid w:val="00B1182D"/>
    <w:rsid w:val="00B11957"/>
    <w:rsid w:val="00B119CE"/>
    <w:rsid w:val="00B11AD6"/>
    <w:rsid w:val="00B11C23"/>
    <w:rsid w:val="00B11C62"/>
    <w:rsid w:val="00B11CB5"/>
    <w:rsid w:val="00B11D69"/>
    <w:rsid w:val="00B11DD6"/>
    <w:rsid w:val="00B11E8C"/>
    <w:rsid w:val="00B11E99"/>
    <w:rsid w:val="00B11ECB"/>
    <w:rsid w:val="00B11F81"/>
    <w:rsid w:val="00B11FC9"/>
    <w:rsid w:val="00B12065"/>
    <w:rsid w:val="00B1209C"/>
    <w:rsid w:val="00B120D1"/>
    <w:rsid w:val="00B120FA"/>
    <w:rsid w:val="00B12164"/>
    <w:rsid w:val="00B1218D"/>
    <w:rsid w:val="00B12279"/>
    <w:rsid w:val="00B1232C"/>
    <w:rsid w:val="00B123D3"/>
    <w:rsid w:val="00B12463"/>
    <w:rsid w:val="00B1273E"/>
    <w:rsid w:val="00B1278B"/>
    <w:rsid w:val="00B127C7"/>
    <w:rsid w:val="00B127D3"/>
    <w:rsid w:val="00B127E9"/>
    <w:rsid w:val="00B12835"/>
    <w:rsid w:val="00B128EF"/>
    <w:rsid w:val="00B12936"/>
    <w:rsid w:val="00B12963"/>
    <w:rsid w:val="00B12984"/>
    <w:rsid w:val="00B12A18"/>
    <w:rsid w:val="00B12A29"/>
    <w:rsid w:val="00B12AA7"/>
    <w:rsid w:val="00B12BC0"/>
    <w:rsid w:val="00B12BD5"/>
    <w:rsid w:val="00B12C82"/>
    <w:rsid w:val="00B12CA6"/>
    <w:rsid w:val="00B12DD7"/>
    <w:rsid w:val="00B12E5B"/>
    <w:rsid w:val="00B12E5C"/>
    <w:rsid w:val="00B12ECA"/>
    <w:rsid w:val="00B12EEF"/>
    <w:rsid w:val="00B12F19"/>
    <w:rsid w:val="00B12FEC"/>
    <w:rsid w:val="00B1303F"/>
    <w:rsid w:val="00B1305D"/>
    <w:rsid w:val="00B13081"/>
    <w:rsid w:val="00B13097"/>
    <w:rsid w:val="00B1309D"/>
    <w:rsid w:val="00B130FC"/>
    <w:rsid w:val="00B13136"/>
    <w:rsid w:val="00B13163"/>
    <w:rsid w:val="00B13239"/>
    <w:rsid w:val="00B13280"/>
    <w:rsid w:val="00B132A6"/>
    <w:rsid w:val="00B133B6"/>
    <w:rsid w:val="00B133D0"/>
    <w:rsid w:val="00B13437"/>
    <w:rsid w:val="00B13447"/>
    <w:rsid w:val="00B134BB"/>
    <w:rsid w:val="00B13550"/>
    <w:rsid w:val="00B13570"/>
    <w:rsid w:val="00B135A0"/>
    <w:rsid w:val="00B135CB"/>
    <w:rsid w:val="00B135DD"/>
    <w:rsid w:val="00B1366D"/>
    <w:rsid w:val="00B136B1"/>
    <w:rsid w:val="00B13950"/>
    <w:rsid w:val="00B1397C"/>
    <w:rsid w:val="00B139E8"/>
    <w:rsid w:val="00B13A02"/>
    <w:rsid w:val="00B13A1B"/>
    <w:rsid w:val="00B13A67"/>
    <w:rsid w:val="00B13A8D"/>
    <w:rsid w:val="00B13B6E"/>
    <w:rsid w:val="00B13B8F"/>
    <w:rsid w:val="00B13BB1"/>
    <w:rsid w:val="00B13BE2"/>
    <w:rsid w:val="00B13C84"/>
    <w:rsid w:val="00B13CE1"/>
    <w:rsid w:val="00B13D3A"/>
    <w:rsid w:val="00B13D51"/>
    <w:rsid w:val="00B13DF1"/>
    <w:rsid w:val="00B13E59"/>
    <w:rsid w:val="00B13E78"/>
    <w:rsid w:val="00B13E99"/>
    <w:rsid w:val="00B13EB0"/>
    <w:rsid w:val="00B13EEE"/>
    <w:rsid w:val="00B14019"/>
    <w:rsid w:val="00B14051"/>
    <w:rsid w:val="00B142E9"/>
    <w:rsid w:val="00B14406"/>
    <w:rsid w:val="00B14416"/>
    <w:rsid w:val="00B14436"/>
    <w:rsid w:val="00B1444F"/>
    <w:rsid w:val="00B14461"/>
    <w:rsid w:val="00B144C8"/>
    <w:rsid w:val="00B144D4"/>
    <w:rsid w:val="00B1451B"/>
    <w:rsid w:val="00B1452C"/>
    <w:rsid w:val="00B1452F"/>
    <w:rsid w:val="00B14612"/>
    <w:rsid w:val="00B1478F"/>
    <w:rsid w:val="00B147CE"/>
    <w:rsid w:val="00B1486E"/>
    <w:rsid w:val="00B1488C"/>
    <w:rsid w:val="00B148C7"/>
    <w:rsid w:val="00B1490A"/>
    <w:rsid w:val="00B1491F"/>
    <w:rsid w:val="00B14978"/>
    <w:rsid w:val="00B149FA"/>
    <w:rsid w:val="00B14A1A"/>
    <w:rsid w:val="00B14A62"/>
    <w:rsid w:val="00B14AD4"/>
    <w:rsid w:val="00B14B2E"/>
    <w:rsid w:val="00B14B35"/>
    <w:rsid w:val="00B14CBD"/>
    <w:rsid w:val="00B14CC7"/>
    <w:rsid w:val="00B14CD8"/>
    <w:rsid w:val="00B14E63"/>
    <w:rsid w:val="00B14ECC"/>
    <w:rsid w:val="00B14F42"/>
    <w:rsid w:val="00B14FD3"/>
    <w:rsid w:val="00B14FDE"/>
    <w:rsid w:val="00B15189"/>
    <w:rsid w:val="00B1526A"/>
    <w:rsid w:val="00B152E7"/>
    <w:rsid w:val="00B15376"/>
    <w:rsid w:val="00B153BF"/>
    <w:rsid w:val="00B15474"/>
    <w:rsid w:val="00B15558"/>
    <w:rsid w:val="00B156AB"/>
    <w:rsid w:val="00B1571E"/>
    <w:rsid w:val="00B15799"/>
    <w:rsid w:val="00B157B0"/>
    <w:rsid w:val="00B157E7"/>
    <w:rsid w:val="00B1588E"/>
    <w:rsid w:val="00B15941"/>
    <w:rsid w:val="00B1596E"/>
    <w:rsid w:val="00B159FF"/>
    <w:rsid w:val="00B15A4D"/>
    <w:rsid w:val="00B15A58"/>
    <w:rsid w:val="00B15A99"/>
    <w:rsid w:val="00B15ABC"/>
    <w:rsid w:val="00B15AD4"/>
    <w:rsid w:val="00B15AFD"/>
    <w:rsid w:val="00B15B94"/>
    <w:rsid w:val="00B15DA7"/>
    <w:rsid w:val="00B15E85"/>
    <w:rsid w:val="00B15EA1"/>
    <w:rsid w:val="00B15F03"/>
    <w:rsid w:val="00B15F52"/>
    <w:rsid w:val="00B15F6A"/>
    <w:rsid w:val="00B15FA6"/>
    <w:rsid w:val="00B15FCF"/>
    <w:rsid w:val="00B16072"/>
    <w:rsid w:val="00B160D6"/>
    <w:rsid w:val="00B16182"/>
    <w:rsid w:val="00B1621B"/>
    <w:rsid w:val="00B16271"/>
    <w:rsid w:val="00B1629E"/>
    <w:rsid w:val="00B163E0"/>
    <w:rsid w:val="00B16458"/>
    <w:rsid w:val="00B16594"/>
    <w:rsid w:val="00B16618"/>
    <w:rsid w:val="00B16660"/>
    <w:rsid w:val="00B1667D"/>
    <w:rsid w:val="00B166A9"/>
    <w:rsid w:val="00B166D9"/>
    <w:rsid w:val="00B167E8"/>
    <w:rsid w:val="00B16825"/>
    <w:rsid w:val="00B16829"/>
    <w:rsid w:val="00B1683A"/>
    <w:rsid w:val="00B16861"/>
    <w:rsid w:val="00B16A2A"/>
    <w:rsid w:val="00B16A67"/>
    <w:rsid w:val="00B16AC8"/>
    <w:rsid w:val="00B16AED"/>
    <w:rsid w:val="00B16B70"/>
    <w:rsid w:val="00B16BAD"/>
    <w:rsid w:val="00B16BF3"/>
    <w:rsid w:val="00B16C46"/>
    <w:rsid w:val="00B16C90"/>
    <w:rsid w:val="00B16D91"/>
    <w:rsid w:val="00B16E3F"/>
    <w:rsid w:val="00B16EF3"/>
    <w:rsid w:val="00B16F81"/>
    <w:rsid w:val="00B16F8C"/>
    <w:rsid w:val="00B16FD2"/>
    <w:rsid w:val="00B17043"/>
    <w:rsid w:val="00B171CC"/>
    <w:rsid w:val="00B171DB"/>
    <w:rsid w:val="00B171E8"/>
    <w:rsid w:val="00B1720B"/>
    <w:rsid w:val="00B17216"/>
    <w:rsid w:val="00B17239"/>
    <w:rsid w:val="00B17262"/>
    <w:rsid w:val="00B17281"/>
    <w:rsid w:val="00B17286"/>
    <w:rsid w:val="00B17288"/>
    <w:rsid w:val="00B172CA"/>
    <w:rsid w:val="00B172D4"/>
    <w:rsid w:val="00B17308"/>
    <w:rsid w:val="00B1735F"/>
    <w:rsid w:val="00B173FE"/>
    <w:rsid w:val="00B1740D"/>
    <w:rsid w:val="00B17427"/>
    <w:rsid w:val="00B17464"/>
    <w:rsid w:val="00B174EC"/>
    <w:rsid w:val="00B17552"/>
    <w:rsid w:val="00B17555"/>
    <w:rsid w:val="00B17666"/>
    <w:rsid w:val="00B176B5"/>
    <w:rsid w:val="00B17704"/>
    <w:rsid w:val="00B1776B"/>
    <w:rsid w:val="00B17785"/>
    <w:rsid w:val="00B17843"/>
    <w:rsid w:val="00B178C5"/>
    <w:rsid w:val="00B179AC"/>
    <w:rsid w:val="00B179C2"/>
    <w:rsid w:val="00B17A69"/>
    <w:rsid w:val="00B17B4B"/>
    <w:rsid w:val="00B17BE0"/>
    <w:rsid w:val="00B17C87"/>
    <w:rsid w:val="00B17D4C"/>
    <w:rsid w:val="00B17D68"/>
    <w:rsid w:val="00B17D6D"/>
    <w:rsid w:val="00B17D7E"/>
    <w:rsid w:val="00B17DDF"/>
    <w:rsid w:val="00B17E23"/>
    <w:rsid w:val="00B17E6F"/>
    <w:rsid w:val="00B17E72"/>
    <w:rsid w:val="00B17E7B"/>
    <w:rsid w:val="00B17F06"/>
    <w:rsid w:val="00B17F2B"/>
    <w:rsid w:val="00B17F54"/>
    <w:rsid w:val="00B17F5A"/>
    <w:rsid w:val="00B2005B"/>
    <w:rsid w:val="00B20064"/>
    <w:rsid w:val="00B20074"/>
    <w:rsid w:val="00B200F1"/>
    <w:rsid w:val="00B2012C"/>
    <w:rsid w:val="00B2012F"/>
    <w:rsid w:val="00B2021B"/>
    <w:rsid w:val="00B202CC"/>
    <w:rsid w:val="00B20337"/>
    <w:rsid w:val="00B2034A"/>
    <w:rsid w:val="00B20383"/>
    <w:rsid w:val="00B2048E"/>
    <w:rsid w:val="00B20490"/>
    <w:rsid w:val="00B204E2"/>
    <w:rsid w:val="00B20517"/>
    <w:rsid w:val="00B2054A"/>
    <w:rsid w:val="00B205CD"/>
    <w:rsid w:val="00B205E8"/>
    <w:rsid w:val="00B205F4"/>
    <w:rsid w:val="00B2064F"/>
    <w:rsid w:val="00B20662"/>
    <w:rsid w:val="00B20704"/>
    <w:rsid w:val="00B207C4"/>
    <w:rsid w:val="00B209CF"/>
    <w:rsid w:val="00B209D7"/>
    <w:rsid w:val="00B209F6"/>
    <w:rsid w:val="00B20A52"/>
    <w:rsid w:val="00B20B17"/>
    <w:rsid w:val="00B20BCC"/>
    <w:rsid w:val="00B20BFB"/>
    <w:rsid w:val="00B20C53"/>
    <w:rsid w:val="00B20C66"/>
    <w:rsid w:val="00B20D31"/>
    <w:rsid w:val="00B20D40"/>
    <w:rsid w:val="00B20E21"/>
    <w:rsid w:val="00B20E40"/>
    <w:rsid w:val="00B20F1E"/>
    <w:rsid w:val="00B20F54"/>
    <w:rsid w:val="00B20F8A"/>
    <w:rsid w:val="00B2106A"/>
    <w:rsid w:val="00B2109B"/>
    <w:rsid w:val="00B210AC"/>
    <w:rsid w:val="00B210EB"/>
    <w:rsid w:val="00B21134"/>
    <w:rsid w:val="00B21154"/>
    <w:rsid w:val="00B21256"/>
    <w:rsid w:val="00B2129E"/>
    <w:rsid w:val="00B212D9"/>
    <w:rsid w:val="00B212F5"/>
    <w:rsid w:val="00B21373"/>
    <w:rsid w:val="00B2138F"/>
    <w:rsid w:val="00B2151A"/>
    <w:rsid w:val="00B215AC"/>
    <w:rsid w:val="00B215F8"/>
    <w:rsid w:val="00B21659"/>
    <w:rsid w:val="00B21663"/>
    <w:rsid w:val="00B216BA"/>
    <w:rsid w:val="00B21725"/>
    <w:rsid w:val="00B217AF"/>
    <w:rsid w:val="00B217E4"/>
    <w:rsid w:val="00B218EB"/>
    <w:rsid w:val="00B218FC"/>
    <w:rsid w:val="00B21900"/>
    <w:rsid w:val="00B2193A"/>
    <w:rsid w:val="00B21994"/>
    <w:rsid w:val="00B219B0"/>
    <w:rsid w:val="00B21A3E"/>
    <w:rsid w:val="00B21ABA"/>
    <w:rsid w:val="00B21AE0"/>
    <w:rsid w:val="00B21AEB"/>
    <w:rsid w:val="00B21B15"/>
    <w:rsid w:val="00B21B8F"/>
    <w:rsid w:val="00B21B99"/>
    <w:rsid w:val="00B21C15"/>
    <w:rsid w:val="00B21CA4"/>
    <w:rsid w:val="00B21D33"/>
    <w:rsid w:val="00B21D34"/>
    <w:rsid w:val="00B21E25"/>
    <w:rsid w:val="00B21FA9"/>
    <w:rsid w:val="00B22000"/>
    <w:rsid w:val="00B22073"/>
    <w:rsid w:val="00B220FD"/>
    <w:rsid w:val="00B2215A"/>
    <w:rsid w:val="00B221B4"/>
    <w:rsid w:val="00B2223D"/>
    <w:rsid w:val="00B222AD"/>
    <w:rsid w:val="00B22302"/>
    <w:rsid w:val="00B2232C"/>
    <w:rsid w:val="00B22369"/>
    <w:rsid w:val="00B223C5"/>
    <w:rsid w:val="00B224B0"/>
    <w:rsid w:val="00B224CF"/>
    <w:rsid w:val="00B224DB"/>
    <w:rsid w:val="00B22562"/>
    <w:rsid w:val="00B225CC"/>
    <w:rsid w:val="00B22602"/>
    <w:rsid w:val="00B2261A"/>
    <w:rsid w:val="00B2268C"/>
    <w:rsid w:val="00B226B7"/>
    <w:rsid w:val="00B226C3"/>
    <w:rsid w:val="00B226FF"/>
    <w:rsid w:val="00B22712"/>
    <w:rsid w:val="00B22752"/>
    <w:rsid w:val="00B2281B"/>
    <w:rsid w:val="00B2291F"/>
    <w:rsid w:val="00B22949"/>
    <w:rsid w:val="00B22956"/>
    <w:rsid w:val="00B229AB"/>
    <w:rsid w:val="00B229B8"/>
    <w:rsid w:val="00B22B37"/>
    <w:rsid w:val="00B22BE3"/>
    <w:rsid w:val="00B22D4F"/>
    <w:rsid w:val="00B22DA1"/>
    <w:rsid w:val="00B22E66"/>
    <w:rsid w:val="00B22E8B"/>
    <w:rsid w:val="00B22F4F"/>
    <w:rsid w:val="00B22F79"/>
    <w:rsid w:val="00B22FAD"/>
    <w:rsid w:val="00B22FB9"/>
    <w:rsid w:val="00B22FDD"/>
    <w:rsid w:val="00B23087"/>
    <w:rsid w:val="00B230BD"/>
    <w:rsid w:val="00B230D6"/>
    <w:rsid w:val="00B23140"/>
    <w:rsid w:val="00B2319B"/>
    <w:rsid w:val="00B2325C"/>
    <w:rsid w:val="00B232F4"/>
    <w:rsid w:val="00B23309"/>
    <w:rsid w:val="00B23371"/>
    <w:rsid w:val="00B2345D"/>
    <w:rsid w:val="00B234B4"/>
    <w:rsid w:val="00B235B7"/>
    <w:rsid w:val="00B235EB"/>
    <w:rsid w:val="00B23697"/>
    <w:rsid w:val="00B236C2"/>
    <w:rsid w:val="00B237CC"/>
    <w:rsid w:val="00B23862"/>
    <w:rsid w:val="00B23A2D"/>
    <w:rsid w:val="00B23A5C"/>
    <w:rsid w:val="00B23A7C"/>
    <w:rsid w:val="00B23AEB"/>
    <w:rsid w:val="00B23B13"/>
    <w:rsid w:val="00B23B94"/>
    <w:rsid w:val="00B23C05"/>
    <w:rsid w:val="00B23C5C"/>
    <w:rsid w:val="00B23C8D"/>
    <w:rsid w:val="00B23C99"/>
    <w:rsid w:val="00B23CDD"/>
    <w:rsid w:val="00B23CF1"/>
    <w:rsid w:val="00B23D31"/>
    <w:rsid w:val="00B23D9A"/>
    <w:rsid w:val="00B23FB0"/>
    <w:rsid w:val="00B23FC9"/>
    <w:rsid w:val="00B23FE6"/>
    <w:rsid w:val="00B2409E"/>
    <w:rsid w:val="00B240A1"/>
    <w:rsid w:val="00B240BA"/>
    <w:rsid w:val="00B2410C"/>
    <w:rsid w:val="00B2413A"/>
    <w:rsid w:val="00B24157"/>
    <w:rsid w:val="00B2417A"/>
    <w:rsid w:val="00B241D3"/>
    <w:rsid w:val="00B241E1"/>
    <w:rsid w:val="00B24227"/>
    <w:rsid w:val="00B24256"/>
    <w:rsid w:val="00B2426F"/>
    <w:rsid w:val="00B24288"/>
    <w:rsid w:val="00B242A0"/>
    <w:rsid w:val="00B243AA"/>
    <w:rsid w:val="00B243BB"/>
    <w:rsid w:val="00B243FD"/>
    <w:rsid w:val="00B2445D"/>
    <w:rsid w:val="00B244E0"/>
    <w:rsid w:val="00B245EE"/>
    <w:rsid w:val="00B245F1"/>
    <w:rsid w:val="00B24623"/>
    <w:rsid w:val="00B24681"/>
    <w:rsid w:val="00B246D6"/>
    <w:rsid w:val="00B246DF"/>
    <w:rsid w:val="00B24721"/>
    <w:rsid w:val="00B24733"/>
    <w:rsid w:val="00B2478F"/>
    <w:rsid w:val="00B24857"/>
    <w:rsid w:val="00B24872"/>
    <w:rsid w:val="00B2489A"/>
    <w:rsid w:val="00B248FF"/>
    <w:rsid w:val="00B2492E"/>
    <w:rsid w:val="00B249D9"/>
    <w:rsid w:val="00B249F3"/>
    <w:rsid w:val="00B24A33"/>
    <w:rsid w:val="00B24A44"/>
    <w:rsid w:val="00B24A6A"/>
    <w:rsid w:val="00B24BD0"/>
    <w:rsid w:val="00B24BD4"/>
    <w:rsid w:val="00B24C0F"/>
    <w:rsid w:val="00B24C96"/>
    <w:rsid w:val="00B24C9F"/>
    <w:rsid w:val="00B24EA1"/>
    <w:rsid w:val="00B24F6E"/>
    <w:rsid w:val="00B24F83"/>
    <w:rsid w:val="00B24F92"/>
    <w:rsid w:val="00B24F97"/>
    <w:rsid w:val="00B24FD4"/>
    <w:rsid w:val="00B2500B"/>
    <w:rsid w:val="00B250F0"/>
    <w:rsid w:val="00B2510F"/>
    <w:rsid w:val="00B25127"/>
    <w:rsid w:val="00B25183"/>
    <w:rsid w:val="00B251A4"/>
    <w:rsid w:val="00B25271"/>
    <w:rsid w:val="00B252BD"/>
    <w:rsid w:val="00B25321"/>
    <w:rsid w:val="00B2542C"/>
    <w:rsid w:val="00B25444"/>
    <w:rsid w:val="00B25493"/>
    <w:rsid w:val="00B2559E"/>
    <w:rsid w:val="00B255F4"/>
    <w:rsid w:val="00B255F6"/>
    <w:rsid w:val="00B2560E"/>
    <w:rsid w:val="00B25653"/>
    <w:rsid w:val="00B256BE"/>
    <w:rsid w:val="00B256D7"/>
    <w:rsid w:val="00B2572A"/>
    <w:rsid w:val="00B25746"/>
    <w:rsid w:val="00B2576A"/>
    <w:rsid w:val="00B2578F"/>
    <w:rsid w:val="00B2582A"/>
    <w:rsid w:val="00B258CE"/>
    <w:rsid w:val="00B2596F"/>
    <w:rsid w:val="00B259AC"/>
    <w:rsid w:val="00B259CB"/>
    <w:rsid w:val="00B259F6"/>
    <w:rsid w:val="00B25A7C"/>
    <w:rsid w:val="00B25A81"/>
    <w:rsid w:val="00B25B46"/>
    <w:rsid w:val="00B25B54"/>
    <w:rsid w:val="00B25CEE"/>
    <w:rsid w:val="00B25D87"/>
    <w:rsid w:val="00B25E0F"/>
    <w:rsid w:val="00B25E7F"/>
    <w:rsid w:val="00B25E8E"/>
    <w:rsid w:val="00B25EFD"/>
    <w:rsid w:val="00B25F66"/>
    <w:rsid w:val="00B25F9E"/>
    <w:rsid w:val="00B25FC1"/>
    <w:rsid w:val="00B25FE9"/>
    <w:rsid w:val="00B26129"/>
    <w:rsid w:val="00B2620D"/>
    <w:rsid w:val="00B2629E"/>
    <w:rsid w:val="00B262C6"/>
    <w:rsid w:val="00B263EA"/>
    <w:rsid w:val="00B26435"/>
    <w:rsid w:val="00B2646E"/>
    <w:rsid w:val="00B26472"/>
    <w:rsid w:val="00B26496"/>
    <w:rsid w:val="00B2666E"/>
    <w:rsid w:val="00B266A4"/>
    <w:rsid w:val="00B267BF"/>
    <w:rsid w:val="00B267D7"/>
    <w:rsid w:val="00B268A6"/>
    <w:rsid w:val="00B269D8"/>
    <w:rsid w:val="00B269E6"/>
    <w:rsid w:val="00B26ACF"/>
    <w:rsid w:val="00B26B1E"/>
    <w:rsid w:val="00B26B60"/>
    <w:rsid w:val="00B26BD7"/>
    <w:rsid w:val="00B26C28"/>
    <w:rsid w:val="00B26C33"/>
    <w:rsid w:val="00B26C74"/>
    <w:rsid w:val="00B26D0B"/>
    <w:rsid w:val="00B26DCA"/>
    <w:rsid w:val="00B26DF3"/>
    <w:rsid w:val="00B26E81"/>
    <w:rsid w:val="00B26EB3"/>
    <w:rsid w:val="00B26EEE"/>
    <w:rsid w:val="00B26F68"/>
    <w:rsid w:val="00B27004"/>
    <w:rsid w:val="00B27029"/>
    <w:rsid w:val="00B2702D"/>
    <w:rsid w:val="00B27105"/>
    <w:rsid w:val="00B271B7"/>
    <w:rsid w:val="00B2724A"/>
    <w:rsid w:val="00B27306"/>
    <w:rsid w:val="00B273E7"/>
    <w:rsid w:val="00B2742D"/>
    <w:rsid w:val="00B274C2"/>
    <w:rsid w:val="00B27602"/>
    <w:rsid w:val="00B276A3"/>
    <w:rsid w:val="00B276AC"/>
    <w:rsid w:val="00B276EC"/>
    <w:rsid w:val="00B2772C"/>
    <w:rsid w:val="00B27751"/>
    <w:rsid w:val="00B27774"/>
    <w:rsid w:val="00B2778C"/>
    <w:rsid w:val="00B27A7D"/>
    <w:rsid w:val="00B27AA7"/>
    <w:rsid w:val="00B27B80"/>
    <w:rsid w:val="00B27C7F"/>
    <w:rsid w:val="00B27CAF"/>
    <w:rsid w:val="00B27CF4"/>
    <w:rsid w:val="00B27CF7"/>
    <w:rsid w:val="00B27E44"/>
    <w:rsid w:val="00B27E82"/>
    <w:rsid w:val="00B27EB0"/>
    <w:rsid w:val="00B27F20"/>
    <w:rsid w:val="00B27FCD"/>
    <w:rsid w:val="00B27FD2"/>
    <w:rsid w:val="00B3001A"/>
    <w:rsid w:val="00B30031"/>
    <w:rsid w:val="00B300BC"/>
    <w:rsid w:val="00B300D7"/>
    <w:rsid w:val="00B300E7"/>
    <w:rsid w:val="00B3015A"/>
    <w:rsid w:val="00B30226"/>
    <w:rsid w:val="00B3023A"/>
    <w:rsid w:val="00B302D7"/>
    <w:rsid w:val="00B302F3"/>
    <w:rsid w:val="00B30387"/>
    <w:rsid w:val="00B30397"/>
    <w:rsid w:val="00B303B6"/>
    <w:rsid w:val="00B304A2"/>
    <w:rsid w:val="00B304AE"/>
    <w:rsid w:val="00B3052D"/>
    <w:rsid w:val="00B3054D"/>
    <w:rsid w:val="00B30599"/>
    <w:rsid w:val="00B305A9"/>
    <w:rsid w:val="00B30663"/>
    <w:rsid w:val="00B306C1"/>
    <w:rsid w:val="00B3073F"/>
    <w:rsid w:val="00B3080B"/>
    <w:rsid w:val="00B3089D"/>
    <w:rsid w:val="00B30991"/>
    <w:rsid w:val="00B30A41"/>
    <w:rsid w:val="00B30AAE"/>
    <w:rsid w:val="00B30ADA"/>
    <w:rsid w:val="00B30B23"/>
    <w:rsid w:val="00B30B46"/>
    <w:rsid w:val="00B30B69"/>
    <w:rsid w:val="00B30B9B"/>
    <w:rsid w:val="00B30C34"/>
    <w:rsid w:val="00B30C63"/>
    <w:rsid w:val="00B30C65"/>
    <w:rsid w:val="00B30C6D"/>
    <w:rsid w:val="00B30D09"/>
    <w:rsid w:val="00B30D74"/>
    <w:rsid w:val="00B30EBA"/>
    <w:rsid w:val="00B30EBB"/>
    <w:rsid w:val="00B30EF4"/>
    <w:rsid w:val="00B30F05"/>
    <w:rsid w:val="00B30F3A"/>
    <w:rsid w:val="00B31051"/>
    <w:rsid w:val="00B3108D"/>
    <w:rsid w:val="00B310CB"/>
    <w:rsid w:val="00B31103"/>
    <w:rsid w:val="00B31194"/>
    <w:rsid w:val="00B311D2"/>
    <w:rsid w:val="00B312A7"/>
    <w:rsid w:val="00B312E9"/>
    <w:rsid w:val="00B313B2"/>
    <w:rsid w:val="00B31420"/>
    <w:rsid w:val="00B31542"/>
    <w:rsid w:val="00B3155F"/>
    <w:rsid w:val="00B31574"/>
    <w:rsid w:val="00B315A7"/>
    <w:rsid w:val="00B315BB"/>
    <w:rsid w:val="00B315D3"/>
    <w:rsid w:val="00B31609"/>
    <w:rsid w:val="00B316CD"/>
    <w:rsid w:val="00B31776"/>
    <w:rsid w:val="00B317AC"/>
    <w:rsid w:val="00B3180D"/>
    <w:rsid w:val="00B31823"/>
    <w:rsid w:val="00B31864"/>
    <w:rsid w:val="00B318F6"/>
    <w:rsid w:val="00B31985"/>
    <w:rsid w:val="00B319B3"/>
    <w:rsid w:val="00B319C4"/>
    <w:rsid w:val="00B31A36"/>
    <w:rsid w:val="00B31A61"/>
    <w:rsid w:val="00B31AC1"/>
    <w:rsid w:val="00B31B0D"/>
    <w:rsid w:val="00B31C15"/>
    <w:rsid w:val="00B31C2A"/>
    <w:rsid w:val="00B31C5A"/>
    <w:rsid w:val="00B31CF1"/>
    <w:rsid w:val="00B31D22"/>
    <w:rsid w:val="00B31D26"/>
    <w:rsid w:val="00B31DF3"/>
    <w:rsid w:val="00B31E3D"/>
    <w:rsid w:val="00B31EC3"/>
    <w:rsid w:val="00B31F1B"/>
    <w:rsid w:val="00B31F54"/>
    <w:rsid w:val="00B31FA7"/>
    <w:rsid w:val="00B31FEC"/>
    <w:rsid w:val="00B3206F"/>
    <w:rsid w:val="00B320C6"/>
    <w:rsid w:val="00B320D3"/>
    <w:rsid w:val="00B32145"/>
    <w:rsid w:val="00B32226"/>
    <w:rsid w:val="00B32290"/>
    <w:rsid w:val="00B322C3"/>
    <w:rsid w:val="00B32326"/>
    <w:rsid w:val="00B3236A"/>
    <w:rsid w:val="00B323CA"/>
    <w:rsid w:val="00B32461"/>
    <w:rsid w:val="00B32537"/>
    <w:rsid w:val="00B32569"/>
    <w:rsid w:val="00B3266A"/>
    <w:rsid w:val="00B32676"/>
    <w:rsid w:val="00B32714"/>
    <w:rsid w:val="00B327D3"/>
    <w:rsid w:val="00B32801"/>
    <w:rsid w:val="00B32841"/>
    <w:rsid w:val="00B32843"/>
    <w:rsid w:val="00B328F5"/>
    <w:rsid w:val="00B32903"/>
    <w:rsid w:val="00B32A21"/>
    <w:rsid w:val="00B32AB3"/>
    <w:rsid w:val="00B32AE3"/>
    <w:rsid w:val="00B32AF2"/>
    <w:rsid w:val="00B32B7B"/>
    <w:rsid w:val="00B32C23"/>
    <w:rsid w:val="00B32C72"/>
    <w:rsid w:val="00B32C99"/>
    <w:rsid w:val="00B32DEE"/>
    <w:rsid w:val="00B32EA7"/>
    <w:rsid w:val="00B32EC4"/>
    <w:rsid w:val="00B32ECA"/>
    <w:rsid w:val="00B32ED1"/>
    <w:rsid w:val="00B32F0A"/>
    <w:rsid w:val="00B32F6C"/>
    <w:rsid w:val="00B32F6D"/>
    <w:rsid w:val="00B32FB1"/>
    <w:rsid w:val="00B32FCF"/>
    <w:rsid w:val="00B33157"/>
    <w:rsid w:val="00B33167"/>
    <w:rsid w:val="00B33328"/>
    <w:rsid w:val="00B33359"/>
    <w:rsid w:val="00B33473"/>
    <w:rsid w:val="00B334CC"/>
    <w:rsid w:val="00B334DC"/>
    <w:rsid w:val="00B33512"/>
    <w:rsid w:val="00B33571"/>
    <w:rsid w:val="00B335D2"/>
    <w:rsid w:val="00B3360C"/>
    <w:rsid w:val="00B33695"/>
    <w:rsid w:val="00B336A5"/>
    <w:rsid w:val="00B33765"/>
    <w:rsid w:val="00B337BF"/>
    <w:rsid w:val="00B337C6"/>
    <w:rsid w:val="00B33809"/>
    <w:rsid w:val="00B33878"/>
    <w:rsid w:val="00B338FB"/>
    <w:rsid w:val="00B3390D"/>
    <w:rsid w:val="00B3394F"/>
    <w:rsid w:val="00B33A49"/>
    <w:rsid w:val="00B33B2E"/>
    <w:rsid w:val="00B33BA6"/>
    <w:rsid w:val="00B33BCF"/>
    <w:rsid w:val="00B33BD0"/>
    <w:rsid w:val="00B33BDB"/>
    <w:rsid w:val="00B33C3E"/>
    <w:rsid w:val="00B33C41"/>
    <w:rsid w:val="00B33C43"/>
    <w:rsid w:val="00B33C4B"/>
    <w:rsid w:val="00B33D0E"/>
    <w:rsid w:val="00B33D29"/>
    <w:rsid w:val="00B33DF7"/>
    <w:rsid w:val="00B33FF7"/>
    <w:rsid w:val="00B340E5"/>
    <w:rsid w:val="00B34112"/>
    <w:rsid w:val="00B3415D"/>
    <w:rsid w:val="00B342DE"/>
    <w:rsid w:val="00B34319"/>
    <w:rsid w:val="00B3431A"/>
    <w:rsid w:val="00B3438D"/>
    <w:rsid w:val="00B343C6"/>
    <w:rsid w:val="00B3440F"/>
    <w:rsid w:val="00B34513"/>
    <w:rsid w:val="00B3458A"/>
    <w:rsid w:val="00B34691"/>
    <w:rsid w:val="00B3472A"/>
    <w:rsid w:val="00B347C5"/>
    <w:rsid w:val="00B34834"/>
    <w:rsid w:val="00B34844"/>
    <w:rsid w:val="00B34851"/>
    <w:rsid w:val="00B34948"/>
    <w:rsid w:val="00B34966"/>
    <w:rsid w:val="00B3496E"/>
    <w:rsid w:val="00B349F1"/>
    <w:rsid w:val="00B34A08"/>
    <w:rsid w:val="00B34A5F"/>
    <w:rsid w:val="00B34A81"/>
    <w:rsid w:val="00B34AA7"/>
    <w:rsid w:val="00B34B61"/>
    <w:rsid w:val="00B34BA1"/>
    <w:rsid w:val="00B34BAA"/>
    <w:rsid w:val="00B34C0F"/>
    <w:rsid w:val="00B34C55"/>
    <w:rsid w:val="00B34CFE"/>
    <w:rsid w:val="00B34D59"/>
    <w:rsid w:val="00B34D5C"/>
    <w:rsid w:val="00B34E36"/>
    <w:rsid w:val="00B34E5E"/>
    <w:rsid w:val="00B34F31"/>
    <w:rsid w:val="00B34F50"/>
    <w:rsid w:val="00B34F8A"/>
    <w:rsid w:val="00B34FED"/>
    <w:rsid w:val="00B35067"/>
    <w:rsid w:val="00B3507F"/>
    <w:rsid w:val="00B350E3"/>
    <w:rsid w:val="00B3511C"/>
    <w:rsid w:val="00B35179"/>
    <w:rsid w:val="00B351BF"/>
    <w:rsid w:val="00B35267"/>
    <w:rsid w:val="00B35291"/>
    <w:rsid w:val="00B35355"/>
    <w:rsid w:val="00B353A9"/>
    <w:rsid w:val="00B353AE"/>
    <w:rsid w:val="00B353CB"/>
    <w:rsid w:val="00B353FB"/>
    <w:rsid w:val="00B35415"/>
    <w:rsid w:val="00B354F6"/>
    <w:rsid w:val="00B3555F"/>
    <w:rsid w:val="00B35595"/>
    <w:rsid w:val="00B3568B"/>
    <w:rsid w:val="00B35692"/>
    <w:rsid w:val="00B35709"/>
    <w:rsid w:val="00B3573B"/>
    <w:rsid w:val="00B3574F"/>
    <w:rsid w:val="00B357AE"/>
    <w:rsid w:val="00B357CD"/>
    <w:rsid w:val="00B35807"/>
    <w:rsid w:val="00B3584B"/>
    <w:rsid w:val="00B358CD"/>
    <w:rsid w:val="00B35955"/>
    <w:rsid w:val="00B359A5"/>
    <w:rsid w:val="00B35ABE"/>
    <w:rsid w:val="00B35B18"/>
    <w:rsid w:val="00B35B7C"/>
    <w:rsid w:val="00B35B86"/>
    <w:rsid w:val="00B35BE3"/>
    <w:rsid w:val="00B35CA7"/>
    <w:rsid w:val="00B35D44"/>
    <w:rsid w:val="00B35E37"/>
    <w:rsid w:val="00B35E63"/>
    <w:rsid w:val="00B35EC3"/>
    <w:rsid w:val="00B35F4D"/>
    <w:rsid w:val="00B35F83"/>
    <w:rsid w:val="00B35F9E"/>
    <w:rsid w:val="00B35F9F"/>
    <w:rsid w:val="00B35FD9"/>
    <w:rsid w:val="00B36025"/>
    <w:rsid w:val="00B36086"/>
    <w:rsid w:val="00B360C9"/>
    <w:rsid w:val="00B360ED"/>
    <w:rsid w:val="00B36185"/>
    <w:rsid w:val="00B36186"/>
    <w:rsid w:val="00B361C1"/>
    <w:rsid w:val="00B361D5"/>
    <w:rsid w:val="00B361D7"/>
    <w:rsid w:val="00B362B9"/>
    <w:rsid w:val="00B36316"/>
    <w:rsid w:val="00B36333"/>
    <w:rsid w:val="00B36368"/>
    <w:rsid w:val="00B363CF"/>
    <w:rsid w:val="00B363ED"/>
    <w:rsid w:val="00B363EF"/>
    <w:rsid w:val="00B363F6"/>
    <w:rsid w:val="00B36411"/>
    <w:rsid w:val="00B3647E"/>
    <w:rsid w:val="00B3648F"/>
    <w:rsid w:val="00B364FA"/>
    <w:rsid w:val="00B3651D"/>
    <w:rsid w:val="00B36532"/>
    <w:rsid w:val="00B36547"/>
    <w:rsid w:val="00B3654C"/>
    <w:rsid w:val="00B36561"/>
    <w:rsid w:val="00B365C0"/>
    <w:rsid w:val="00B365D8"/>
    <w:rsid w:val="00B36627"/>
    <w:rsid w:val="00B36631"/>
    <w:rsid w:val="00B3664F"/>
    <w:rsid w:val="00B36657"/>
    <w:rsid w:val="00B366FA"/>
    <w:rsid w:val="00B36770"/>
    <w:rsid w:val="00B36780"/>
    <w:rsid w:val="00B367BF"/>
    <w:rsid w:val="00B367C6"/>
    <w:rsid w:val="00B367E9"/>
    <w:rsid w:val="00B36829"/>
    <w:rsid w:val="00B36895"/>
    <w:rsid w:val="00B368AE"/>
    <w:rsid w:val="00B36993"/>
    <w:rsid w:val="00B369A8"/>
    <w:rsid w:val="00B36A53"/>
    <w:rsid w:val="00B36A73"/>
    <w:rsid w:val="00B36B1C"/>
    <w:rsid w:val="00B36B65"/>
    <w:rsid w:val="00B36BAB"/>
    <w:rsid w:val="00B36CC3"/>
    <w:rsid w:val="00B36D30"/>
    <w:rsid w:val="00B36DAA"/>
    <w:rsid w:val="00B36DC7"/>
    <w:rsid w:val="00B36DF5"/>
    <w:rsid w:val="00B36DFB"/>
    <w:rsid w:val="00B36E46"/>
    <w:rsid w:val="00B36FD7"/>
    <w:rsid w:val="00B37053"/>
    <w:rsid w:val="00B37090"/>
    <w:rsid w:val="00B370BA"/>
    <w:rsid w:val="00B3717E"/>
    <w:rsid w:val="00B371B6"/>
    <w:rsid w:val="00B371B7"/>
    <w:rsid w:val="00B37284"/>
    <w:rsid w:val="00B372CF"/>
    <w:rsid w:val="00B372FB"/>
    <w:rsid w:val="00B373D3"/>
    <w:rsid w:val="00B37415"/>
    <w:rsid w:val="00B37427"/>
    <w:rsid w:val="00B37466"/>
    <w:rsid w:val="00B374A7"/>
    <w:rsid w:val="00B375B5"/>
    <w:rsid w:val="00B375BB"/>
    <w:rsid w:val="00B37600"/>
    <w:rsid w:val="00B37605"/>
    <w:rsid w:val="00B3769F"/>
    <w:rsid w:val="00B37738"/>
    <w:rsid w:val="00B3776C"/>
    <w:rsid w:val="00B37808"/>
    <w:rsid w:val="00B37837"/>
    <w:rsid w:val="00B37864"/>
    <w:rsid w:val="00B378F0"/>
    <w:rsid w:val="00B379E2"/>
    <w:rsid w:val="00B37A65"/>
    <w:rsid w:val="00B37A9C"/>
    <w:rsid w:val="00B37ABA"/>
    <w:rsid w:val="00B37AC2"/>
    <w:rsid w:val="00B37AC6"/>
    <w:rsid w:val="00B37D09"/>
    <w:rsid w:val="00B37D93"/>
    <w:rsid w:val="00B37DED"/>
    <w:rsid w:val="00B37F08"/>
    <w:rsid w:val="00B40002"/>
    <w:rsid w:val="00B400CF"/>
    <w:rsid w:val="00B400EF"/>
    <w:rsid w:val="00B4014B"/>
    <w:rsid w:val="00B40195"/>
    <w:rsid w:val="00B4032F"/>
    <w:rsid w:val="00B403E7"/>
    <w:rsid w:val="00B40420"/>
    <w:rsid w:val="00B40469"/>
    <w:rsid w:val="00B404BE"/>
    <w:rsid w:val="00B40502"/>
    <w:rsid w:val="00B40507"/>
    <w:rsid w:val="00B405C7"/>
    <w:rsid w:val="00B405CB"/>
    <w:rsid w:val="00B405ED"/>
    <w:rsid w:val="00B405FE"/>
    <w:rsid w:val="00B40636"/>
    <w:rsid w:val="00B40655"/>
    <w:rsid w:val="00B406FE"/>
    <w:rsid w:val="00B40702"/>
    <w:rsid w:val="00B40733"/>
    <w:rsid w:val="00B4075C"/>
    <w:rsid w:val="00B40782"/>
    <w:rsid w:val="00B4081E"/>
    <w:rsid w:val="00B40951"/>
    <w:rsid w:val="00B409FF"/>
    <w:rsid w:val="00B40A66"/>
    <w:rsid w:val="00B40B11"/>
    <w:rsid w:val="00B40C15"/>
    <w:rsid w:val="00B40C33"/>
    <w:rsid w:val="00B40C3C"/>
    <w:rsid w:val="00B40CAE"/>
    <w:rsid w:val="00B40CEB"/>
    <w:rsid w:val="00B40D93"/>
    <w:rsid w:val="00B40DA1"/>
    <w:rsid w:val="00B40DF7"/>
    <w:rsid w:val="00B40E46"/>
    <w:rsid w:val="00B40F32"/>
    <w:rsid w:val="00B40F96"/>
    <w:rsid w:val="00B4102B"/>
    <w:rsid w:val="00B411E4"/>
    <w:rsid w:val="00B412BA"/>
    <w:rsid w:val="00B41303"/>
    <w:rsid w:val="00B413A1"/>
    <w:rsid w:val="00B41424"/>
    <w:rsid w:val="00B41456"/>
    <w:rsid w:val="00B4146C"/>
    <w:rsid w:val="00B41583"/>
    <w:rsid w:val="00B41599"/>
    <w:rsid w:val="00B4167E"/>
    <w:rsid w:val="00B41708"/>
    <w:rsid w:val="00B41767"/>
    <w:rsid w:val="00B418D4"/>
    <w:rsid w:val="00B418EC"/>
    <w:rsid w:val="00B41968"/>
    <w:rsid w:val="00B4196F"/>
    <w:rsid w:val="00B419C7"/>
    <w:rsid w:val="00B41A49"/>
    <w:rsid w:val="00B41A89"/>
    <w:rsid w:val="00B41C3C"/>
    <w:rsid w:val="00B41DB1"/>
    <w:rsid w:val="00B41DCE"/>
    <w:rsid w:val="00B41DD2"/>
    <w:rsid w:val="00B41F50"/>
    <w:rsid w:val="00B41F7A"/>
    <w:rsid w:val="00B41FE2"/>
    <w:rsid w:val="00B42013"/>
    <w:rsid w:val="00B42035"/>
    <w:rsid w:val="00B420CF"/>
    <w:rsid w:val="00B420D4"/>
    <w:rsid w:val="00B42100"/>
    <w:rsid w:val="00B4210C"/>
    <w:rsid w:val="00B421BB"/>
    <w:rsid w:val="00B42239"/>
    <w:rsid w:val="00B4224F"/>
    <w:rsid w:val="00B422A4"/>
    <w:rsid w:val="00B422FE"/>
    <w:rsid w:val="00B4231E"/>
    <w:rsid w:val="00B4236A"/>
    <w:rsid w:val="00B424B7"/>
    <w:rsid w:val="00B4256A"/>
    <w:rsid w:val="00B425B8"/>
    <w:rsid w:val="00B4262B"/>
    <w:rsid w:val="00B42725"/>
    <w:rsid w:val="00B427A5"/>
    <w:rsid w:val="00B427BD"/>
    <w:rsid w:val="00B4280F"/>
    <w:rsid w:val="00B4282E"/>
    <w:rsid w:val="00B428AD"/>
    <w:rsid w:val="00B42AE8"/>
    <w:rsid w:val="00B42B00"/>
    <w:rsid w:val="00B42B2A"/>
    <w:rsid w:val="00B42B4C"/>
    <w:rsid w:val="00B42BCA"/>
    <w:rsid w:val="00B42D74"/>
    <w:rsid w:val="00B42DA6"/>
    <w:rsid w:val="00B42E62"/>
    <w:rsid w:val="00B42F7A"/>
    <w:rsid w:val="00B42FD9"/>
    <w:rsid w:val="00B4311B"/>
    <w:rsid w:val="00B43137"/>
    <w:rsid w:val="00B4314D"/>
    <w:rsid w:val="00B431C6"/>
    <w:rsid w:val="00B431DB"/>
    <w:rsid w:val="00B43218"/>
    <w:rsid w:val="00B43250"/>
    <w:rsid w:val="00B43261"/>
    <w:rsid w:val="00B4326D"/>
    <w:rsid w:val="00B4326F"/>
    <w:rsid w:val="00B43280"/>
    <w:rsid w:val="00B43310"/>
    <w:rsid w:val="00B4334E"/>
    <w:rsid w:val="00B43351"/>
    <w:rsid w:val="00B43358"/>
    <w:rsid w:val="00B4335C"/>
    <w:rsid w:val="00B43414"/>
    <w:rsid w:val="00B4349D"/>
    <w:rsid w:val="00B434E7"/>
    <w:rsid w:val="00B434FE"/>
    <w:rsid w:val="00B43516"/>
    <w:rsid w:val="00B4352E"/>
    <w:rsid w:val="00B43531"/>
    <w:rsid w:val="00B4353A"/>
    <w:rsid w:val="00B435B6"/>
    <w:rsid w:val="00B4361C"/>
    <w:rsid w:val="00B43656"/>
    <w:rsid w:val="00B43666"/>
    <w:rsid w:val="00B43696"/>
    <w:rsid w:val="00B436E3"/>
    <w:rsid w:val="00B4374D"/>
    <w:rsid w:val="00B4376A"/>
    <w:rsid w:val="00B4381D"/>
    <w:rsid w:val="00B4395E"/>
    <w:rsid w:val="00B4396C"/>
    <w:rsid w:val="00B439F9"/>
    <w:rsid w:val="00B43A18"/>
    <w:rsid w:val="00B43A5F"/>
    <w:rsid w:val="00B43A69"/>
    <w:rsid w:val="00B43A8C"/>
    <w:rsid w:val="00B43AE4"/>
    <w:rsid w:val="00B43BFC"/>
    <w:rsid w:val="00B43C37"/>
    <w:rsid w:val="00B43CFD"/>
    <w:rsid w:val="00B43D1A"/>
    <w:rsid w:val="00B43DF7"/>
    <w:rsid w:val="00B43E04"/>
    <w:rsid w:val="00B43E06"/>
    <w:rsid w:val="00B43E21"/>
    <w:rsid w:val="00B43E4F"/>
    <w:rsid w:val="00B43EDC"/>
    <w:rsid w:val="00B43EFF"/>
    <w:rsid w:val="00B43F42"/>
    <w:rsid w:val="00B43F6A"/>
    <w:rsid w:val="00B43FB2"/>
    <w:rsid w:val="00B4409F"/>
    <w:rsid w:val="00B44114"/>
    <w:rsid w:val="00B441F8"/>
    <w:rsid w:val="00B44289"/>
    <w:rsid w:val="00B442DB"/>
    <w:rsid w:val="00B442FF"/>
    <w:rsid w:val="00B4441B"/>
    <w:rsid w:val="00B44439"/>
    <w:rsid w:val="00B4453C"/>
    <w:rsid w:val="00B445E5"/>
    <w:rsid w:val="00B44684"/>
    <w:rsid w:val="00B4469A"/>
    <w:rsid w:val="00B44799"/>
    <w:rsid w:val="00B4484E"/>
    <w:rsid w:val="00B449C7"/>
    <w:rsid w:val="00B44A17"/>
    <w:rsid w:val="00B44A37"/>
    <w:rsid w:val="00B44AE1"/>
    <w:rsid w:val="00B44B5B"/>
    <w:rsid w:val="00B44C09"/>
    <w:rsid w:val="00B44C2A"/>
    <w:rsid w:val="00B44CCB"/>
    <w:rsid w:val="00B44CEA"/>
    <w:rsid w:val="00B44D91"/>
    <w:rsid w:val="00B44DB3"/>
    <w:rsid w:val="00B44DFA"/>
    <w:rsid w:val="00B44E9B"/>
    <w:rsid w:val="00B44EC3"/>
    <w:rsid w:val="00B44F95"/>
    <w:rsid w:val="00B44FCD"/>
    <w:rsid w:val="00B450A5"/>
    <w:rsid w:val="00B45110"/>
    <w:rsid w:val="00B45119"/>
    <w:rsid w:val="00B4514C"/>
    <w:rsid w:val="00B4514D"/>
    <w:rsid w:val="00B45210"/>
    <w:rsid w:val="00B45221"/>
    <w:rsid w:val="00B45244"/>
    <w:rsid w:val="00B4528C"/>
    <w:rsid w:val="00B4530A"/>
    <w:rsid w:val="00B45384"/>
    <w:rsid w:val="00B453E1"/>
    <w:rsid w:val="00B453ED"/>
    <w:rsid w:val="00B4545C"/>
    <w:rsid w:val="00B45474"/>
    <w:rsid w:val="00B45490"/>
    <w:rsid w:val="00B455A1"/>
    <w:rsid w:val="00B4561E"/>
    <w:rsid w:val="00B45707"/>
    <w:rsid w:val="00B45724"/>
    <w:rsid w:val="00B45786"/>
    <w:rsid w:val="00B45903"/>
    <w:rsid w:val="00B45954"/>
    <w:rsid w:val="00B45967"/>
    <w:rsid w:val="00B459B6"/>
    <w:rsid w:val="00B45A95"/>
    <w:rsid w:val="00B45AAE"/>
    <w:rsid w:val="00B45ADA"/>
    <w:rsid w:val="00B45B0C"/>
    <w:rsid w:val="00B45B62"/>
    <w:rsid w:val="00B45B8C"/>
    <w:rsid w:val="00B45BCD"/>
    <w:rsid w:val="00B45C2B"/>
    <w:rsid w:val="00B45C4E"/>
    <w:rsid w:val="00B45CA8"/>
    <w:rsid w:val="00B45D02"/>
    <w:rsid w:val="00B45DB7"/>
    <w:rsid w:val="00B45E02"/>
    <w:rsid w:val="00B45E68"/>
    <w:rsid w:val="00B45F33"/>
    <w:rsid w:val="00B45F5F"/>
    <w:rsid w:val="00B4609C"/>
    <w:rsid w:val="00B460B2"/>
    <w:rsid w:val="00B460EF"/>
    <w:rsid w:val="00B460F1"/>
    <w:rsid w:val="00B4617F"/>
    <w:rsid w:val="00B46248"/>
    <w:rsid w:val="00B46281"/>
    <w:rsid w:val="00B462EF"/>
    <w:rsid w:val="00B46323"/>
    <w:rsid w:val="00B46455"/>
    <w:rsid w:val="00B46494"/>
    <w:rsid w:val="00B464CA"/>
    <w:rsid w:val="00B46505"/>
    <w:rsid w:val="00B4652F"/>
    <w:rsid w:val="00B46596"/>
    <w:rsid w:val="00B46733"/>
    <w:rsid w:val="00B46773"/>
    <w:rsid w:val="00B467BB"/>
    <w:rsid w:val="00B467DB"/>
    <w:rsid w:val="00B467F2"/>
    <w:rsid w:val="00B468AE"/>
    <w:rsid w:val="00B46954"/>
    <w:rsid w:val="00B46970"/>
    <w:rsid w:val="00B4697B"/>
    <w:rsid w:val="00B469A1"/>
    <w:rsid w:val="00B46A06"/>
    <w:rsid w:val="00B46A9C"/>
    <w:rsid w:val="00B46B2B"/>
    <w:rsid w:val="00B46B2C"/>
    <w:rsid w:val="00B46B7F"/>
    <w:rsid w:val="00B46C4A"/>
    <w:rsid w:val="00B46DDA"/>
    <w:rsid w:val="00B46E66"/>
    <w:rsid w:val="00B46EBE"/>
    <w:rsid w:val="00B46F57"/>
    <w:rsid w:val="00B46F83"/>
    <w:rsid w:val="00B46FA0"/>
    <w:rsid w:val="00B46FC7"/>
    <w:rsid w:val="00B47072"/>
    <w:rsid w:val="00B47076"/>
    <w:rsid w:val="00B47153"/>
    <w:rsid w:val="00B47197"/>
    <w:rsid w:val="00B47264"/>
    <w:rsid w:val="00B472A0"/>
    <w:rsid w:val="00B472FB"/>
    <w:rsid w:val="00B47372"/>
    <w:rsid w:val="00B4739B"/>
    <w:rsid w:val="00B473FE"/>
    <w:rsid w:val="00B474AC"/>
    <w:rsid w:val="00B474D7"/>
    <w:rsid w:val="00B4752A"/>
    <w:rsid w:val="00B47574"/>
    <w:rsid w:val="00B47779"/>
    <w:rsid w:val="00B477C8"/>
    <w:rsid w:val="00B477E2"/>
    <w:rsid w:val="00B477E9"/>
    <w:rsid w:val="00B477EA"/>
    <w:rsid w:val="00B47848"/>
    <w:rsid w:val="00B478B0"/>
    <w:rsid w:val="00B478F5"/>
    <w:rsid w:val="00B47921"/>
    <w:rsid w:val="00B479D4"/>
    <w:rsid w:val="00B479D9"/>
    <w:rsid w:val="00B47A12"/>
    <w:rsid w:val="00B47A54"/>
    <w:rsid w:val="00B47B39"/>
    <w:rsid w:val="00B47B5A"/>
    <w:rsid w:val="00B47C61"/>
    <w:rsid w:val="00B47C99"/>
    <w:rsid w:val="00B47CC9"/>
    <w:rsid w:val="00B47DF8"/>
    <w:rsid w:val="00B47DF9"/>
    <w:rsid w:val="00B47EB5"/>
    <w:rsid w:val="00B47ECE"/>
    <w:rsid w:val="00B5001B"/>
    <w:rsid w:val="00B50082"/>
    <w:rsid w:val="00B50272"/>
    <w:rsid w:val="00B50339"/>
    <w:rsid w:val="00B5039E"/>
    <w:rsid w:val="00B50410"/>
    <w:rsid w:val="00B50563"/>
    <w:rsid w:val="00B5065A"/>
    <w:rsid w:val="00B50745"/>
    <w:rsid w:val="00B508A6"/>
    <w:rsid w:val="00B508CB"/>
    <w:rsid w:val="00B509BA"/>
    <w:rsid w:val="00B50A02"/>
    <w:rsid w:val="00B50ABC"/>
    <w:rsid w:val="00B50B5E"/>
    <w:rsid w:val="00B50B8E"/>
    <w:rsid w:val="00B50C07"/>
    <w:rsid w:val="00B50CC6"/>
    <w:rsid w:val="00B50CDB"/>
    <w:rsid w:val="00B50D21"/>
    <w:rsid w:val="00B50D51"/>
    <w:rsid w:val="00B50DB9"/>
    <w:rsid w:val="00B50E2B"/>
    <w:rsid w:val="00B50F1E"/>
    <w:rsid w:val="00B50F5A"/>
    <w:rsid w:val="00B50F76"/>
    <w:rsid w:val="00B50FB8"/>
    <w:rsid w:val="00B50FE3"/>
    <w:rsid w:val="00B51091"/>
    <w:rsid w:val="00B510A0"/>
    <w:rsid w:val="00B510F2"/>
    <w:rsid w:val="00B5125B"/>
    <w:rsid w:val="00B51297"/>
    <w:rsid w:val="00B512D1"/>
    <w:rsid w:val="00B51338"/>
    <w:rsid w:val="00B513D7"/>
    <w:rsid w:val="00B51448"/>
    <w:rsid w:val="00B5145C"/>
    <w:rsid w:val="00B514E8"/>
    <w:rsid w:val="00B514F9"/>
    <w:rsid w:val="00B5151D"/>
    <w:rsid w:val="00B5159F"/>
    <w:rsid w:val="00B515BF"/>
    <w:rsid w:val="00B515EC"/>
    <w:rsid w:val="00B5163E"/>
    <w:rsid w:val="00B516BA"/>
    <w:rsid w:val="00B51733"/>
    <w:rsid w:val="00B5188F"/>
    <w:rsid w:val="00B518AF"/>
    <w:rsid w:val="00B518C7"/>
    <w:rsid w:val="00B518EA"/>
    <w:rsid w:val="00B51900"/>
    <w:rsid w:val="00B5196D"/>
    <w:rsid w:val="00B519DF"/>
    <w:rsid w:val="00B519ED"/>
    <w:rsid w:val="00B519FB"/>
    <w:rsid w:val="00B51BB4"/>
    <w:rsid w:val="00B51C3E"/>
    <w:rsid w:val="00B51C43"/>
    <w:rsid w:val="00B51CAB"/>
    <w:rsid w:val="00B51CDB"/>
    <w:rsid w:val="00B51D43"/>
    <w:rsid w:val="00B51D65"/>
    <w:rsid w:val="00B51D75"/>
    <w:rsid w:val="00B51E10"/>
    <w:rsid w:val="00B51E42"/>
    <w:rsid w:val="00B51E5C"/>
    <w:rsid w:val="00B51ED8"/>
    <w:rsid w:val="00B52007"/>
    <w:rsid w:val="00B5203B"/>
    <w:rsid w:val="00B52076"/>
    <w:rsid w:val="00B521F5"/>
    <w:rsid w:val="00B5222F"/>
    <w:rsid w:val="00B52275"/>
    <w:rsid w:val="00B52314"/>
    <w:rsid w:val="00B5232F"/>
    <w:rsid w:val="00B5246B"/>
    <w:rsid w:val="00B524E8"/>
    <w:rsid w:val="00B524FD"/>
    <w:rsid w:val="00B525E9"/>
    <w:rsid w:val="00B52635"/>
    <w:rsid w:val="00B52668"/>
    <w:rsid w:val="00B52743"/>
    <w:rsid w:val="00B5280F"/>
    <w:rsid w:val="00B528C0"/>
    <w:rsid w:val="00B52995"/>
    <w:rsid w:val="00B52A14"/>
    <w:rsid w:val="00B52A1F"/>
    <w:rsid w:val="00B52A5D"/>
    <w:rsid w:val="00B52A66"/>
    <w:rsid w:val="00B52B20"/>
    <w:rsid w:val="00B52BD7"/>
    <w:rsid w:val="00B52C1E"/>
    <w:rsid w:val="00B52C35"/>
    <w:rsid w:val="00B52C3C"/>
    <w:rsid w:val="00B52C7A"/>
    <w:rsid w:val="00B52D49"/>
    <w:rsid w:val="00B52DBE"/>
    <w:rsid w:val="00B52DC4"/>
    <w:rsid w:val="00B52ED5"/>
    <w:rsid w:val="00B532DC"/>
    <w:rsid w:val="00B5333D"/>
    <w:rsid w:val="00B533E0"/>
    <w:rsid w:val="00B53404"/>
    <w:rsid w:val="00B534EC"/>
    <w:rsid w:val="00B53515"/>
    <w:rsid w:val="00B5351E"/>
    <w:rsid w:val="00B5355E"/>
    <w:rsid w:val="00B53560"/>
    <w:rsid w:val="00B536BB"/>
    <w:rsid w:val="00B536D0"/>
    <w:rsid w:val="00B536E9"/>
    <w:rsid w:val="00B53726"/>
    <w:rsid w:val="00B537DF"/>
    <w:rsid w:val="00B53860"/>
    <w:rsid w:val="00B5388E"/>
    <w:rsid w:val="00B538A5"/>
    <w:rsid w:val="00B53988"/>
    <w:rsid w:val="00B5399F"/>
    <w:rsid w:val="00B53A4E"/>
    <w:rsid w:val="00B53A52"/>
    <w:rsid w:val="00B53B5F"/>
    <w:rsid w:val="00B53B7C"/>
    <w:rsid w:val="00B53C07"/>
    <w:rsid w:val="00B53C32"/>
    <w:rsid w:val="00B53C5D"/>
    <w:rsid w:val="00B53C7E"/>
    <w:rsid w:val="00B53C81"/>
    <w:rsid w:val="00B53D3C"/>
    <w:rsid w:val="00B53DBD"/>
    <w:rsid w:val="00B53DC0"/>
    <w:rsid w:val="00B53DD3"/>
    <w:rsid w:val="00B53E21"/>
    <w:rsid w:val="00B53E82"/>
    <w:rsid w:val="00B53EB0"/>
    <w:rsid w:val="00B53F02"/>
    <w:rsid w:val="00B53F5B"/>
    <w:rsid w:val="00B53FAB"/>
    <w:rsid w:val="00B53FC2"/>
    <w:rsid w:val="00B53FF4"/>
    <w:rsid w:val="00B540A5"/>
    <w:rsid w:val="00B540CB"/>
    <w:rsid w:val="00B540E3"/>
    <w:rsid w:val="00B541BE"/>
    <w:rsid w:val="00B541D6"/>
    <w:rsid w:val="00B54250"/>
    <w:rsid w:val="00B543C4"/>
    <w:rsid w:val="00B5443F"/>
    <w:rsid w:val="00B5447E"/>
    <w:rsid w:val="00B544C4"/>
    <w:rsid w:val="00B5454D"/>
    <w:rsid w:val="00B54565"/>
    <w:rsid w:val="00B545F4"/>
    <w:rsid w:val="00B54635"/>
    <w:rsid w:val="00B5472C"/>
    <w:rsid w:val="00B5485B"/>
    <w:rsid w:val="00B54898"/>
    <w:rsid w:val="00B548F1"/>
    <w:rsid w:val="00B54950"/>
    <w:rsid w:val="00B54960"/>
    <w:rsid w:val="00B549C6"/>
    <w:rsid w:val="00B54A7B"/>
    <w:rsid w:val="00B54D01"/>
    <w:rsid w:val="00B54D0F"/>
    <w:rsid w:val="00B54D58"/>
    <w:rsid w:val="00B54D81"/>
    <w:rsid w:val="00B54D96"/>
    <w:rsid w:val="00B54D9C"/>
    <w:rsid w:val="00B54DF9"/>
    <w:rsid w:val="00B54E07"/>
    <w:rsid w:val="00B54E20"/>
    <w:rsid w:val="00B54E3A"/>
    <w:rsid w:val="00B54E3E"/>
    <w:rsid w:val="00B54EDA"/>
    <w:rsid w:val="00B54F57"/>
    <w:rsid w:val="00B54FB2"/>
    <w:rsid w:val="00B55109"/>
    <w:rsid w:val="00B55149"/>
    <w:rsid w:val="00B5516A"/>
    <w:rsid w:val="00B55172"/>
    <w:rsid w:val="00B5522F"/>
    <w:rsid w:val="00B552AF"/>
    <w:rsid w:val="00B5530B"/>
    <w:rsid w:val="00B553DA"/>
    <w:rsid w:val="00B553FD"/>
    <w:rsid w:val="00B55402"/>
    <w:rsid w:val="00B55427"/>
    <w:rsid w:val="00B55462"/>
    <w:rsid w:val="00B55479"/>
    <w:rsid w:val="00B5558F"/>
    <w:rsid w:val="00B55612"/>
    <w:rsid w:val="00B55661"/>
    <w:rsid w:val="00B556ED"/>
    <w:rsid w:val="00B5572D"/>
    <w:rsid w:val="00B5573A"/>
    <w:rsid w:val="00B5573D"/>
    <w:rsid w:val="00B5584A"/>
    <w:rsid w:val="00B55862"/>
    <w:rsid w:val="00B558DE"/>
    <w:rsid w:val="00B559A4"/>
    <w:rsid w:val="00B559A7"/>
    <w:rsid w:val="00B559B6"/>
    <w:rsid w:val="00B55A20"/>
    <w:rsid w:val="00B55A5B"/>
    <w:rsid w:val="00B55B08"/>
    <w:rsid w:val="00B55B58"/>
    <w:rsid w:val="00B55C08"/>
    <w:rsid w:val="00B55D74"/>
    <w:rsid w:val="00B55DCC"/>
    <w:rsid w:val="00B55F05"/>
    <w:rsid w:val="00B55F42"/>
    <w:rsid w:val="00B56006"/>
    <w:rsid w:val="00B56054"/>
    <w:rsid w:val="00B56167"/>
    <w:rsid w:val="00B561FF"/>
    <w:rsid w:val="00B562A9"/>
    <w:rsid w:val="00B562F5"/>
    <w:rsid w:val="00B5634D"/>
    <w:rsid w:val="00B5640F"/>
    <w:rsid w:val="00B5657D"/>
    <w:rsid w:val="00B56621"/>
    <w:rsid w:val="00B56692"/>
    <w:rsid w:val="00B56762"/>
    <w:rsid w:val="00B5677D"/>
    <w:rsid w:val="00B5678E"/>
    <w:rsid w:val="00B567F0"/>
    <w:rsid w:val="00B5683D"/>
    <w:rsid w:val="00B56871"/>
    <w:rsid w:val="00B568C5"/>
    <w:rsid w:val="00B568F6"/>
    <w:rsid w:val="00B5692C"/>
    <w:rsid w:val="00B569F0"/>
    <w:rsid w:val="00B56A0A"/>
    <w:rsid w:val="00B56A0D"/>
    <w:rsid w:val="00B56A1A"/>
    <w:rsid w:val="00B56A53"/>
    <w:rsid w:val="00B56BE2"/>
    <w:rsid w:val="00B56BEB"/>
    <w:rsid w:val="00B56C76"/>
    <w:rsid w:val="00B56D3A"/>
    <w:rsid w:val="00B56D80"/>
    <w:rsid w:val="00B56E28"/>
    <w:rsid w:val="00B56EA2"/>
    <w:rsid w:val="00B56FA0"/>
    <w:rsid w:val="00B56FE4"/>
    <w:rsid w:val="00B57112"/>
    <w:rsid w:val="00B57174"/>
    <w:rsid w:val="00B571AF"/>
    <w:rsid w:val="00B57200"/>
    <w:rsid w:val="00B57344"/>
    <w:rsid w:val="00B5737B"/>
    <w:rsid w:val="00B57405"/>
    <w:rsid w:val="00B57469"/>
    <w:rsid w:val="00B57473"/>
    <w:rsid w:val="00B57616"/>
    <w:rsid w:val="00B57624"/>
    <w:rsid w:val="00B57668"/>
    <w:rsid w:val="00B57684"/>
    <w:rsid w:val="00B576EC"/>
    <w:rsid w:val="00B5772D"/>
    <w:rsid w:val="00B57840"/>
    <w:rsid w:val="00B57898"/>
    <w:rsid w:val="00B57A06"/>
    <w:rsid w:val="00B57B2F"/>
    <w:rsid w:val="00B57B4A"/>
    <w:rsid w:val="00B57B89"/>
    <w:rsid w:val="00B57BEA"/>
    <w:rsid w:val="00B57C9E"/>
    <w:rsid w:val="00B57CE8"/>
    <w:rsid w:val="00B57D19"/>
    <w:rsid w:val="00B57FB4"/>
    <w:rsid w:val="00B6006C"/>
    <w:rsid w:val="00B600CB"/>
    <w:rsid w:val="00B60103"/>
    <w:rsid w:val="00B6026F"/>
    <w:rsid w:val="00B60346"/>
    <w:rsid w:val="00B603F0"/>
    <w:rsid w:val="00B603F1"/>
    <w:rsid w:val="00B604AD"/>
    <w:rsid w:val="00B60575"/>
    <w:rsid w:val="00B6066B"/>
    <w:rsid w:val="00B607B0"/>
    <w:rsid w:val="00B607BC"/>
    <w:rsid w:val="00B608C2"/>
    <w:rsid w:val="00B608EE"/>
    <w:rsid w:val="00B6096A"/>
    <w:rsid w:val="00B609BF"/>
    <w:rsid w:val="00B60A92"/>
    <w:rsid w:val="00B60A9E"/>
    <w:rsid w:val="00B60B45"/>
    <w:rsid w:val="00B60BB3"/>
    <w:rsid w:val="00B60BBB"/>
    <w:rsid w:val="00B60C58"/>
    <w:rsid w:val="00B60CFF"/>
    <w:rsid w:val="00B60D28"/>
    <w:rsid w:val="00B60D47"/>
    <w:rsid w:val="00B60EE9"/>
    <w:rsid w:val="00B60F23"/>
    <w:rsid w:val="00B60F8E"/>
    <w:rsid w:val="00B60FFE"/>
    <w:rsid w:val="00B6101C"/>
    <w:rsid w:val="00B6107A"/>
    <w:rsid w:val="00B610AA"/>
    <w:rsid w:val="00B610E4"/>
    <w:rsid w:val="00B610EB"/>
    <w:rsid w:val="00B61118"/>
    <w:rsid w:val="00B61165"/>
    <w:rsid w:val="00B6117F"/>
    <w:rsid w:val="00B611F7"/>
    <w:rsid w:val="00B61215"/>
    <w:rsid w:val="00B613C6"/>
    <w:rsid w:val="00B613FE"/>
    <w:rsid w:val="00B614A3"/>
    <w:rsid w:val="00B614C5"/>
    <w:rsid w:val="00B614CE"/>
    <w:rsid w:val="00B6153C"/>
    <w:rsid w:val="00B6154F"/>
    <w:rsid w:val="00B6157D"/>
    <w:rsid w:val="00B6158F"/>
    <w:rsid w:val="00B615A4"/>
    <w:rsid w:val="00B61634"/>
    <w:rsid w:val="00B616FD"/>
    <w:rsid w:val="00B61708"/>
    <w:rsid w:val="00B61713"/>
    <w:rsid w:val="00B6171B"/>
    <w:rsid w:val="00B617ED"/>
    <w:rsid w:val="00B61811"/>
    <w:rsid w:val="00B61827"/>
    <w:rsid w:val="00B61835"/>
    <w:rsid w:val="00B61855"/>
    <w:rsid w:val="00B61951"/>
    <w:rsid w:val="00B61968"/>
    <w:rsid w:val="00B619AD"/>
    <w:rsid w:val="00B61A09"/>
    <w:rsid w:val="00B61A29"/>
    <w:rsid w:val="00B61AA6"/>
    <w:rsid w:val="00B61B6E"/>
    <w:rsid w:val="00B61BC4"/>
    <w:rsid w:val="00B61D7C"/>
    <w:rsid w:val="00B61DB4"/>
    <w:rsid w:val="00B61DB7"/>
    <w:rsid w:val="00B61DC0"/>
    <w:rsid w:val="00B61E31"/>
    <w:rsid w:val="00B61E32"/>
    <w:rsid w:val="00B61E33"/>
    <w:rsid w:val="00B61E8E"/>
    <w:rsid w:val="00B61ECB"/>
    <w:rsid w:val="00B61F18"/>
    <w:rsid w:val="00B61FEB"/>
    <w:rsid w:val="00B62045"/>
    <w:rsid w:val="00B62054"/>
    <w:rsid w:val="00B62063"/>
    <w:rsid w:val="00B6207D"/>
    <w:rsid w:val="00B620AC"/>
    <w:rsid w:val="00B620AD"/>
    <w:rsid w:val="00B620B9"/>
    <w:rsid w:val="00B62128"/>
    <w:rsid w:val="00B62139"/>
    <w:rsid w:val="00B62182"/>
    <w:rsid w:val="00B62200"/>
    <w:rsid w:val="00B6228F"/>
    <w:rsid w:val="00B622D3"/>
    <w:rsid w:val="00B62346"/>
    <w:rsid w:val="00B62383"/>
    <w:rsid w:val="00B6242C"/>
    <w:rsid w:val="00B6250E"/>
    <w:rsid w:val="00B62583"/>
    <w:rsid w:val="00B625A3"/>
    <w:rsid w:val="00B625E0"/>
    <w:rsid w:val="00B625E7"/>
    <w:rsid w:val="00B62620"/>
    <w:rsid w:val="00B6267F"/>
    <w:rsid w:val="00B626E1"/>
    <w:rsid w:val="00B626E2"/>
    <w:rsid w:val="00B6270B"/>
    <w:rsid w:val="00B62765"/>
    <w:rsid w:val="00B6277A"/>
    <w:rsid w:val="00B6278D"/>
    <w:rsid w:val="00B62831"/>
    <w:rsid w:val="00B62838"/>
    <w:rsid w:val="00B6283D"/>
    <w:rsid w:val="00B62927"/>
    <w:rsid w:val="00B62974"/>
    <w:rsid w:val="00B62A7C"/>
    <w:rsid w:val="00B62A88"/>
    <w:rsid w:val="00B62AD5"/>
    <w:rsid w:val="00B62B01"/>
    <w:rsid w:val="00B62B0D"/>
    <w:rsid w:val="00B62B58"/>
    <w:rsid w:val="00B62C69"/>
    <w:rsid w:val="00B62CC2"/>
    <w:rsid w:val="00B62E18"/>
    <w:rsid w:val="00B62E3F"/>
    <w:rsid w:val="00B62E9B"/>
    <w:rsid w:val="00B62EF9"/>
    <w:rsid w:val="00B62F17"/>
    <w:rsid w:val="00B62F29"/>
    <w:rsid w:val="00B62F3C"/>
    <w:rsid w:val="00B62F95"/>
    <w:rsid w:val="00B6305D"/>
    <w:rsid w:val="00B63069"/>
    <w:rsid w:val="00B630A5"/>
    <w:rsid w:val="00B630AD"/>
    <w:rsid w:val="00B6310A"/>
    <w:rsid w:val="00B63125"/>
    <w:rsid w:val="00B6320E"/>
    <w:rsid w:val="00B63282"/>
    <w:rsid w:val="00B632E5"/>
    <w:rsid w:val="00B63360"/>
    <w:rsid w:val="00B63366"/>
    <w:rsid w:val="00B6336D"/>
    <w:rsid w:val="00B63415"/>
    <w:rsid w:val="00B63447"/>
    <w:rsid w:val="00B6356F"/>
    <w:rsid w:val="00B6357C"/>
    <w:rsid w:val="00B635B5"/>
    <w:rsid w:val="00B635FD"/>
    <w:rsid w:val="00B636A5"/>
    <w:rsid w:val="00B636D8"/>
    <w:rsid w:val="00B636F7"/>
    <w:rsid w:val="00B637EB"/>
    <w:rsid w:val="00B6384D"/>
    <w:rsid w:val="00B638AE"/>
    <w:rsid w:val="00B638DC"/>
    <w:rsid w:val="00B638F7"/>
    <w:rsid w:val="00B638FF"/>
    <w:rsid w:val="00B639A4"/>
    <w:rsid w:val="00B63A30"/>
    <w:rsid w:val="00B63A66"/>
    <w:rsid w:val="00B63A97"/>
    <w:rsid w:val="00B63A9C"/>
    <w:rsid w:val="00B63B31"/>
    <w:rsid w:val="00B63B5C"/>
    <w:rsid w:val="00B63BC2"/>
    <w:rsid w:val="00B63C88"/>
    <w:rsid w:val="00B63D6B"/>
    <w:rsid w:val="00B63DFB"/>
    <w:rsid w:val="00B63E0B"/>
    <w:rsid w:val="00B63F10"/>
    <w:rsid w:val="00B63FEA"/>
    <w:rsid w:val="00B63FEE"/>
    <w:rsid w:val="00B63FFB"/>
    <w:rsid w:val="00B64019"/>
    <w:rsid w:val="00B640DE"/>
    <w:rsid w:val="00B6412D"/>
    <w:rsid w:val="00B6418D"/>
    <w:rsid w:val="00B642B1"/>
    <w:rsid w:val="00B642B8"/>
    <w:rsid w:val="00B642CB"/>
    <w:rsid w:val="00B64347"/>
    <w:rsid w:val="00B6441C"/>
    <w:rsid w:val="00B64453"/>
    <w:rsid w:val="00B64455"/>
    <w:rsid w:val="00B644B2"/>
    <w:rsid w:val="00B64571"/>
    <w:rsid w:val="00B64658"/>
    <w:rsid w:val="00B646B9"/>
    <w:rsid w:val="00B646D0"/>
    <w:rsid w:val="00B646DE"/>
    <w:rsid w:val="00B64708"/>
    <w:rsid w:val="00B64745"/>
    <w:rsid w:val="00B64778"/>
    <w:rsid w:val="00B647BA"/>
    <w:rsid w:val="00B647FD"/>
    <w:rsid w:val="00B64831"/>
    <w:rsid w:val="00B64855"/>
    <w:rsid w:val="00B64871"/>
    <w:rsid w:val="00B64878"/>
    <w:rsid w:val="00B649A1"/>
    <w:rsid w:val="00B649F6"/>
    <w:rsid w:val="00B64A76"/>
    <w:rsid w:val="00B64ABB"/>
    <w:rsid w:val="00B64B9E"/>
    <w:rsid w:val="00B64BA9"/>
    <w:rsid w:val="00B64C9A"/>
    <w:rsid w:val="00B64D02"/>
    <w:rsid w:val="00B64D61"/>
    <w:rsid w:val="00B64E08"/>
    <w:rsid w:val="00B64E1B"/>
    <w:rsid w:val="00B64E1C"/>
    <w:rsid w:val="00B64E31"/>
    <w:rsid w:val="00B64EE5"/>
    <w:rsid w:val="00B6504F"/>
    <w:rsid w:val="00B65061"/>
    <w:rsid w:val="00B650F2"/>
    <w:rsid w:val="00B65159"/>
    <w:rsid w:val="00B651CD"/>
    <w:rsid w:val="00B65254"/>
    <w:rsid w:val="00B6525B"/>
    <w:rsid w:val="00B65274"/>
    <w:rsid w:val="00B65329"/>
    <w:rsid w:val="00B653BE"/>
    <w:rsid w:val="00B65431"/>
    <w:rsid w:val="00B65545"/>
    <w:rsid w:val="00B65661"/>
    <w:rsid w:val="00B656C4"/>
    <w:rsid w:val="00B656FE"/>
    <w:rsid w:val="00B6576B"/>
    <w:rsid w:val="00B6579F"/>
    <w:rsid w:val="00B65826"/>
    <w:rsid w:val="00B6584E"/>
    <w:rsid w:val="00B65879"/>
    <w:rsid w:val="00B6588F"/>
    <w:rsid w:val="00B65927"/>
    <w:rsid w:val="00B659CD"/>
    <w:rsid w:val="00B65A53"/>
    <w:rsid w:val="00B65A86"/>
    <w:rsid w:val="00B65A9B"/>
    <w:rsid w:val="00B65AA5"/>
    <w:rsid w:val="00B65CF2"/>
    <w:rsid w:val="00B65DED"/>
    <w:rsid w:val="00B65E77"/>
    <w:rsid w:val="00B65E90"/>
    <w:rsid w:val="00B65ECA"/>
    <w:rsid w:val="00B65F1A"/>
    <w:rsid w:val="00B65F43"/>
    <w:rsid w:val="00B6605C"/>
    <w:rsid w:val="00B6606F"/>
    <w:rsid w:val="00B6607E"/>
    <w:rsid w:val="00B6609A"/>
    <w:rsid w:val="00B660A7"/>
    <w:rsid w:val="00B66133"/>
    <w:rsid w:val="00B6617B"/>
    <w:rsid w:val="00B661CC"/>
    <w:rsid w:val="00B66259"/>
    <w:rsid w:val="00B66296"/>
    <w:rsid w:val="00B66319"/>
    <w:rsid w:val="00B6634E"/>
    <w:rsid w:val="00B663A5"/>
    <w:rsid w:val="00B663EC"/>
    <w:rsid w:val="00B66447"/>
    <w:rsid w:val="00B6656D"/>
    <w:rsid w:val="00B666D9"/>
    <w:rsid w:val="00B66719"/>
    <w:rsid w:val="00B6671A"/>
    <w:rsid w:val="00B66787"/>
    <w:rsid w:val="00B6679D"/>
    <w:rsid w:val="00B667FE"/>
    <w:rsid w:val="00B66835"/>
    <w:rsid w:val="00B66841"/>
    <w:rsid w:val="00B668B5"/>
    <w:rsid w:val="00B668B9"/>
    <w:rsid w:val="00B668D5"/>
    <w:rsid w:val="00B668EB"/>
    <w:rsid w:val="00B668F7"/>
    <w:rsid w:val="00B66917"/>
    <w:rsid w:val="00B6698A"/>
    <w:rsid w:val="00B669F7"/>
    <w:rsid w:val="00B66A52"/>
    <w:rsid w:val="00B66A5C"/>
    <w:rsid w:val="00B66A76"/>
    <w:rsid w:val="00B66AFD"/>
    <w:rsid w:val="00B66B0D"/>
    <w:rsid w:val="00B66B62"/>
    <w:rsid w:val="00B66B9D"/>
    <w:rsid w:val="00B66BDA"/>
    <w:rsid w:val="00B66C3D"/>
    <w:rsid w:val="00B66C56"/>
    <w:rsid w:val="00B66C68"/>
    <w:rsid w:val="00B66CE4"/>
    <w:rsid w:val="00B66DB6"/>
    <w:rsid w:val="00B66DFF"/>
    <w:rsid w:val="00B66EBE"/>
    <w:rsid w:val="00B66F4E"/>
    <w:rsid w:val="00B66FF9"/>
    <w:rsid w:val="00B671AD"/>
    <w:rsid w:val="00B67239"/>
    <w:rsid w:val="00B6728C"/>
    <w:rsid w:val="00B672BD"/>
    <w:rsid w:val="00B67302"/>
    <w:rsid w:val="00B6736A"/>
    <w:rsid w:val="00B673AA"/>
    <w:rsid w:val="00B673B0"/>
    <w:rsid w:val="00B673D7"/>
    <w:rsid w:val="00B67475"/>
    <w:rsid w:val="00B674C6"/>
    <w:rsid w:val="00B674D0"/>
    <w:rsid w:val="00B674DA"/>
    <w:rsid w:val="00B67503"/>
    <w:rsid w:val="00B6751C"/>
    <w:rsid w:val="00B675AE"/>
    <w:rsid w:val="00B675ED"/>
    <w:rsid w:val="00B676C8"/>
    <w:rsid w:val="00B67750"/>
    <w:rsid w:val="00B6775C"/>
    <w:rsid w:val="00B677A5"/>
    <w:rsid w:val="00B67A24"/>
    <w:rsid w:val="00B67AE4"/>
    <w:rsid w:val="00B67B62"/>
    <w:rsid w:val="00B67C32"/>
    <w:rsid w:val="00B67D2D"/>
    <w:rsid w:val="00B67D94"/>
    <w:rsid w:val="00B67D9B"/>
    <w:rsid w:val="00B67E3F"/>
    <w:rsid w:val="00B67F3C"/>
    <w:rsid w:val="00B67F50"/>
    <w:rsid w:val="00B70028"/>
    <w:rsid w:val="00B70062"/>
    <w:rsid w:val="00B70170"/>
    <w:rsid w:val="00B70194"/>
    <w:rsid w:val="00B7019C"/>
    <w:rsid w:val="00B70240"/>
    <w:rsid w:val="00B702B1"/>
    <w:rsid w:val="00B702BF"/>
    <w:rsid w:val="00B70384"/>
    <w:rsid w:val="00B70393"/>
    <w:rsid w:val="00B7040E"/>
    <w:rsid w:val="00B70423"/>
    <w:rsid w:val="00B7050F"/>
    <w:rsid w:val="00B705FF"/>
    <w:rsid w:val="00B70604"/>
    <w:rsid w:val="00B70793"/>
    <w:rsid w:val="00B707D1"/>
    <w:rsid w:val="00B70850"/>
    <w:rsid w:val="00B708AA"/>
    <w:rsid w:val="00B708C2"/>
    <w:rsid w:val="00B708D6"/>
    <w:rsid w:val="00B70973"/>
    <w:rsid w:val="00B70AB6"/>
    <w:rsid w:val="00B70AED"/>
    <w:rsid w:val="00B70BA6"/>
    <w:rsid w:val="00B70C05"/>
    <w:rsid w:val="00B70C1B"/>
    <w:rsid w:val="00B70C7C"/>
    <w:rsid w:val="00B70D3D"/>
    <w:rsid w:val="00B70DBD"/>
    <w:rsid w:val="00B70DD7"/>
    <w:rsid w:val="00B70E48"/>
    <w:rsid w:val="00B70E83"/>
    <w:rsid w:val="00B70E8A"/>
    <w:rsid w:val="00B71022"/>
    <w:rsid w:val="00B710DA"/>
    <w:rsid w:val="00B710F5"/>
    <w:rsid w:val="00B71175"/>
    <w:rsid w:val="00B711A8"/>
    <w:rsid w:val="00B711EF"/>
    <w:rsid w:val="00B712E8"/>
    <w:rsid w:val="00B7133A"/>
    <w:rsid w:val="00B7135E"/>
    <w:rsid w:val="00B71367"/>
    <w:rsid w:val="00B7139E"/>
    <w:rsid w:val="00B713D0"/>
    <w:rsid w:val="00B7144A"/>
    <w:rsid w:val="00B715A1"/>
    <w:rsid w:val="00B715E0"/>
    <w:rsid w:val="00B715E9"/>
    <w:rsid w:val="00B71609"/>
    <w:rsid w:val="00B717E6"/>
    <w:rsid w:val="00B71880"/>
    <w:rsid w:val="00B718EE"/>
    <w:rsid w:val="00B719E3"/>
    <w:rsid w:val="00B71AF7"/>
    <w:rsid w:val="00B71C00"/>
    <w:rsid w:val="00B71C64"/>
    <w:rsid w:val="00B71C97"/>
    <w:rsid w:val="00B71CD8"/>
    <w:rsid w:val="00B71D09"/>
    <w:rsid w:val="00B71E12"/>
    <w:rsid w:val="00B71F28"/>
    <w:rsid w:val="00B71F6F"/>
    <w:rsid w:val="00B71FB0"/>
    <w:rsid w:val="00B72051"/>
    <w:rsid w:val="00B720B9"/>
    <w:rsid w:val="00B720E6"/>
    <w:rsid w:val="00B7215A"/>
    <w:rsid w:val="00B72193"/>
    <w:rsid w:val="00B721C3"/>
    <w:rsid w:val="00B7228A"/>
    <w:rsid w:val="00B722C5"/>
    <w:rsid w:val="00B722FA"/>
    <w:rsid w:val="00B72322"/>
    <w:rsid w:val="00B72427"/>
    <w:rsid w:val="00B72498"/>
    <w:rsid w:val="00B7250C"/>
    <w:rsid w:val="00B72538"/>
    <w:rsid w:val="00B725A1"/>
    <w:rsid w:val="00B7268F"/>
    <w:rsid w:val="00B72729"/>
    <w:rsid w:val="00B72861"/>
    <w:rsid w:val="00B7290C"/>
    <w:rsid w:val="00B72914"/>
    <w:rsid w:val="00B72A56"/>
    <w:rsid w:val="00B72B52"/>
    <w:rsid w:val="00B72D9C"/>
    <w:rsid w:val="00B72DF0"/>
    <w:rsid w:val="00B72E3B"/>
    <w:rsid w:val="00B72F4F"/>
    <w:rsid w:val="00B72F5F"/>
    <w:rsid w:val="00B72FB2"/>
    <w:rsid w:val="00B73022"/>
    <w:rsid w:val="00B7304A"/>
    <w:rsid w:val="00B730B8"/>
    <w:rsid w:val="00B730BC"/>
    <w:rsid w:val="00B73272"/>
    <w:rsid w:val="00B7328F"/>
    <w:rsid w:val="00B7338A"/>
    <w:rsid w:val="00B73394"/>
    <w:rsid w:val="00B733A0"/>
    <w:rsid w:val="00B733DB"/>
    <w:rsid w:val="00B733EA"/>
    <w:rsid w:val="00B7348B"/>
    <w:rsid w:val="00B73542"/>
    <w:rsid w:val="00B7359B"/>
    <w:rsid w:val="00B735B4"/>
    <w:rsid w:val="00B73630"/>
    <w:rsid w:val="00B73694"/>
    <w:rsid w:val="00B7369F"/>
    <w:rsid w:val="00B73793"/>
    <w:rsid w:val="00B737E0"/>
    <w:rsid w:val="00B73801"/>
    <w:rsid w:val="00B7387A"/>
    <w:rsid w:val="00B738D6"/>
    <w:rsid w:val="00B73927"/>
    <w:rsid w:val="00B73930"/>
    <w:rsid w:val="00B73954"/>
    <w:rsid w:val="00B73A81"/>
    <w:rsid w:val="00B73AD2"/>
    <w:rsid w:val="00B73AE6"/>
    <w:rsid w:val="00B73B6D"/>
    <w:rsid w:val="00B73BBE"/>
    <w:rsid w:val="00B73BCA"/>
    <w:rsid w:val="00B73C35"/>
    <w:rsid w:val="00B73C7C"/>
    <w:rsid w:val="00B73CAF"/>
    <w:rsid w:val="00B73D12"/>
    <w:rsid w:val="00B73D18"/>
    <w:rsid w:val="00B73D89"/>
    <w:rsid w:val="00B73D92"/>
    <w:rsid w:val="00B73E45"/>
    <w:rsid w:val="00B73E9E"/>
    <w:rsid w:val="00B73EFB"/>
    <w:rsid w:val="00B73F2A"/>
    <w:rsid w:val="00B7414E"/>
    <w:rsid w:val="00B741B1"/>
    <w:rsid w:val="00B7428D"/>
    <w:rsid w:val="00B742AD"/>
    <w:rsid w:val="00B7434A"/>
    <w:rsid w:val="00B74378"/>
    <w:rsid w:val="00B7439F"/>
    <w:rsid w:val="00B743BD"/>
    <w:rsid w:val="00B7447D"/>
    <w:rsid w:val="00B744C0"/>
    <w:rsid w:val="00B7450B"/>
    <w:rsid w:val="00B7453A"/>
    <w:rsid w:val="00B7454F"/>
    <w:rsid w:val="00B745A2"/>
    <w:rsid w:val="00B745BD"/>
    <w:rsid w:val="00B745E8"/>
    <w:rsid w:val="00B74603"/>
    <w:rsid w:val="00B7460C"/>
    <w:rsid w:val="00B7465F"/>
    <w:rsid w:val="00B7467A"/>
    <w:rsid w:val="00B74683"/>
    <w:rsid w:val="00B746BF"/>
    <w:rsid w:val="00B74766"/>
    <w:rsid w:val="00B74790"/>
    <w:rsid w:val="00B74803"/>
    <w:rsid w:val="00B74817"/>
    <w:rsid w:val="00B7486E"/>
    <w:rsid w:val="00B74871"/>
    <w:rsid w:val="00B74895"/>
    <w:rsid w:val="00B74938"/>
    <w:rsid w:val="00B749A6"/>
    <w:rsid w:val="00B749CE"/>
    <w:rsid w:val="00B74A72"/>
    <w:rsid w:val="00B74BAF"/>
    <w:rsid w:val="00B74BC4"/>
    <w:rsid w:val="00B74C93"/>
    <w:rsid w:val="00B74D73"/>
    <w:rsid w:val="00B74D7B"/>
    <w:rsid w:val="00B74DD5"/>
    <w:rsid w:val="00B74E34"/>
    <w:rsid w:val="00B74E3A"/>
    <w:rsid w:val="00B74E52"/>
    <w:rsid w:val="00B74EEB"/>
    <w:rsid w:val="00B74F13"/>
    <w:rsid w:val="00B74F49"/>
    <w:rsid w:val="00B74FC1"/>
    <w:rsid w:val="00B750BE"/>
    <w:rsid w:val="00B751F9"/>
    <w:rsid w:val="00B7522C"/>
    <w:rsid w:val="00B75249"/>
    <w:rsid w:val="00B75250"/>
    <w:rsid w:val="00B75296"/>
    <w:rsid w:val="00B75358"/>
    <w:rsid w:val="00B7536C"/>
    <w:rsid w:val="00B75468"/>
    <w:rsid w:val="00B75493"/>
    <w:rsid w:val="00B75512"/>
    <w:rsid w:val="00B75521"/>
    <w:rsid w:val="00B75532"/>
    <w:rsid w:val="00B7556B"/>
    <w:rsid w:val="00B75588"/>
    <w:rsid w:val="00B7560F"/>
    <w:rsid w:val="00B75655"/>
    <w:rsid w:val="00B75786"/>
    <w:rsid w:val="00B757A4"/>
    <w:rsid w:val="00B757B4"/>
    <w:rsid w:val="00B757BC"/>
    <w:rsid w:val="00B75807"/>
    <w:rsid w:val="00B758E4"/>
    <w:rsid w:val="00B7592D"/>
    <w:rsid w:val="00B7595A"/>
    <w:rsid w:val="00B7595B"/>
    <w:rsid w:val="00B75983"/>
    <w:rsid w:val="00B75A3C"/>
    <w:rsid w:val="00B75A7A"/>
    <w:rsid w:val="00B75AB2"/>
    <w:rsid w:val="00B75AF7"/>
    <w:rsid w:val="00B75AF9"/>
    <w:rsid w:val="00B75B0F"/>
    <w:rsid w:val="00B75B4B"/>
    <w:rsid w:val="00B75BC9"/>
    <w:rsid w:val="00B75C02"/>
    <w:rsid w:val="00B75C27"/>
    <w:rsid w:val="00B75CE9"/>
    <w:rsid w:val="00B75CEC"/>
    <w:rsid w:val="00B75D3E"/>
    <w:rsid w:val="00B75D64"/>
    <w:rsid w:val="00B75DD2"/>
    <w:rsid w:val="00B75E03"/>
    <w:rsid w:val="00B75E62"/>
    <w:rsid w:val="00B75E9F"/>
    <w:rsid w:val="00B75EC7"/>
    <w:rsid w:val="00B75F07"/>
    <w:rsid w:val="00B75F36"/>
    <w:rsid w:val="00B76041"/>
    <w:rsid w:val="00B76102"/>
    <w:rsid w:val="00B761AA"/>
    <w:rsid w:val="00B761D4"/>
    <w:rsid w:val="00B761EA"/>
    <w:rsid w:val="00B761F0"/>
    <w:rsid w:val="00B76202"/>
    <w:rsid w:val="00B76255"/>
    <w:rsid w:val="00B7626F"/>
    <w:rsid w:val="00B762C5"/>
    <w:rsid w:val="00B763DD"/>
    <w:rsid w:val="00B7642A"/>
    <w:rsid w:val="00B764BD"/>
    <w:rsid w:val="00B764D9"/>
    <w:rsid w:val="00B764FE"/>
    <w:rsid w:val="00B76542"/>
    <w:rsid w:val="00B76612"/>
    <w:rsid w:val="00B766B1"/>
    <w:rsid w:val="00B766E3"/>
    <w:rsid w:val="00B76710"/>
    <w:rsid w:val="00B7672B"/>
    <w:rsid w:val="00B767AE"/>
    <w:rsid w:val="00B767AF"/>
    <w:rsid w:val="00B76864"/>
    <w:rsid w:val="00B76869"/>
    <w:rsid w:val="00B76962"/>
    <w:rsid w:val="00B769C8"/>
    <w:rsid w:val="00B76A54"/>
    <w:rsid w:val="00B76B3F"/>
    <w:rsid w:val="00B76B9C"/>
    <w:rsid w:val="00B76BAA"/>
    <w:rsid w:val="00B76BBD"/>
    <w:rsid w:val="00B76C07"/>
    <w:rsid w:val="00B76CFF"/>
    <w:rsid w:val="00B76D05"/>
    <w:rsid w:val="00B76D2C"/>
    <w:rsid w:val="00B76DC8"/>
    <w:rsid w:val="00B76DC9"/>
    <w:rsid w:val="00B76EA1"/>
    <w:rsid w:val="00B76F44"/>
    <w:rsid w:val="00B76FAA"/>
    <w:rsid w:val="00B76FCC"/>
    <w:rsid w:val="00B770C8"/>
    <w:rsid w:val="00B7718A"/>
    <w:rsid w:val="00B7718E"/>
    <w:rsid w:val="00B771CA"/>
    <w:rsid w:val="00B771F7"/>
    <w:rsid w:val="00B77225"/>
    <w:rsid w:val="00B7725F"/>
    <w:rsid w:val="00B77260"/>
    <w:rsid w:val="00B77272"/>
    <w:rsid w:val="00B772F8"/>
    <w:rsid w:val="00B772F9"/>
    <w:rsid w:val="00B7735A"/>
    <w:rsid w:val="00B77372"/>
    <w:rsid w:val="00B77381"/>
    <w:rsid w:val="00B77399"/>
    <w:rsid w:val="00B773FE"/>
    <w:rsid w:val="00B774A9"/>
    <w:rsid w:val="00B77518"/>
    <w:rsid w:val="00B7757B"/>
    <w:rsid w:val="00B775A1"/>
    <w:rsid w:val="00B775FF"/>
    <w:rsid w:val="00B77641"/>
    <w:rsid w:val="00B7764E"/>
    <w:rsid w:val="00B7765D"/>
    <w:rsid w:val="00B77692"/>
    <w:rsid w:val="00B77716"/>
    <w:rsid w:val="00B777C4"/>
    <w:rsid w:val="00B7785E"/>
    <w:rsid w:val="00B77885"/>
    <w:rsid w:val="00B779FA"/>
    <w:rsid w:val="00B77A61"/>
    <w:rsid w:val="00B77B76"/>
    <w:rsid w:val="00B77B77"/>
    <w:rsid w:val="00B77B9E"/>
    <w:rsid w:val="00B77BF0"/>
    <w:rsid w:val="00B77C03"/>
    <w:rsid w:val="00B77C3D"/>
    <w:rsid w:val="00B77C72"/>
    <w:rsid w:val="00B77C7E"/>
    <w:rsid w:val="00B77D66"/>
    <w:rsid w:val="00B77D81"/>
    <w:rsid w:val="00B8001E"/>
    <w:rsid w:val="00B80056"/>
    <w:rsid w:val="00B8008B"/>
    <w:rsid w:val="00B800DF"/>
    <w:rsid w:val="00B80113"/>
    <w:rsid w:val="00B801C1"/>
    <w:rsid w:val="00B801D5"/>
    <w:rsid w:val="00B801F5"/>
    <w:rsid w:val="00B8024E"/>
    <w:rsid w:val="00B80258"/>
    <w:rsid w:val="00B802A5"/>
    <w:rsid w:val="00B802C0"/>
    <w:rsid w:val="00B802FD"/>
    <w:rsid w:val="00B80345"/>
    <w:rsid w:val="00B80435"/>
    <w:rsid w:val="00B804DD"/>
    <w:rsid w:val="00B80544"/>
    <w:rsid w:val="00B8057C"/>
    <w:rsid w:val="00B80648"/>
    <w:rsid w:val="00B80660"/>
    <w:rsid w:val="00B806CE"/>
    <w:rsid w:val="00B8090F"/>
    <w:rsid w:val="00B8093B"/>
    <w:rsid w:val="00B809B5"/>
    <w:rsid w:val="00B809EC"/>
    <w:rsid w:val="00B80AF4"/>
    <w:rsid w:val="00B80B03"/>
    <w:rsid w:val="00B80BB7"/>
    <w:rsid w:val="00B80CE2"/>
    <w:rsid w:val="00B80D3D"/>
    <w:rsid w:val="00B80D8E"/>
    <w:rsid w:val="00B80E1E"/>
    <w:rsid w:val="00B80E4E"/>
    <w:rsid w:val="00B80EA7"/>
    <w:rsid w:val="00B80EFF"/>
    <w:rsid w:val="00B80F77"/>
    <w:rsid w:val="00B80FF6"/>
    <w:rsid w:val="00B8101F"/>
    <w:rsid w:val="00B8106D"/>
    <w:rsid w:val="00B8109B"/>
    <w:rsid w:val="00B810F7"/>
    <w:rsid w:val="00B81103"/>
    <w:rsid w:val="00B81166"/>
    <w:rsid w:val="00B811EA"/>
    <w:rsid w:val="00B81263"/>
    <w:rsid w:val="00B8128A"/>
    <w:rsid w:val="00B812EA"/>
    <w:rsid w:val="00B812EF"/>
    <w:rsid w:val="00B8133A"/>
    <w:rsid w:val="00B81346"/>
    <w:rsid w:val="00B8135A"/>
    <w:rsid w:val="00B813E3"/>
    <w:rsid w:val="00B81406"/>
    <w:rsid w:val="00B814CD"/>
    <w:rsid w:val="00B814D1"/>
    <w:rsid w:val="00B8164D"/>
    <w:rsid w:val="00B81682"/>
    <w:rsid w:val="00B8169C"/>
    <w:rsid w:val="00B816DE"/>
    <w:rsid w:val="00B8174A"/>
    <w:rsid w:val="00B81769"/>
    <w:rsid w:val="00B817C9"/>
    <w:rsid w:val="00B81802"/>
    <w:rsid w:val="00B81859"/>
    <w:rsid w:val="00B8188E"/>
    <w:rsid w:val="00B818A6"/>
    <w:rsid w:val="00B818F8"/>
    <w:rsid w:val="00B81919"/>
    <w:rsid w:val="00B81946"/>
    <w:rsid w:val="00B81959"/>
    <w:rsid w:val="00B819BC"/>
    <w:rsid w:val="00B81A10"/>
    <w:rsid w:val="00B81A8E"/>
    <w:rsid w:val="00B81B86"/>
    <w:rsid w:val="00B81C12"/>
    <w:rsid w:val="00B81C19"/>
    <w:rsid w:val="00B81C5C"/>
    <w:rsid w:val="00B81CEC"/>
    <w:rsid w:val="00B81D59"/>
    <w:rsid w:val="00B81DB3"/>
    <w:rsid w:val="00B81DE7"/>
    <w:rsid w:val="00B81E4F"/>
    <w:rsid w:val="00B81EF5"/>
    <w:rsid w:val="00B81EFB"/>
    <w:rsid w:val="00B81F51"/>
    <w:rsid w:val="00B81FA6"/>
    <w:rsid w:val="00B81FA7"/>
    <w:rsid w:val="00B81FAA"/>
    <w:rsid w:val="00B82002"/>
    <w:rsid w:val="00B82021"/>
    <w:rsid w:val="00B82024"/>
    <w:rsid w:val="00B82076"/>
    <w:rsid w:val="00B8213A"/>
    <w:rsid w:val="00B82196"/>
    <w:rsid w:val="00B821A1"/>
    <w:rsid w:val="00B821AD"/>
    <w:rsid w:val="00B82225"/>
    <w:rsid w:val="00B822D4"/>
    <w:rsid w:val="00B8238C"/>
    <w:rsid w:val="00B82396"/>
    <w:rsid w:val="00B823E3"/>
    <w:rsid w:val="00B823FF"/>
    <w:rsid w:val="00B82418"/>
    <w:rsid w:val="00B8242F"/>
    <w:rsid w:val="00B8248A"/>
    <w:rsid w:val="00B82491"/>
    <w:rsid w:val="00B824B2"/>
    <w:rsid w:val="00B824D0"/>
    <w:rsid w:val="00B82621"/>
    <w:rsid w:val="00B82661"/>
    <w:rsid w:val="00B8267C"/>
    <w:rsid w:val="00B82690"/>
    <w:rsid w:val="00B826A7"/>
    <w:rsid w:val="00B827CE"/>
    <w:rsid w:val="00B8286C"/>
    <w:rsid w:val="00B82932"/>
    <w:rsid w:val="00B8293C"/>
    <w:rsid w:val="00B82954"/>
    <w:rsid w:val="00B8298E"/>
    <w:rsid w:val="00B82A2F"/>
    <w:rsid w:val="00B82A79"/>
    <w:rsid w:val="00B82AFB"/>
    <w:rsid w:val="00B82B78"/>
    <w:rsid w:val="00B82B83"/>
    <w:rsid w:val="00B82BB3"/>
    <w:rsid w:val="00B82D00"/>
    <w:rsid w:val="00B82D69"/>
    <w:rsid w:val="00B82DF7"/>
    <w:rsid w:val="00B82E16"/>
    <w:rsid w:val="00B82E6F"/>
    <w:rsid w:val="00B82FAD"/>
    <w:rsid w:val="00B83008"/>
    <w:rsid w:val="00B83015"/>
    <w:rsid w:val="00B8301A"/>
    <w:rsid w:val="00B830DC"/>
    <w:rsid w:val="00B830FF"/>
    <w:rsid w:val="00B83175"/>
    <w:rsid w:val="00B83207"/>
    <w:rsid w:val="00B832EF"/>
    <w:rsid w:val="00B833B0"/>
    <w:rsid w:val="00B833DD"/>
    <w:rsid w:val="00B833F8"/>
    <w:rsid w:val="00B8340F"/>
    <w:rsid w:val="00B83415"/>
    <w:rsid w:val="00B83450"/>
    <w:rsid w:val="00B834D7"/>
    <w:rsid w:val="00B83591"/>
    <w:rsid w:val="00B835E9"/>
    <w:rsid w:val="00B83617"/>
    <w:rsid w:val="00B83633"/>
    <w:rsid w:val="00B8369D"/>
    <w:rsid w:val="00B83753"/>
    <w:rsid w:val="00B8379A"/>
    <w:rsid w:val="00B8381A"/>
    <w:rsid w:val="00B83924"/>
    <w:rsid w:val="00B8397C"/>
    <w:rsid w:val="00B839CE"/>
    <w:rsid w:val="00B83A46"/>
    <w:rsid w:val="00B83A83"/>
    <w:rsid w:val="00B83ABF"/>
    <w:rsid w:val="00B83AE8"/>
    <w:rsid w:val="00B83B0E"/>
    <w:rsid w:val="00B83B2C"/>
    <w:rsid w:val="00B83B74"/>
    <w:rsid w:val="00B83B91"/>
    <w:rsid w:val="00B83BA0"/>
    <w:rsid w:val="00B83C41"/>
    <w:rsid w:val="00B83CC1"/>
    <w:rsid w:val="00B83CCA"/>
    <w:rsid w:val="00B83CE3"/>
    <w:rsid w:val="00B83E42"/>
    <w:rsid w:val="00B83E6E"/>
    <w:rsid w:val="00B83EB7"/>
    <w:rsid w:val="00B84139"/>
    <w:rsid w:val="00B84143"/>
    <w:rsid w:val="00B841B5"/>
    <w:rsid w:val="00B84258"/>
    <w:rsid w:val="00B8426C"/>
    <w:rsid w:val="00B84320"/>
    <w:rsid w:val="00B84372"/>
    <w:rsid w:val="00B84373"/>
    <w:rsid w:val="00B843D2"/>
    <w:rsid w:val="00B8440C"/>
    <w:rsid w:val="00B84593"/>
    <w:rsid w:val="00B8475B"/>
    <w:rsid w:val="00B84760"/>
    <w:rsid w:val="00B847E3"/>
    <w:rsid w:val="00B8485B"/>
    <w:rsid w:val="00B849B5"/>
    <w:rsid w:val="00B84A2D"/>
    <w:rsid w:val="00B84A8A"/>
    <w:rsid w:val="00B84ABA"/>
    <w:rsid w:val="00B84AF6"/>
    <w:rsid w:val="00B84B8D"/>
    <w:rsid w:val="00B84BC0"/>
    <w:rsid w:val="00B84C3F"/>
    <w:rsid w:val="00B84CD4"/>
    <w:rsid w:val="00B84D38"/>
    <w:rsid w:val="00B84D63"/>
    <w:rsid w:val="00B84D7A"/>
    <w:rsid w:val="00B84D9B"/>
    <w:rsid w:val="00B84E8F"/>
    <w:rsid w:val="00B84F8A"/>
    <w:rsid w:val="00B84FD0"/>
    <w:rsid w:val="00B84FE1"/>
    <w:rsid w:val="00B85028"/>
    <w:rsid w:val="00B85048"/>
    <w:rsid w:val="00B8505C"/>
    <w:rsid w:val="00B85068"/>
    <w:rsid w:val="00B85091"/>
    <w:rsid w:val="00B8509E"/>
    <w:rsid w:val="00B85195"/>
    <w:rsid w:val="00B851B8"/>
    <w:rsid w:val="00B851FB"/>
    <w:rsid w:val="00B85208"/>
    <w:rsid w:val="00B85253"/>
    <w:rsid w:val="00B8528F"/>
    <w:rsid w:val="00B852EC"/>
    <w:rsid w:val="00B8531F"/>
    <w:rsid w:val="00B85327"/>
    <w:rsid w:val="00B853DA"/>
    <w:rsid w:val="00B85417"/>
    <w:rsid w:val="00B85464"/>
    <w:rsid w:val="00B854B3"/>
    <w:rsid w:val="00B854C7"/>
    <w:rsid w:val="00B85531"/>
    <w:rsid w:val="00B855CA"/>
    <w:rsid w:val="00B8569F"/>
    <w:rsid w:val="00B856CC"/>
    <w:rsid w:val="00B85725"/>
    <w:rsid w:val="00B85789"/>
    <w:rsid w:val="00B857B6"/>
    <w:rsid w:val="00B857CD"/>
    <w:rsid w:val="00B8583A"/>
    <w:rsid w:val="00B85849"/>
    <w:rsid w:val="00B858B5"/>
    <w:rsid w:val="00B858F3"/>
    <w:rsid w:val="00B858FC"/>
    <w:rsid w:val="00B8591A"/>
    <w:rsid w:val="00B85922"/>
    <w:rsid w:val="00B85A56"/>
    <w:rsid w:val="00B85A77"/>
    <w:rsid w:val="00B85B27"/>
    <w:rsid w:val="00B85B4B"/>
    <w:rsid w:val="00B85BAE"/>
    <w:rsid w:val="00B85C22"/>
    <w:rsid w:val="00B85C3F"/>
    <w:rsid w:val="00B85C5C"/>
    <w:rsid w:val="00B85DC1"/>
    <w:rsid w:val="00B85EDF"/>
    <w:rsid w:val="00B86142"/>
    <w:rsid w:val="00B861A3"/>
    <w:rsid w:val="00B86214"/>
    <w:rsid w:val="00B86225"/>
    <w:rsid w:val="00B86239"/>
    <w:rsid w:val="00B8629D"/>
    <w:rsid w:val="00B862EE"/>
    <w:rsid w:val="00B862F9"/>
    <w:rsid w:val="00B862FC"/>
    <w:rsid w:val="00B8645C"/>
    <w:rsid w:val="00B86483"/>
    <w:rsid w:val="00B86540"/>
    <w:rsid w:val="00B8658F"/>
    <w:rsid w:val="00B865A4"/>
    <w:rsid w:val="00B865B8"/>
    <w:rsid w:val="00B86702"/>
    <w:rsid w:val="00B86718"/>
    <w:rsid w:val="00B867B6"/>
    <w:rsid w:val="00B867C6"/>
    <w:rsid w:val="00B867E8"/>
    <w:rsid w:val="00B867F0"/>
    <w:rsid w:val="00B86824"/>
    <w:rsid w:val="00B86830"/>
    <w:rsid w:val="00B8689B"/>
    <w:rsid w:val="00B8692C"/>
    <w:rsid w:val="00B8693A"/>
    <w:rsid w:val="00B86977"/>
    <w:rsid w:val="00B869D5"/>
    <w:rsid w:val="00B869DC"/>
    <w:rsid w:val="00B869EB"/>
    <w:rsid w:val="00B86A2A"/>
    <w:rsid w:val="00B86A70"/>
    <w:rsid w:val="00B86ABC"/>
    <w:rsid w:val="00B86B67"/>
    <w:rsid w:val="00B86B92"/>
    <w:rsid w:val="00B86BDE"/>
    <w:rsid w:val="00B86CDC"/>
    <w:rsid w:val="00B86CEF"/>
    <w:rsid w:val="00B86D00"/>
    <w:rsid w:val="00B86D88"/>
    <w:rsid w:val="00B86DB4"/>
    <w:rsid w:val="00B86E53"/>
    <w:rsid w:val="00B86F86"/>
    <w:rsid w:val="00B86FC3"/>
    <w:rsid w:val="00B87014"/>
    <w:rsid w:val="00B87041"/>
    <w:rsid w:val="00B87051"/>
    <w:rsid w:val="00B87064"/>
    <w:rsid w:val="00B87253"/>
    <w:rsid w:val="00B8727C"/>
    <w:rsid w:val="00B8727D"/>
    <w:rsid w:val="00B872AC"/>
    <w:rsid w:val="00B872E0"/>
    <w:rsid w:val="00B8732A"/>
    <w:rsid w:val="00B87396"/>
    <w:rsid w:val="00B873CA"/>
    <w:rsid w:val="00B87643"/>
    <w:rsid w:val="00B87650"/>
    <w:rsid w:val="00B87676"/>
    <w:rsid w:val="00B87689"/>
    <w:rsid w:val="00B8778B"/>
    <w:rsid w:val="00B8779E"/>
    <w:rsid w:val="00B8783B"/>
    <w:rsid w:val="00B8787E"/>
    <w:rsid w:val="00B87979"/>
    <w:rsid w:val="00B87A5E"/>
    <w:rsid w:val="00B87B10"/>
    <w:rsid w:val="00B87DD1"/>
    <w:rsid w:val="00B87DF2"/>
    <w:rsid w:val="00B87E20"/>
    <w:rsid w:val="00B87EA5"/>
    <w:rsid w:val="00B87FFD"/>
    <w:rsid w:val="00B90031"/>
    <w:rsid w:val="00B900E3"/>
    <w:rsid w:val="00B900F0"/>
    <w:rsid w:val="00B9013B"/>
    <w:rsid w:val="00B902E6"/>
    <w:rsid w:val="00B902ED"/>
    <w:rsid w:val="00B9032B"/>
    <w:rsid w:val="00B90374"/>
    <w:rsid w:val="00B903B6"/>
    <w:rsid w:val="00B90411"/>
    <w:rsid w:val="00B90477"/>
    <w:rsid w:val="00B90492"/>
    <w:rsid w:val="00B90498"/>
    <w:rsid w:val="00B904F2"/>
    <w:rsid w:val="00B90541"/>
    <w:rsid w:val="00B90689"/>
    <w:rsid w:val="00B9069B"/>
    <w:rsid w:val="00B90762"/>
    <w:rsid w:val="00B9078F"/>
    <w:rsid w:val="00B90986"/>
    <w:rsid w:val="00B90992"/>
    <w:rsid w:val="00B909D0"/>
    <w:rsid w:val="00B90ADE"/>
    <w:rsid w:val="00B90BD7"/>
    <w:rsid w:val="00B90CF8"/>
    <w:rsid w:val="00B90D9B"/>
    <w:rsid w:val="00B90E07"/>
    <w:rsid w:val="00B90E31"/>
    <w:rsid w:val="00B90E44"/>
    <w:rsid w:val="00B90EB6"/>
    <w:rsid w:val="00B90F76"/>
    <w:rsid w:val="00B90FCD"/>
    <w:rsid w:val="00B91005"/>
    <w:rsid w:val="00B91056"/>
    <w:rsid w:val="00B910E0"/>
    <w:rsid w:val="00B9119B"/>
    <w:rsid w:val="00B91220"/>
    <w:rsid w:val="00B91239"/>
    <w:rsid w:val="00B9134A"/>
    <w:rsid w:val="00B9137E"/>
    <w:rsid w:val="00B91471"/>
    <w:rsid w:val="00B9149D"/>
    <w:rsid w:val="00B91579"/>
    <w:rsid w:val="00B915A3"/>
    <w:rsid w:val="00B915E9"/>
    <w:rsid w:val="00B91675"/>
    <w:rsid w:val="00B91897"/>
    <w:rsid w:val="00B918A1"/>
    <w:rsid w:val="00B918B8"/>
    <w:rsid w:val="00B918E6"/>
    <w:rsid w:val="00B91906"/>
    <w:rsid w:val="00B919C1"/>
    <w:rsid w:val="00B919CB"/>
    <w:rsid w:val="00B919EC"/>
    <w:rsid w:val="00B91AA5"/>
    <w:rsid w:val="00B91AD0"/>
    <w:rsid w:val="00B91AD8"/>
    <w:rsid w:val="00B91AF4"/>
    <w:rsid w:val="00B91AFA"/>
    <w:rsid w:val="00B91B6C"/>
    <w:rsid w:val="00B91C42"/>
    <w:rsid w:val="00B91D75"/>
    <w:rsid w:val="00B91E59"/>
    <w:rsid w:val="00B91E7C"/>
    <w:rsid w:val="00B91E80"/>
    <w:rsid w:val="00B91E86"/>
    <w:rsid w:val="00B91ED1"/>
    <w:rsid w:val="00B91EFB"/>
    <w:rsid w:val="00B91F42"/>
    <w:rsid w:val="00B91F8F"/>
    <w:rsid w:val="00B91FF0"/>
    <w:rsid w:val="00B9202C"/>
    <w:rsid w:val="00B92042"/>
    <w:rsid w:val="00B920BB"/>
    <w:rsid w:val="00B92130"/>
    <w:rsid w:val="00B92144"/>
    <w:rsid w:val="00B92210"/>
    <w:rsid w:val="00B9224C"/>
    <w:rsid w:val="00B9225B"/>
    <w:rsid w:val="00B923C4"/>
    <w:rsid w:val="00B924B6"/>
    <w:rsid w:val="00B924BF"/>
    <w:rsid w:val="00B924CA"/>
    <w:rsid w:val="00B92533"/>
    <w:rsid w:val="00B92600"/>
    <w:rsid w:val="00B92612"/>
    <w:rsid w:val="00B92643"/>
    <w:rsid w:val="00B9267A"/>
    <w:rsid w:val="00B9273B"/>
    <w:rsid w:val="00B92936"/>
    <w:rsid w:val="00B92A23"/>
    <w:rsid w:val="00B92A44"/>
    <w:rsid w:val="00B92AB5"/>
    <w:rsid w:val="00B92ABB"/>
    <w:rsid w:val="00B92B8A"/>
    <w:rsid w:val="00B92C11"/>
    <w:rsid w:val="00B92C36"/>
    <w:rsid w:val="00B92C99"/>
    <w:rsid w:val="00B92D40"/>
    <w:rsid w:val="00B92DBF"/>
    <w:rsid w:val="00B92E93"/>
    <w:rsid w:val="00B92EAF"/>
    <w:rsid w:val="00B92F86"/>
    <w:rsid w:val="00B93084"/>
    <w:rsid w:val="00B930AB"/>
    <w:rsid w:val="00B930F3"/>
    <w:rsid w:val="00B93106"/>
    <w:rsid w:val="00B9319A"/>
    <w:rsid w:val="00B93250"/>
    <w:rsid w:val="00B9327B"/>
    <w:rsid w:val="00B932A9"/>
    <w:rsid w:val="00B932AD"/>
    <w:rsid w:val="00B932B4"/>
    <w:rsid w:val="00B932F6"/>
    <w:rsid w:val="00B93303"/>
    <w:rsid w:val="00B93368"/>
    <w:rsid w:val="00B93426"/>
    <w:rsid w:val="00B93434"/>
    <w:rsid w:val="00B935A4"/>
    <w:rsid w:val="00B93600"/>
    <w:rsid w:val="00B93633"/>
    <w:rsid w:val="00B9368F"/>
    <w:rsid w:val="00B936C8"/>
    <w:rsid w:val="00B936F3"/>
    <w:rsid w:val="00B93724"/>
    <w:rsid w:val="00B93776"/>
    <w:rsid w:val="00B93800"/>
    <w:rsid w:val="00B939BF"/>
    <w:rsid w:val="00B93A2D"/>
    <w:rsid w:val="00B93A59"/>
    <w:rsid w:val="00B93B6E"/>
    <w:rsid w:val="00B93B8F"/>
    <w:rsid w:val="00B93BE1"/>
    <w:rsid w:val="00B93D08"/>
    <w:rsid w:val="00B93D1E"/>
    <w:rsid w:val="00B93DD7"/>
    <w:rsid w:val="00B93E84"/>
    <w:rsid w:val="00B93E9C"/>
    <w:rsid w:val="00B93F98"/>
    <w:rsid w:val="00B94051"/>
    <w:rsid w:val="00B9407A"/>
    <w:rsid w:val="00B940EA"/>
    <w:rsid w:val="00B94143"/>
    <w:rsid w:val="00B94150"/>
    <w:rsid w:val="00B941A8"/>
    <w:rsid w:val="00B941F8"/>
    <w:rsid w:val="00B94255"/>
    <w:rsid w:val="00B9426D"/>
    <w:rsid w:val="00B94307"/>
    <w:rsid w:val="00B94318"/>
    <w:rsid w:val="00B94336"/>
    <w:rsid w:val="00B94338"/>
    <w:rsid w:val="00B9440C"/>
    <w:rsid w:val="00B9450D"/>
    <w:rsid w:val="00B9453C"/>
    <w:rsid w:val="00B945D5"/>
    <w:rsid w:val="00B9460F"/>
    <w:rsid w:val="00B94654"/>
    <w:rsid w:val="00B946A4"/>
    <w:rsid w:val="00B946DC"/>
    <w:rsid w:val="00B9477F"/>
    <w:rsid w:val="00B94823"/>
    <w:rsid w:val="00B948AF"/>
    <w:rsid w:val="00B9490D"/>
    <w:rsid w:val="00B94926"/>
    <w:rsid w:val="00B9496C"/>
    <w:rsid w:val="00B94A52"/>
    <w:rsid w:val="00B94B0D"/>
    <w:rsid w:val="00B94B38"/>
    <w:rsid w:val="00B94B77"/>
    <w:rsid w:val="00B94BDB"/>
    <w:rsid w:val="00B94CE8"/>
    <w:rsid w:val="00B94D23"/>
    <w:rsid w:val="00B94DC9"/>
    <w:rsid w:val="00B94E3B"/>
    <w:rsid w:val="00B94E8D"/>
    <w:rsid w:val="00B94FA3"/>
    <w:rsid w:val="00B94FD8"/>
    <w:rsid w:val="00B95024"/>
    <w:rsid w:val="00B9505F"/>
    <w:rsid w:val="00B950A9"/>
    <w:rsid w:val="00B950F8"/>
    <w:rsid w:val="00B95139"/>
    <w:rsid w:val="00B95184"/>
    <w:rsid w:val="00B951B6"/>
    <w:rsid w:val="00B951DF"/>
    <w:rsid w:val="00B95225"/>
    <w:rsid w:val="00B95227"/>
    <w:rsid w:val="00B95307"/>
    <w:rsid w:val="00B953E8"/>
    <w:rsid w:val="00B95431"/>
    <w:rsid w:val="00B955C3"/>
    <w:rsid w:val="00B9562C"/>
    <w:rsid w:val="00B9566D"/>
    <w:rsid w:val="00B95708"/>
    <w:rsid w:val="00B957E9"/>
    <w:rsid w:val="00B95803"/>
    <w:rsid w:val="00B9585A"/>
    <w:rsid w:val="00B95885"/>
    <w:rsid w:val="00B959A3"/>
    <w:rsid w:val="00B959ED"/>
    <w:rsid w:val="00B95A49"/>
    <w:rsid w:val="00B95A4E"/>
    <w:rsid w:val="00B95A5B"/>
    <w:rsid w:val="00B95A6C"/>
    <w:rsid w:val="00B95B5A"/>
    <w:rsid w:val="00B95BA2"/>
    <w:rsid w:val="00B95BA7"/>
    <w:rsid w:val="00B95C01"/>
    <w:rsid w:val="00B95C45"/>
    <w:rsid w:val="00B95C49"/>
    <w:rsid w:val="00B95CA6"/>
    <w:rsid w:val="00B95CB0"/>
    <w:rsid w:val="00B95D0C"/>
    <w:rsid w:val="00B95D7E"/>
    <w:rsid w:val="00B95D96"/>
    <w:rsid w:val="00B95E6D"/>
    <w:rsid w:val="00B95E90"/>
    <w:rsid w:val="00B95EEB"/>
    <w:rsid w:val="00B95F81"/>
    <w:rsid w:val="00B9602A"/>
    <w:rsid w:val="00B96074"/>
    <w:rsid w:val="00B9607E"/>
    <w:rsid w:val="00B96083"/>
    <w:rsid w:val="00B960A2"/>
    <w:rsid w:val="00B96169"/>
    <w:rsid w:val="00B96218"/>
    <w:rsid w:val="00B9623E"/>
    <w:rsid w:val="00B962C8"/>
    <w:rsid w:val="00B963A7"/>
    <w:rsid w:val="00B963B6"/>
    <w:rsid w:val="00B963C5"/>
    <w:rsid w:val="00B963FD"/>
    <w:rsid w:val="00B96413"/>
    <w:rsid w:val="00B96447"/>
    <w:rsid w:val="00B96466"/>
    <w:rsid w:val="00B964C0"/>
    <w:rsid w:val="00B964C2"/>
    <w:rsid w:val="00B964E8"/>
    <w:rsid w:val="00B9655A"/>
    <w:rsid w:val="00B9659D"/>
    <w:rsid w:val="00B965DC"/>
    <w:rsid w:val="00B96612"/>
    <w:rsid w:val="00B9665D"/>
    <w:rsid w:val="00B96702"/>
    <w:rsid w:val="00B96753"/>
    <w:rsid w:val="00B9686B"/>
    <w:rsid w:val="00B9687F"/>
    <w:rsid w:val="00B96910"/>
    <w:rsid w:val="00B96946"/>
    <w:rsid w:val="00B969F0"/>
    <w:rsid w:val="00B96A2C"/>
    <w:rsid w:val="00B96A3E"/>
    <w:rsid w:val="00B96A58"/>
    <w:rsid w:val="00B96A92"/>
    <w:rsid w:val="00B96AE4"/>
    <w:rsid w:val="00B96B18"/>
    <w:rsid w:val="00B96B1B"/>
    <w:rsid w:val="00B96B34"/>
    <w:rsid w:val="00B96BBF"/>
    <w:rsid w:val="00B96C32"/>
    <w:rsid w:val="00B96C87"/>
    <w:rsid w:val="00B96CD5"/>
    <w:rsid w:val="00B96D35"/>
    <w:rsid w:val="00B96D52"/>
    <w:rsid w:val="00B96D53"/>
    <w:rsid w:val="00B96DF6"/>
    <w:rsid w:val="00B96EA2"/>
    <w:rsid w:val="00B96EB9"/>
    <w:rsid w:val="00B96EE0"/>
    <w:rsid w:val="00B96F45"/>
    <w:rsid w:val="00B96F8F"/>
    <w:rsid w:val="00B97008"/>
    <w:rsid w:val="00B971FB"/>
    <w:rsid w:val="00B9720F"/>
    <w:rsid w:val="00B97297"/>
    <w:rsid w:val="00B972FC"/>
    <w:rsid w:val="00B9732E"/>
    <w:rsid w:val="00B97334"/>
    <w:rsid w:val="00B97385"/>
    <w:rsid w:val="00B973B9"/>
    <w:rsid w:val="00B973FC"/>
    <w:rsid w:val="00B97488"/>
    <w:rsid w:val="00B974AF"/>
    <w:rsid w:val="00B97588"/>
    <w:rsid w:val="00B975FE"/>
    <w:rsid w:val="00B97606"/>
    <w:rsid w:val="00B97631"/>
    <w:rsid w:val="00B97663"/>
    <w:rsid w:val="00B97674"/>
    <w:rsid w:val="00B976B3"/>
    <w:rsid w:val="00B97717"/>
    <w:rsid w:val="00B97721"/>
    <w:rsid w:val="00B97723"/>
    <w:rsid w:val="00B97896"/>
    <w:rsid w:val="00B978C6"/>
    <w:rsid w:val="00B978F8"/>
    <w:rsid w:val="00B97960"/>
    <w:rsid w:val="00B979B1"/>
    <w:rsid w:val="00B979C4"/>
    <w:rsid w:val="00B97A20"/>
    <w:rsid w:val="00B97B16"/>
    <w:rsid w:val="00B97C1B"/>
    <w:rsid w:val="00B97D0D"/>
    <w:rsid w:val="00B97D2B"/>
    <w:rsid w:val="00B97D95"/>
    <w:rsid w:val="00B97DFF"/>
    <w:rsid w:val="00B97F0E"/>
    <w:rsid w:val="00B97F40"/>
    <w:rsid w:val="00B97FA5"/>
    <w:rsid w:val="00BA0081"/>
    <w:rsid w:val="00BA00E8"/>
    <w:rsid w:val="00BA0185"/>
    <w:rsid w:val="00BA0226"/>
    <w:rsid w:val="00BA02AF"/>
    <w:rsid w:val="00BA02E6"/>
    <w:rsid w:val="00BA032A"/>
    <w:rsid w:val="00BA0354"/>
    <w:rsid w:val="00BA0372"/>
    <w:rsid w:val="00BA03B1"/>
    <w:rsid w:val="00BA03C7"/>
    <w:rsid w:val="00BA05B4"/>
    <w:rsid w:val="00BA05E2"/>
    <w:rsid w:val="00BA062D"/>
    <w:rsid w:val="00BA0673"/>
    <w:rsid w:val="00BA0717"/>
    <w:rsid w:val="00BA0735"/>
    <w:rsid w:val="00BA0742"/>
    <w:rsid w:val="00BA0758"/>
    <w:rsid w:val="00BA07B4"/>
    <w:rsid w:val="00BA07DD"/>
    <w:rsid w:val="00BA0819"/>
    <w:rsid w:val="00BA08A7"/>
    <w:rsid w:val="00BA0953"/>
    <w:rsid w:val="00BA0997"/>
    <w:rsid w:val="00BA09BC"/>
    <w:rsid w:val="00BA09CF"/>
    <w:rsid w:val="00BA09D6"/>
    <w:rsid w:val="00BA0A59"/>
    <w:rsid w:val="00BA0A92"/>
    <w:rsid w:val="00BA0B7B"/>
    <w:rsid w:val="00BA0B83"/>
    <w:rsid w:val="00BA0C77"/>
    <w:rsid w:val="00BA0E3E"/>
    <w:rsid w:val="00BA0E84"/>
    <w:rsid w:val="00BA0E98"/>
    <w:rsid w:val="00BA0EE2"/>
    <w:rsid w:val="00BA0F9A"/>
    <w:rsid w:val="00BA102F"/>
    <w:rsid w:val="00BA1074"/>
    <w:rsid w:val="00BA11BE"/>
    <w:rsid w:val="00BA12B8"/>
    <w:rsid w:val="00BA13C2"/>
    <w:rsid w:val="00BA13CA"/>
    <w:rsid w:val="00BA1496"/>
    <w:rsid w:val="00BA149A"/>
    <w:rsid w:val="00BA1555"/>
    <w:rsid w:val="00BA1560"/>
    <w:rsid w:val="00BA1583"/>
    <w:rsid w:val="00BA15B8"/>
    <w:rsid w:val="00BA15E8"/>
    <w:rsid w:val="00BA165E"/>
    <w:rsid w:val="00BA1698"/>
    <w:rsid w:val="00BA1737"/>
    <w:rsid w:val="00BA1782"/>
    <w:rsid w:val="00BA17BF"/>
    <w:rsid w:val="00BA1864"/>
    <w:rsid w:val="00BA1869"/>
    <w:rsid w:val="00BA1880"/>
    <w:rsid w:val="00BA1962"/>
    <w:rsid w:val="00BA1AA5"/>
    <w:rsid w:val="00BA1B9F"/>
    <w:rsid w:val="00BA1C0F"/>
    <w:rsid w:val="00BA1CA6"/>
    <w:rsid w:val="00BA1D2B"/>
    <w:rsid w:val="00BA1DBD"/>
    <w:rsid w:val="00BA1E4A"/>
    <w:rsid w:val="00BA1E86"/>
    <w:rsid w:val="00BA1EDA"/>
    <w:rsid w:val="00BA1EFA"/>
    <w:rsid w:val="00BA1F0C"/>
    <w:rsid w:val="00BA1FDC"/>
    <w:rsid w:val="00BA200A"/>
    <w:rsid w:val="00BA202F"/>
    <w:rsid w:val="00BA212D"/>
    <w:rsid w:val="00BA2192"/>
    <w:rsid w:val="00BA21A1"/>
    <w:rsid w:val="00BA2270"/>
    <w:rsid w:val="00BA228B"/>
    <w:rsid w:val="00BA22F3"/>
    <w:rsid w:val="00BA22F7"/>
    <w:rsid w:val="00BA2304"/>
    <w:rsid w:val="00BA2325"/>
    <w:rsid w:val="00BA2372"/>
    <w:rsid w:val="00BA23A7"/>
    <w:rsid w:val="00BA24AD"/>
    <w:rsid w:val="00BA24E6"/>
    <w:rsid w:val="00BA2529"/>
    <w:rsid w:val="00BA2591"/>
    <w:rsid w:val="00BA2592"/>
    <w:rsid w:val="00BA26BD"/>
    <w:rsid w:val="00BA26F8"/>
    <w:rsid w:val="00BA2707"/>
    <w:rsid w:val="00BA27D1"/>
    <w:rsid w:val="00BA28B2"/>
    <w:rsid w:val="00BA28BB"/>
    <w:rsid w:val="00BA28F3"/>
    <w:rsid w:val="00BA2A6D"/>
    <w:rsid w:val="00BA2A6F"/>
    <w:rsid w:val="00BA2B60"/>
    <w:rsid w:val="00BA2BD3"/>
    <w:rsid w:val="00BA2D5E"/>
    <w:rsid w:val="00BA2D65"/>
    <w:rsid w:val="00BA2DBA"/>
    <w:rsid w:val="00BA2DD9"/>
    <w:rsid w:val="00BA2E9F"/>
    <w:rsid w:val="00BA2EA3"/>
    <w:rsid w:val="00BA2EAA"/>
    <w:rsid w:val="00BA2EDF"/>
    <w:rsid w:val="00BA2FBB"/>
    <w:rsid w:val="00BA3092"/>
    <w:rsid w:val="00BA315B"/>
    <w:rsid w:val="00BA3168"/>
    <w:rsid w:val="00BA31A7"/>
    <w:rsid w:val="00BA3230"/>
    <w:rsid w:val="00BA32B9"/>
    <w:rsid w:val="00BA32EB"/>
    <w:rsid w:val="00BA32EE"/>
    <w:rsid w:val="00BA334A"/>
    <w:rsid w:val="00BA33B1"/>
    <w:rsid w:val="00BA33CA"/>
    <w:rsid w:val="00BA3515"/>
    <w:rsid w:val="00BA36B3"/>
    <w:rsid w:val="00BA36D7"/>
    <w:rsid w:val="00BA3712"/>
    <w:rsid w:val="00BA38E9"/>
    <w:rsid w:val="00BA3931"/>
    <w:rsid w:val="00BA396B"/>
    <w:rsid w:val="00BA39F5"/>
    <w:rsid w:val="00BA3A77"/>
    <w:rsid w:val="00BA3B86"/>
    <w:rsid w:val="00BA3C10"/>
    <w:rsid w:val="00BA3C44"/>
    <w:rsid w:val="00BA3C66"/>
    <w:rsid w:val="00BA3CDC"/>
    <w:rsid w:val="00BA3D0F"/>
    <w:rsid w:val="00BA3D59"/>
    <w:rsid w:val="00BA3DCF"/>
    <w:rsid w:val="00BA3E04"/>
    <w:rsid w:val="00BA3E0E"/>
    <w:rsid w:val="00BA3F36"/>
    <w:rsid w:val="00BA3FC0"/>
    <w:rsid w:val="00BA4000"/>
    <w:rsid w:val="00BA4037"/>
    <w:rsid w:val="00BA404D"/>
    <w:rsid w:val="00BA4053"/>
    <w:rsid w:val="00BA406A"/>
    <w:rsid w:val="00BA40FA"/>
    <w:rsid w:val="00BA4159"/>
    <w:rsid w:val="00BA4173"/>
    <w:rsid w:val="00BA41FF"/>
    <w:rsid w:val="00BA421E"/>
    <w:rsid w:val="00BA4240"/>
    <w:rsid w:val="00BA4295"/>
    <w:rsid w:val="00BA4313"/>
    <w:rsid w:val="00BA43CD"/>
    <w:rsid w:val="00BA4495"/>
    <w:rsid w:val="00BA44F8"/>
    <w:rsid w:val="00BA450A"/>
    <w:rsid w:val="00BA450C"/>
    <w:rsid w:val="00BA450F"/>
    <w:rsid w:val="00BA45A7"/>
    <w:rsid w:val="00BA45B3"/>
    <w:rsid w:val="00BA45D6"/>
    <w:rsid w:val="00BA45F5"/>
    <w:rsid w:val="00BA4659"/>
    <w:rsid w:val="00BA4664"/>
    <w:rsid w:val="00BA48B8"/>
    <w:rsid w:val="00BA4926"/>
    <w:rsid w:val="00BA49CA"/>
    <w:rsid w:val="00BA4A72"/>
    <w:rsid w:val="00BA4B00"/>
    <w:rsid w:val="00BA4B74"/>
    <w:rsid w:val="00BA4BC4"/>
    <w:rsid w:val="00BA4C39"/>
    <w:rsid w:val="00BA4CF9"/>
    <w:rsid w:val="00BA4D05"/>
    <w:rsid w:val="00BA4D09"/>
    <w:rsid w:val="00BA4D63"/>
    <w:rsid w:val="00BA4DD1"/>
    <w:rsid w:val="00BA4E80"/>
    <w:rsid w:val="00BA4EBD"/>
    <w:rsid w:val="00BA4EEB"/>
    <w:rsid w:val="00BA4EF8"/>
    <w:rsid w:val="00BA4F02"/>
    <w:rsid w:val="00BA4FE6"/>
    <w:rsid w:val="00BA4FFC"/>
    <w:rsid w:val="00BA5042"/>
    <w:rsid w:val="00BA50AB"/>
    <w:rsid w:val="00BA50D2"/>
    <w:rsid w:val="00BA5112"/>
    <w:rsid w:val="00BA51EC"/>
    <w:rsid w:val="00BA527F"/>
    <w:rsid w:val="00BA528C"/>
    <w:rsid w:val="00BA52B0"/>
    <w:rsid w:val="00BA52DE"/>
    <w:rsid w:val="00BA5304"/>
    <w:rsid w:val="00BA5333"/>
    <w:rsid w:val="00BA53DC"/>
    <w:rsid w:val="00BA53E3"/>
    <w:rsid w:val="00BA5408"/>
    <w:rsid w:val="00BA54CA"/>
    <w:rsid w:val="00BA5546"/>
    <w:rsid w:val="00BA5549"/>
    <w:rsid w:val="00BA56B7"/>
    <w:rsid w:val="00BA578C"/>
    <w:rsid w:val="00BA5963"/>
    <w:rsid w:val="00BA597D"/>
    <w:rsid w:val="00BA59A6"/>
    <w:rsid w:val="00BA5A12"/>
    <w:rsid w:val="00BA5A2F"/>
    <w:rsid w:val="00BA5A32"/>
    <w:rsid w:val="00BA5A46"/>
    <w:rsid w:val="00BA5A4F"/>
    <w:rsid w:val="00BA5B35"/>
    <w:rsid w:val="00BA5B36"/>
    <w:rsid w:val="00BA5B5D"/>
    <w:rsid w:val="00BA5C66"/>
    <w:rsid w:val="00BA5C6D"/>
    <w:rsid w:val="00BA5D04"/>
    <w:rsid w:val="00BA5D68"/>
    <w:rsid w:val="00BA5D88"/>
    <w:rsid w:val="00BA5DB4"/>
    <w:rsid w:val="00BA5DCE"/>
    <w:rsid w:val="00BA5DFE"/>
    <w:rsid w:val="00BA5E86"/>
    <w:rsid w:val="00BA5EAB"/>
    <w:rsid w:val="00BA5EC3"/>
    <w:rsid w:val="00BA5F30"/>
    <w:rsid w:val="00BA5FFF"/>
    <w:rsid w:val="00BA6038"/>
    <w:rsid w:val="00BA6159"/>
    <w:rsid w:val="00BA61C1"/>
    <w:rsid w:val="00BA62C2"/>
    <w:rsid w:val="00BA63AC"/>
    <w:rsid w:val="00BA63B5"/>
    <w:rsid w:val="00BA63C6"/>
    <w:rsid w:val="00BA63FF"/>
    <w:rsid w:val="00BA6486"/>
    <w:rsid w:val="00BA64E6"/>
    <w:rsid w:val="00BA6593"/>
    <w:rsid w:val="00BA65B9"/>
    <w:rsid w:val="00BA65BF"/>
    <w:rsid w:val="00BA65F7"/>
    <w:rsid w:val="00BA6685"/>
    <w:rsid w:val="00BA6716"/>
    <w:rsid w:val="00BA671F"/>
    <w:rsid w:val="00BA6722"/>
    <w:rsid w:val="00BA6743"/>
    <w:rsid w:val="00BA675C"/>
    <w:rsid w:val="00BA675F"/>
    <w:rsid w:val="00BA67FE"/>
    <w:rsid w:val="00BA68CB"/>
    <w:rsid w:val="00BA68F3"/>
    <w:rsid w:val="00BA6946"/>
    <w:rsid w:val="00BA69C4"/>
    <w:rsid w:val="00BA69E0"/>
    <w:rsid w:val="00BA6A76"/>
    <w:rsid w:val="00BA6AB5"/>
    <w:rsid w:val="00BA6AC2"/>
    <w:rsid w:val="00BA6B1C"/>
    <w:rsid w:val="00BA6B3D"/>
    <w:rsid w:val="00BA6BCD"/>
    <w:rsid w:val="00BA6C07"/>
    <w:rsid w:val="00BA6C30"/>
    <w:rsid w:val="00BA6C43"/>
    <w:rsid w:val="00BA6CC0"/>
    <w:rsid w:val="00BA6CC9"/>
    <w:rsid w:val="00BA6D10"/>
    <w:rsid w:val="00BA6D81"/>
    <w:rsid w:val="00BA6D84"/>
    <w:rsid w:val="00BA6DC8"/>
    <w:rsid w:val="00BA6E23"/>
    <w:rsid w:val="00BA6E41"/>
    <w:rsid w:val="00BA6E7E"/>
    <w:rsid w:val="00BA6E98"/>
    <w:rsid w:val="00BA6EF4"/>
    <w:rsid w:val="00BA6F0A"/>
    <w:rsid w:val="00BA7026"/>
    <w:rsid w:val="00BA70F9"/>
    <w:rsid w:val="00BA7110"/>
    <w:rsid w:val="00BA7112"/>
    <w:rsid w:val="00BA7132"/>
    <w:rsid w:val="00BA7156"/>
    <w:rsid w:val="00BA7222"/>
    <w:rsid w:val="00BA7250"/>
    <w:rsid w:val="00BA7268"/>
    <w:rsid w:val="00BA734A"/>
    <w:rsid w:val="00BA739E"/>
    <w:rsid w:val="00BA748F"/>
    <w:rsid w:val="00BA74A5"/>
    <w:rsid w:val="00BA74C9"/>
    <w:rsid w:val="00BA74CF"/>
    <w:rsid w:val="00BA7500"/>
    <w:rsid w:val="00BA7548"/>
    <w:rsid w:val="00BA7587"/>
    <w:rsid w:val="00BA760D"/>
    <w:rsid w:val="00BA760F"/>
    <w:rsid w:val="00BA7615"/>
    <w:rsid w:val="00BA762F"/>
    <w:rsid w:val="00BA7659"/>
    <w:rsid w:val="00BA768A"/>
    <w:rsid w:val="00BA76EA"/>
    <w:rsid w:val="00BA7752"/>
    <w:rsid w:val="00BA77E5"/>
    <w:rsid w:val="00BA789E"/>
    <w:rsid w:val="00BA7976"/>
    <w:rsid w:val="00BA79A8"/>
    <w:rsid w:val="00BA79F0"/>
    <w:rsid w:val="00BA7A3E"/>
    <w:rsid w:val="00BA7C0A"/>
    <w:rsid w:val="00BA7C14"/>
    <w:rsid w:val="00BA7C25"/>
    <w:rsid w:val="00BA7C6B"/>
    <w:rsid w:val="00BA7CCF"/>
    <w:rsid w:val="00BA7D76"/>
    <w:rsid w:val="00BA7D7F"/>
    <w:rsid w:val="00BA7D82"/>
    <w:rsid w:val="00BA7DB4"/>
    <w:rsid w:val="00BA7DC8"/>
    <w:rsid w:val="00BA7DEC"/>
    <w:rsid w:val="00BA7E05"/>
    <w:rsid w:val="00BA7E5F"/>
    <w:rsid w:val="00BA7FCD"/>
    <w:rsid w:val="00BB00A5"/>
    <w:rsid w:val="00BB0100"/>
    <w:rsid w:val="00BB0250"/>
    <w:rsid w:val="00BB02EB"/>
    <w:rsid w:val="00BB03AB"/>
    <w:rsid w:val="00BB03BC"/>
    <w:rsid w:val="00BB03CA"/>
    <w:rsid w:val="00BB048B"/>
    <w:rsid w:val="00BB0490"/>
    <w:rsid w:val="00BB04A3"/>
    <w:rsid w:val="00BB04D2"/>
    <w:rsid w:val="00BB04F5"/>
    <w:rsid w:val="00BB0503"/>
    <w:rsid w:val="00BB0577"/>
    <w:rsid w:val="00BB06D2"/>
    <w:rsid w:val="00BB06EA"/>
    <w:rsid w:val="00BB07AA"/>
    <w:rsid w:val="00BB089B"/>
    <w:rsid w:val="00BB0940"/>
    <w:rsid w:val="00BB0A10"/>
    <w:rsid w:val="00BB0A20"/>
    <w:rsid w:val="00BB0A6C"/>
    <w:rsid w:val="00BB0A8A"/>
    <w:rsid w:val="00BB0AF8"/>
    <w:rsid w:val="00BB0BE8"/>
    <w:rsid w:val="00BB0C1B"/>
    <w:rsid w:val="00BB0CC1"/>
    <w:rsid w:val="00BB0D87"/>
    <w:rsid w:val="00BB0D95"/>
    <w:rsid w:val="00BB0DCE"/>
    <w:rsid w:val="00BB0E7D"/>
    <w:rsid w:val="00BB0EB7"/>
    <w:rsid w:val="00BB0F43"/>
    <w:rsid w:val="00BB100F"/>
    <w:rsid w:val="00BB1254"/>
    <w:rsid w:val="00BB1265"/>
    <w:rsid w:val="00BB1282"/>
    <w:rsid w:val="00BB1293"/>
    <w:rsid w:val="00BB12BE"/>
    <w:rsid w:val="00BB1330"/>
    <w:rsid w:val="00BB1344"/>
    <w:rsid w:val="00BB1394"/>
    <w:rsid w:val="00BB13AA"/>
    <w:rsid w:val="00BB13BD"/>
    <w:rsid w:val="00BB14BA"/>
    <w:rsid w:val="00BB14E2"/>
    <w:rsid w:val="00BB1553"/>
    <w:rsid w:val="00BB15C0"/>
    <w:rsid w:val="00BB160A"/>
    <w:rsid w:val="00BB164C"/>
    <w:rsid w:val="00BB165C"/>
    <w:rsid w:val="00BB1676"/>
    <w:rsid w:val="00BB16C8"/>
    <w:rsid w:val="00BB17F1"/>
    <w:rsid w:val="00BB1805"/>
    <w:rsid w:val="00BB1857"/>
    <w:rsid w:val="00BB19A2"/>
    <w:rsid w:val="00BB1A3A"/>
    <w:rsid w:val="00BB1A5E"/>
    <w:rsid w:val="00BB1B11"/>
    <w:rsid w:val="00BB1B4D"/>
    <w:rsid w:val="00BB1B4F"/>
    <w:rsid w:val="00BB1B62"/>
    <w:rsid w:val="00BB1BF6"/>
    <w:rsid w:val="00BB1C83"/>
    <w:rsid w:val="00BB1CB6"/>
    <w:rsid w:val="00BB1E4C"/>
    <w:rsid w:val="00BB1EAF"/>
    <w:rsid w:val="00BB1FFB"/>
    <w:rsid w:val="00BB2020"/>
    <w:rsid w:val="00BB2035"/>
    <w:rsid w:val="00BB204A"/>
    <w:rsid w:val="00BB20B2"/>
    <w:rsid w:val="00BB212E"/>
    <w:rsid w:val="00BB214E"/>
    <w:rsid w:val="00BB2166"/>
    <w:rsid w:val="00BB2172"/>
    <w:rsid w:val="00BB2186"/>
    <w:rsid w:val="00BB21CC"/>
    <w:rsid w:val="00BB21F4"/>
    <w:rsid w:val="00BB2205"/>
    <w:rsid w:val="00BB2219"/>
    <w:rsid w:val="00BB226F"/>
    <w:rsid w:val="00BB2273"/>
    <w:rsid w:val="00BB22BC"/>
    <w:rsid w:val="00BB22E9"/>
    <w:rsid w:val="00BB2365"/>
    <w:rsid w:val="00BB23D3"/>
    <w:rsid w:val="00BB23D5"/>
    <w:rsid w:val="00BB24E7"/>
    <w:rsid w:val="00BB258A"/>
    <w:rsid w:val="00BB2648"/>
    <w:rsid w:val="00BB264D"/>
    <w:rsid w:val="00BB26CC"/>
    <w:rsid w:val="00BB26D1"/>
    <w:rsid w:val="00BB2718"/>
    <w:rsid w:val="00BB27B6"/>
    <w:rsid w:val="00BB2812"/>
    <w:rsid w:val="00BB281A"/>
    <w:rsid w:val="00BB2857"/>
    <w:rsid w:val="00BB29EF"/>
    <w:rsid w:val="00BB2AFE"/>
    <w:rsid w:val="00BB2B82"/>
    <w:rsid w:val="00BB2DA7"/>
    <w:rsid w:val="00BB2DA9"/>
    <w:rsid w:val="00BB2DCA"/>
    <w:rsid w:val="00BB2DE2"/>
    <w:rsid w:val="00BB2E41"/>
    <w:rsid w:val="00BB2E5D"/>
    <w:rsid w:val="00BB2EDF"/>
    <w:rsid w:val="00BB2F16"/>
    <w:rsid w:val="00BB2F3F"/>
    <w:rsid w:val="00BB2F46"/>
    <w:rsid w:val="00BB2FE6"/>
    <w:rsid w:val="00BB3021"/>
    <w:rsid w:val="00BB3116"/>
    <w:rsid w:val="00BB317C"/>
    <w:rsid w:val="00BB31FC"/>
    <w:rsid w:val="00BB325E"/>
    <w:rsid w:val="00BB32AA"/>
    <w:rsid w:val="00BB3314"/>
    <w:rsid w:val="00BB3390"/>
    <w:rsid w:val="00BB3397"/>
    <w:rsid w:val="00BB33A5"/>
    <w:rsid w:val="00BB33DB"/>
    <w:rsid w:val="00BB33DD"/>
    <w:rsid w:val="00BB3412"/>
    <w:rsid w:val="00BB34F9"/>
    <w:rsid w:val="00BB3534"/>
    <w:rsid w:val="00BB355D"/>
    <w:rsid w:val="00BB3698"/>
    <w:rsid w:val="00BB36C7"/>
    <w:rsid w:val="00BB36E8"/>
    <w:rsid w:val="00BB3739"/>
    <w:rsid w:val="00BB37B8"/>
    <w:rsid w:val="00BB37BC"/>
    <w:rsid w:val="00BB392F"/>
    <w:rsid w:val="00BB3ABC"/>
    <w:rsid w:val="00BB3B0B"/>
    <w:rsid w:val="00BB3BCA"/>
    <w:rsid w:val="00BB3C2C"/>
    <w:rsid w:val="00BB3CC0"/>
    <w:rsid w:val="00BB3D31"/>
    <w:rsid w:val="00BB3D64"/>
    <w:rsid w:val="00BB3DA3"/>
    <w:rsid w:val="00BB3E6C"/>
    <w:rsid w:val="00BB3F30"/>
    <w:rsid w:val="00BB3FA6"/>
    <w:rsid w:val="00BB4078"/>
    <w:rsid w:val="00BB4093"/>
    <w:rsid w:val="00BB4241"/>
    <w:rsid w:val="00BB42E0"/>
    <w:rsid w:val="00BB42F1"/>
    <w:rsid w:val="00BB431A"/>
    <w:rsid w:val="00BB433A"/>
    <w:rsid w:val="00BB4350"/>
    <w:rsid w:val="00BB4399"/>
    <w:rsid w:val="00BB439E"/>
    <w:rsid w:val="00BB43C9"/>
    <w:rsid w:val="00BB4496"/>
    <w:rsid w:val="00BB456A"/>
    <w:rsid w:val="00BB45A3"/>
    <w:rsid w:val="00BB45F9"/>
    <w:rsid w:val="00BB46C9"/>
    <w:rsid w:val="00BB4701"/>
    <w:rsid w:val="00BB484F"/>
    <w:rsid w:val="00BB4899"/>
    <w:rsid w:val="00BB48B9"/>
    <w:rsid w:val="00BB48DC"/>
    <w:rsid w:val="00BB49C9"/>
    <w:rsid w:val="00BB4B4D"/>
    <w:rsid w:val="00BB4B81"/>
    <w:rsid w:val="00BB4BA6"/>
    <w:rsid w:val="00BB4D03"/>
    <w:rsid w:val="00BB4D3B"/>
    <w:rsid w:val="00BB4DA2"/>
    <w:rsid w:val="00BB4E27"/>
    <w:rsid w:val="00BB4E98"/>
    <w:rsid w:val="00BB4F39"/>
    <w:rsid w:val="00BB4F5C"/>
    <w:rsid w:val="00BB5026"/>
    <w:rsid w:val="00BB5035"/>
    <w:rsid w:val="00BB5107"/>
    <w:rsid w:val="00BB51C3"/>
    <w:rsid w:val="00BB5243"/>
    <w:rsid w:val="00BB52EB"/>
    <w:rsid w:val="00BB5319"/>
    <w:rsid w:val="00BB5388"/>
    <w:rsid w:val="00BB53BA"/>
    <w:rsid w:val="00BB53C5"/>
    <w:rsid w:val="00BB53F0"/>
    <w:rsid w:val="00BB5501"/>
    <w:rsid w:val="00BB556C"/>
    <w:rsid w:val="00BB559B"/>
    <w:rsid w:val="00BB55D0"/>
    <w:rsid w:val="00BB563D"/>
    <w:rsid w:val="00BB566C"/>
    <w:rsid w:val="00BB5670"/>
    <w:rsid w:val="00BB5714"/>
    <w:rsid w:val="00BB57FC"/>
    <w:rsid w:val="00BB5989"/>
    <w:rsid w:val="00BB5999"/>
    <w:rsid w:val="00BB5A25"/>
    <w:rsid w:val="00BB5B05"/>
    <w:rsid w:val="00BB5B06"/>
    <w:rsid w:val="00BB5B08"/>
    <w:rsid w:val="00BB5D8D"/>
    <w:rsid w:val="00BB5DCD"/>
    <w:rsid w:val="00BB5E7B"/>
    <w:rsid w:val="00BB5EE3"/>
    <w:rsid w:val="00BB5EF8"/>
    <w:rsid w:val="00BB5FC4"/>
    <w:rsid w:val="00BB6041"/>
    <w:rsid w:val="00BB6083"/>
    <w:rsid w:val="00BB608B"/>
    <w:rsid w:val="00BB60A7"/>
    <w:rsid w:val="00BB60FF"/>
    <w:rsid w:val="00BB615F"/>
    <w:rsid w:val="00BB6177"/>
    <w:rsid w:val="00BB61FC"/>
    <w:rsid w:val="00BB6290"/>
    <w:rsid w:val="00BB62F1"/>
    <w:rsid w:val="00BB62F5"/>
    <w:rsid w:val="00BB6335"/>
    <w:rsid w:val="00BB633D"/>
    <w:rsid w:val="00BB6365"/>
    <w:rsid w:val="00BB641C"/>
    <w:rsid w:val="00BB64E1"/>
    <w:rsid w:val="00BB64F0"/>
    <w:rsid w:val="00BB65A3"/>
    <w:rsid w:val="00BB6671"/>
    <w:rsid w:val="00BB667D"/>
    <w:rsid w:val="00BB66A5"/>
    <w:rsid w:val="00BB672D"/>
    <w:rsid w:val="00BB6785"/>
    <w:rsid w:val="00BB69CD"/>
    <w:rsid w:val="00BB6A2D"/>
    <w:rsid w:val="00BB6A71"/>
    <w:rsid w:val="00BB6C15"/>
    <w:rsid w:val="00BB6C3B"/>
    <w:rsid w:val="00BB6C55"/>
    <w:rsid w:val="00BB6C83"/>
    <w:rsid w:val="00BB6C9E"/>
    <w:rsid w:val="00BB6DE4"/>
    <w:rsid w:val="00BB6DEC"/>
    <w:rsid w:val="00BB6DF2"/>
    <w:rsid w:val="00BB6E68"/>
    <w:rsid w:val="00BB6EC8"/>
    <w:rsid w:val="00BB6ED6"/>
    <w:rsid w:val="00BB6FD3"/>
    <w:rsid w:val="00BB7164"/>
    <w:rsid w:val="00BB726B"/>
    <w:rsid w:val="00BB7322"/>
    <w:rsid w:val="00BB741A"/>
    <w:rsid w:val="00BB753A"/>
    <w:rsid w:val="00BB758F"/>
    <w:rsid w:val="00BB764C"/>
    <w:rsid w:val="00BB764E"/>
    <w:rsid w:val="00BB76BE"/>
    <w:rsid w:val="00BB76CB"/>
    <w:rsid w:val="00BB76E3"/>
    <w:rsid w:val="00BB7775"/>
    <w:rsid w:val="00BB77A2"/>
    <w:rsid w:val="00BB77D6"/>
    <w:rsid w:val="00BB789D"/>
    <w:rsid w:val="00BB78AD"/>
    <w:rsid w:val="00BB78BB"/>
    <w:rsid w:val="00BB791D"/>
    <w:rsid w:val="00BB79A6"/>
    <w:rsid w:val="00BB79B5"/>
    <w:rsid w:val="00BB7A10"/>
    <w:rsid w:val="00BB7A1E"/>
    <w:rsid w:val="00BB7A30"/>
    <w:rsid w:val="00BB7A57"/>
    <w:rsid w:val="00BB7B4D"/>
    <w:rsid w:val="00BB7D5C"/>
    <w:rsid w:val="00BB7D65"/>
    <w:rsid w:val="00BB7DE8"/>
    <w:rsid w:val="00BB7ED4"/>
    <w:rsid w:val="00BB7F20"/>
    <w:rsid w:val="00BB7F2C"/>
    <w:rsid w:val="00BB7F74"/>
    <w:rsid w:val="00BC0066"/>
    <w:rsid w:val="00BC013F"/>
    <w:rsid w:val="00BC015C"/>
    <w:rsid w:val="00BC01DE"/>
    <w:rsid w:val="00BC027E"/>
    <w:rsid w:val="00BC033D"/>
    <w:rsid w:val="00BC03C3"/>
    <w:rsid w:val="00BC0401"/>
    <w:rsid w:val="00BC0588"/>
    <w:rsid w:val="00BC05CA"/>
    <w:rsid w:val="00BC0601"/>
    <w:rsid w:val="00BC0609"/>
    <w:rsid w:val="00BC0630"/>
    <w:rsid w:val="00BC0637"/>
    <w:rsid w:val="00BC069E"/>
    <w:rsid w:val="00BC06D8"/>
    <w:rsid w:val="00BC06F9"/>
    <w:rsid w:val="00BC072C"/>
    <w:rsid w:val="00BC0779"/>
    <w:rsid w:val="00BC07AB"/>
    <w:rsid w:val="00BC07C9"/>
    <w:rsid w:val="00BC07DC"/>
    <w:rsid w:val="00BC083C"/>
    <w:rsid w:val="00BC088A"/>
    <w:rsid w:val="00BC0890"/>
    <w:rsid w:val="00BC08BE"/>
    <w:rsid w:val="00BC08F1"/>
    <w:rsid w:val="00BC0971"/>
    <w:rsid w:val="00BC0980"/>
    <w:rsid w:val="00BC09A1"/>
    <w:rsid w:val="00BC0AC0"/>
    <w:rsid w:val="00BC0AD6"/>
    <w:rsid w:val="00BC0AEC"/>
    <w:rsid w:val="00BC0B11"/>
    <w:rsid w:val="00BC0B40"/>
    <w:rsid w:val="00BC0C11"/>
    <w:rsid w:val="00BC0C32"/>
    <w:rsid w:val="00BC0CC9"/>
    <w:rsid w:val="00BC0D8B"/>
    <w:rsid w:val="00BC0D95"/>
    <w:rsid w:val="00BC0DFF"/>
    <w:rsid w:val="00BC0E41"/>
    <w:rsid w:val="00BC0ED2"/>
    <w:rsid w:val="00BC0EDB"/>
    <w:rsid w:val="00BC0F1C"/>
    <w:rsid w:val="00BC0FA3"/>
    <w:rsid w:val="00BC0FEB"/>
    <w:rsid w:val="00BC102D"/>
    <w:rsid w:val="00BC1042"/>
    <w:rsid w:val="00BC104A"/>
    <w:rsid w:val="00BC10E4"/>
    <w:rsid w:val="00BC10FE"/>
    <w:rsid w:val="00BC1128"/>
    <w:rsid w:val="00BC11AA"/>
    <w:rsid w:val="00BC11DD"/>
    <w:rsid w:val="00BC11E1"/>
    <w:rsid w:val="00BC129C"/>
    <w:rsid w:val="00BC12F2"/>
    <w:rsid w:val="00BC135E"/>
    <w:rsid w:val="00BC13CF"/>
    <w:rsid w:val="00BC14D5"/>
    <w:rsid w:val="00BC1526"/>
    <w:rsid w:val="00BC15DA"/>
    <w:rsid w:val="00BC1619"/>
    <w:rsid w:val="00BC1658"/>
    <w:rsid w:val="00BC1740"/>
    <w:rsid w:val="00BC174A"/>
    <w:rsid w:val="00BC1771"/>
    <w:rsid w:val="00BC17BE"/>
    <w:rsid w:val="00BC18DB"/>
    <w:rsid w:val="00BC1999"/>
    <w:rsid w:val="00BC1A3C"/>
    <w:rsid w:val="00BC1A77"/>
    <w:rsid w:val="00BC1A8B"/>
    <w:rsid w:val="00BC1AD7"/>
    <w:rsid w:val="00BC1B0A"/>
    <w:rsid w:val="00BC1B5F"/>
    <w:rsid w:val="00BC1D00"/>
    <w:rsid w:val="00BC1D19"/>
    <w:rsid w:val="00BC1D31"/>
    <w:rsid w:val="00BC1D35"/>
    <w:rsid w:val="00BC1D4A"/>
    <w:rsid w:val="00BC1DAB"/>
    <w:rsid w:val="00BC1E60"/>
    <w:rsid w:val="00BC1EBD"/>
    <w:rsid w:val="00BC1F07"/>
    <w:rsid w:val="00BC1FE9"/>
    <w:rsid w:val="00BC207D"/>
    <w:rsid w:val="00BC2088"/>
    <w:rsid w:val="00BC213E"/>
    <w:rsid w:val="00BC21D2"/>
    <w:rsid w:val="00BC2232"/>
    <w:rsid w:val="00BC22A3"/>
    <w:rsid w:val="00BC22CC"/>
    <w:rsid w:val="00BC23C3"/>
    <w:rsid w:val="00BC23D3"/>
    <w:rsid w:val="00BC23ED"/>
    <w:rsid w:val="00BC24BE"/>
    <w:rsid w:val="00BC2507"/>
    <w:rsid w:val="00BC2632"/>
    <w:rsid w:val="00BC26A8"/>
    <w:rsid w:val="00BC26E1"/>
    <w:rsid w:val="00BC2818"/>
    <w:rsid w:val="00BC286F"/>
    <w:rsid w:val="00BC298E"/>
    <w:rsid w:val="00BC2A15"/>
    <w:rsid w:val="00BC2B69"/>
    <w:rsid w:val="00BC2B6D"/>
    <w:rsid w:val="00BC2B83"/>
    <w:rsid w:val="00BC2BBD"/>
    <w:rsid w:val="00BC2C35"/>
    <w:rsid w:val="00BC2C36"/>
    <w:rsid w:val="00BC2C99"/>
    <w:rsid w:val="00BC2D0B"/>
    <w:rsid w:val="00BC2E42"/>
    <w:rsid w:val="00BC2E59"/>
    <w:rsid w:val="00BC2F3E"/>
    <w:rsid w:val="00BC2F81"/>
    <w:rsid w:val="00BC2F8D"/>
    <w:rsid w:val="00BC2F8F"/>
    <w:rsid w:val="00BC2F98"/>
    <w:rsid w:val="00BC300E"/>
    <w:rsid w:val="00BC3049"/>
    <w:rsid w:val="00BC30F0"/>
    <w:rsid w:val="00BC3177"/>
    <w:rsid w:val="00BC31CF"/>
    <w:rsid w:val="00BC31D4"/>
    <w:rsid w:val="00BC31ED"/>
    <w:rsid w:val="00BC31FE"/>
    <w:rsid w:val="00BC3277"/>
    <w:rsid w:val="00BC328F"/>
    <w:rsid w:val="00BC331D"/>
    <w:rsid w:val="00BC331E"/>
    <w:rsid w:val="00BC338F"/>
    <w:rsid w:val="00BC33D4"/>
    <w:rsid w:val="00BC33E5"/>
    <w:rsid w:val="00BC3424"/>
    <w:rsid w:val="00BC349B"/>
    <w:rsid w:val="00BC34C8"/>
    <w:rsid w:val="00BC354E"/>
    <w:rsid w:val="00BC3562"/>
    <w:rsid w:val="00BC358F"/>
    <w:rsid w:val="00BC3592"/>
    <w:rsid w:val="00BC35C8"/>
    <w:rsid w:val="00BC366B"/>
    <w:rsid w:val="00BC36D8"/>
    <w:rsid w:val="00BC3727"/>
    <w:rsid w:val="00BC378B"/>
    <w:rsid w:val="00BC37B8"/>
    <w:rsid w:val="00BC388D"/>
    <w:rsid w:val="00BC388E"/>
    <w:rsid w:val="00BC389D"/>
    <w:rsid w:val="00BC3935"/>
    <w:rsid w:val="00BC39B4"/>
    <w:rsid w:val="00BC3AAB"/>
    <w:rsid w:val="00BC3B1B"/>
    <w:rsid w:val="00BC3B4A"/>
    <w:rsid w:val="00BC3BB0"/>
    <w:rsid w:val="00BC3BC7"/>
    <w:rsid w:val="00BC3CBE"/>
    <w:rsid w:val="00BC3D2D"/>
    <w:rsid w:val="00BC3D36"/>
    <w:rsid w:val="00BC3D95"/>
    <w:rsid w:val="00BC3DD8"/>
    <w:rsid w:val="00BC3F13"/>
    <w:rsid w:val="00BC3F57"/>
    <w:rsid w:val="00BC3F65"/>
    <w:rsid w:val="00BC4075"/>
    <w:rsid w:val="00BC407C"/>
    <w:rsid w:val="00BC4080"/>
    <w:rsid w:val="00BC40EE"/>
    <w:rsid w:val="00BC4112"/>
    <w:rsid w:val="00BC4185"/>
    <w:rsid w:val="00BC418D"/>
    <w:rsid w:val="00BC4221"/>
    <w:rsid w:val="00BC4225"/>
    <w:rsid w:val="00BC422B"/>
    <w:rsid w:val="00BC4256"/>
    <w:rsid w:val="00BC4258"/>
    <w:rsid w:val="00BC4272"/>
    <w:rsid w:val="00BC42AF"/>
    <w:rsid w:val="00BC432C"/>
    <w:rsid w:val="00BC43CF"/>
    <w:rsid w:val="00BC4400"/>
    <w:rsid w:val="00BC4440"/>
    <w:rsid w:val="00BC4469"/>
    <w:rsid w:val="00BC44FA"/>
    <w:rsid w:val="00BC453E"/>
    <w:rsid w:val="00BC49C2"/>
    <w:rsid w:val="00BC4B4C"/>
    <w:rsid w:val="00BC4BC9"/>
    <w:rsid w:val="00BC4C06"/>
    <w:rsid w:val="00BC4C27"/>
    <w:rsid w:val="00BC4C50"/>
    <w:rsid w:val="00BC4C71"/>
    <w:rsid w:val="00BC4CDE"/>
    <w:rsid w:val="00BC4D71"/>
    <w:rsid w:val="00BC4E9E"/>
    <w:rsid w:val="00BC4EEB"/>
    <w:rsid w:val="00BC4F39"/>
    <w:rsid w:val="00BC503C"/>
    <w:rsid w:val="00BC5077"/>
    <w:rsid w:val="00BC50AF"/>
    <w:rsid w:val="00BC50FD"/>
    <w:rsid w:val="00BC5141"/>
    <w:rsid w:val="00BC5189"/>
    <w:rsid w:val="00BC51D2"/>
    <w:rsid w:val="00BC526E"/>
    <w:rsid w:val="00BC52C1"/>
    <w:rsid w:val="00BC52C7"/>
    <w:rsid w:val="00BC53B2"/>
    <w:rsid w:val="00BC55C5"/>
    <w:rsid w:val="00BC5614"/>
    <w:rsid w:val="00BC568D"/>
    <w:rsid w:val="00BC56F6"/>
    <w:rsid w:val="00BC5706"/>
    <w:rsid w:val="00BC5735"/>
    <w:rsid w:val="00BC573D"/>
    <w:rsid w:val="00BC5763"/>
    <w:rsid w:val="00BC58B4"/>
    <w:rsid w:val="00BC5981"/>
    <w:rsid w:val="00BC5A60"/>
    <w:rsid w:val="00BC5A89"/>
    <w:rsid w:val="00BC5B74"/>
    <w:rsid w:val="00BC5B88"/>
    <w:rsid w:val="00BC5B95"/>
    <w:rsid w:val="00BC5BBB"/>
    <w:rsid w:val="00BC5BF6"/>
    <w:rsid w:val="00BC5C22"/>
    <w:rsid w:val="00BC5C36"/>
    <w:rsid w:val="00BC5CB6"/>
    <w:rsid w:val="00BC5CFF"/>
    <w:rsid w:val="00BC5D56"/>
    <w:rsid w:val="00BC5D7A"/>
    <w:rsid w:val="00BC5D8B"/>
    <w:rsid w:val="00BC5E18"/>
    <w:rsid w:val="00BC5EDF"/>
    <w:rsid w:val="00BC5F41"/>
    <w:rsid w:val="00BC5F5F"/>
    <w:rsid w:val="00BC5FB0"/>
    <w:rsid w:val="00BC60AF"/>
    <w:rsid w:val="00BC60FE"/>
    <w:rsid w:val="00BC6109"/>
    <w:rsid w:val="00BC6131"/>
    <w:rsid w:val="00BC616F"/>
    <w:rsid w:val="00BC6191"/>
    <w:rsid w:val="00BC61FD"/>
    <w:rsid w:val="00BC62C0"/>
    <w:rsid w:val="00BC6314"/>
    <w:rsid w:val="00BC633E"/>
    <w:rsid w:val="00BC6349"/>
    <w:rsid w:val="00BC637C"/>
    <w:rsid w:val="00BC63B6"/>
    <w:rsid w:val="00BC64A4"/>
    <w:rsid w:val="00BC652E"/>
    <w:rsid w:val="00BC6553"/>
    <w:rsid w:val="00BC65D7"/>
    <w:rsid w:val="00BC65F9"/>
    <w:rsid w:val="00BC661E"/>
    <w:rsid w:val="00BC6673"/>
    <w:rsid w:val="00BC6730"/>
    <w:rsid w:val="00BC67AA"/>
    <w:rsid w:val="00BC67F9"/>
    <w:rsid w:val="00BC6841"/>
    <w:rsid w:val="00BC68DA"/>
    <w:rsid w:val="00BC691F"/>
    <w:rsid w:val="00BC6975"/>
    <w:rsid w:val="00BC6979"/>
    <w:rsid w:val="00BC6AA9"/>
    <w:rsid w:val="00BC6AD4"/>
    <w:rsid w:val="00BC6B0E"/>
    <w:rsid w:val="00BC6B29"/>
    <w:rsid w:val="00BC6B34"/>
    <w:rsid w:val="00BC6B9B"/>
    <w:rsid w:val="00BC6BD1"/>
    <w:rsid w:val="00BC6C7A"/>
    <w:rsid w:val="00BC6D2A"/>
    <w:rsid w:val="00BC6DEB"/>
    <w:rsid w:val="00BC6E85"/>
    <w:rsid w:val="00BC6EA9"/>
    <w:rsid w:val="00BC6ECB"/>
    <w:rsid w:val="00BC6EFB"/>
    <w:rsid w:val="00BC6F28"/>
    <w:rsid w:val="00BC6F34"/>
    <w:rsid w:val="00BC6F3A"/>
    <w:rsid w:val="00BC6F59"/>
    <w:rsid w:val="00BC7102"/>
    <w:rsid w:val="00BC7129"/>
    <w:rsid w:val="00BC7139"/>
    <w:rsid w:val="00BC727B"/>
    <w:rsid w:val="00BC7297"/>
    <w:rsid w:val="00BC72AA"/>
    <w:rsid w:val="00BC732E"/>
    <w:rsid w:val="00BC746E"/>
    <w:rsid w:val="00BC7574"/>
    <w:rsid w:val="00BC757A"/>
    <w:rsid w:val="00BC75AC"/>
    <w:rsid w:val="00BC7664"/>
    <w:rsid w:val="00BC76C3"/>
    <w:rsid w:val="00BC7722"/>
    <w:rsid w:val="00BC777B"/>
    <w:rsid w:val="00BC785E"/>
    <w:rsid w:val="00BC78D7"/>
    <w:rsid w:val="00BC793D"/>
    <w:rsid w:val="00BC7A27"/>
    <w:rsid w:val="00BC7B29"/>
    <w:rsid w:val="00BC7B4D"/>
    <w:rsid w:val="00BC7B79"/>
    <w:rsid w:val="00BC7DBC"/>
    <w:rsid w:val="00BC7ED0"/>
    <w:rsid w:val="00BC7F17"/>
    <w:rsid w:val="00BC7F94"/>
    <w:rsid w:val="00BC7FA6"/>
    <w:rsid w:val="00BC7FE1"/>
    <w:rsid w:val="00BD00C5"/>
    <w:rsid w:val="00BD00D7"/>
    <w:rsid w:val="00BD0192"/>
    <w:rsid w:val="00BD01B4"/>
    <w:rsid w:val="00BD01F7"/>
    <w:rsid w:val="00BD02DF"/>
    <w:rsid w:val="00BD0325"/>
    <w:rsid w:val="00BD0470"/>
    <w:rsid w:val="00BD048F"/>
    <w:rsid w:val="00BD0582"/>
    <w:rsid w:val="00BD0604"/>
    <w:rsid w:val="00BD065B"/>
    <w:rsid w:val="00BD0678"/>
    <w:rsid w:val="00BD06D2"/>
    <w:rsid w:val="00BD07B6"/>
    <w:rsid w:val="00BD07DD"/>
    <w:rsid w:val="00BD0882"/>
    <w:rsid w:val="00BD08B1"/>
    <w:rsid w:val="00BD090F"/>
    <w:rsid w:val="00BD0910"/>
    <w:rsid w:val="00BD095D"/>
    <w:rsid w:val="00BD0A04"/>
    <w:rsid w:val="00BD0A1F"/>
    <w:rsid w:val="00BD0A26"/>
    <w:rsid w:val="00BD0A57"/>
    <w:rsid w:val="00BD0BB9"/>
    <w:rsid w:val="00BD0C5E"/>
    <w:rsid w:val="00BD0CBA"/>
    <w:rsid w:val="00BD0DFD"/>
    <w:rsid w:val="00BD0E02"/>
    <w:rsid w:val="00BD0E38"/>
    <w:rsid w:val="00BD0F72"/>
    <w:rsid w:val="00BD0FF7"/>
    <w:rsid w:val="00BD107E"/>
    <w:rsid w:val="00BD1091"/>
    <w:rsid w:val="00BD10F3"/>
    <w:rsid w:val="00BD10F7"/>
    <w:rsid w:val="00BD1116"/>
    <w:rsid w:val="00BD1118"/>
    <w:rsid w:val="00BD111D"/>
    <w:rsid w:val="00BD115E"/>
    <w:rsid w:val="00BD120B"/>
    <w:rsid w:val="00BD12FC"/>
    <w:rsid w:val="00BD1393"/>
    <w:rsid w:val="00BD1405"/>
    <w:rsid w:val="00BD144F"/>
    <w:rsid w:val="00BD145A"/>
    <w:rsid w:val="00BD156F"/>
    <w:rsid w:val="00BD1579"/>
    <w:rsid w:val="00BD15C6"/>
    <w:rsid w:val="00BD15DF"/>
    <w:rsid w:val="00BD1687"/>
    <w:rsid w:val="00BD16B0"/>
    <w:rsid w:val="00BD16B2"/>
    <w:rsid w:val="00BD1804"/>
    <w:rsid w:val="00BD183F"/>
    <w:rsid w:val="00BD18EA"/>
    <w:rsid w:val="00BD18FD"/>
    <w:rsid w:val="00BD190B"/>
    <w:rsid w:val="00BD1A39"/>
    <w:rsid w:val="00BD1A83"/>
    <w:rsid w:val="00BD1A8F"/>
    <w:rsid w:val="00BD1A90"/>
    <w:rsid w:val="00BD1AF6"/>
    <w:rsid w:val="00BD1BB7"/>
    <w:rsid w:val="00BD1C15"/>
    <w:rsid w:val="00BD1C64"/>
    <w:rsid w:val="00BD1CA9"/>
    <w:rsid w:val="00BD1CDB"/>
    <w:rsid w:val="00BD1D13"/>
    <w:rsid w:val="00BD1D3D"/>
    <w:rsid w:val="00BD1E09"/>
    <w:rsid w:val="00BD1E26"/>
    <w:rsid w:val="00BD1E65"/>
    <w:rsid w:val="00BD1E7E"/>
    <w:rsid w:val="00BD1EC4"/>
    <w:rsid w:val="00BD1EF3"/>
    <w:rsid w:val="00BD1EFC"/>
    <w:rsid w:val="00BD1F22"/>
    <w:rsid w:val="00BD21CA"/>
    <w:rsid w:val="00BD220B"/>
    <w:rsid w:val="00BD2236"/>
    <w:rsid w:val="00BD2326"/>
    <w:rsid w:val="00BD2342"/>
    <w:rsid w:val="00BD23AB"/>
    <w:rsid w:val="00BD23C6"/>
    <w:rsid w:val="00BD23D9"/>
    <w:rsid w:val="00BD23E5"/>
    <w:rsid w:val="00BD2464"/>
    <w:rsid w:val="00BD24DD"/>
    <w:rsid w:val="00BD2543"/>
    <w:rsid w:val="00BD2612"/>
    <w:rsid w:val="00BD26DC"/>
    <w:rsid w:val="00BD2760"/>
    <w:rsid w:val="00BD278C"/>
    <w:rsid w:val="00BD282E"/>
    <w:rsid w:val="00BD2886"/>
    <w:rsid w:val="00BD293C"/>
    <w:rsid w:val="00BD29F7"/>
    <w:rsid w:val="00BD29FB"/>
    <w:rsid w:val="00BD29FD"/>
    <w:rsid w:val="00BD2A99"/>
    <w:rsid w:val="00BD2C61"/>
    <w:rsid w:val="00BD2C6A"/>
    <w:rsid w:val="00BD2C70"/>
    <w:rsid w:val="00BD2C72"/>
    <w:rsid w:val="00BD2CA2"/>
    <w:rsid w:val="00BD2CF2"/>
    <w:rsid w:val="00BD2D65"/>
    <w:rsid w:val="00BD2E94"/>
    <w:rsid w:val="00BD2F99"/>
    <w:rsid w:val="00BD305A"/>
    <w:rsid w:val="00BD3086"/>
    <w:rsid w:val="00BD30FD"/>
    <w:rsid w:val="00BD3101"/>
    <w:rsid w:val="00BD31DB"/>
    <w:rsid w:val="00BD31EC"/>
    <w:rsid w:val="00BD32D3"/>
    <w:rsid w:val="00BD331C"/>
    <w:rsid w:val="00BD33F7"/>
    <w:rsid w:val="00BD3416"/>
    <w:rsid w:val="00BD3482"/>
    <w:rsid w:val="00BD35FC"/>
    <w:rsid w:val="00BD36A4"/>
    <w:rsid w:val="00BD3830"/>
    <w:rsid w:val="00BD3833"/>
    <w:rsid w:val="00BD3841"/>
    <w:rsid w:val="00BD38A8"/>
    <w:rsid w:val="00BD38BC"/>
    <w:rsid w:val="00BD3A27"/>
    <w:rsid w:val="00BD3B54"/>
    <w:rsid w:val="00BD3B8E"/>
    <w:rsid w:val="00BD3BC5"/>
    <w:rsid w:val="00BD3BED"/>
    <w:rsid w:val="00BD3C3D"/>
    <w:rsid w:val="00BD3CCB"/>
    <w:rsid w:val="00BD3D09"/>
    <w:rsid w:val="00BD3D69"/>
    <w:rsid w:val="00BD3E15"/>
    <w:rsid w:val="00BD3E5C"/>
    <w:rsid w:val="00BD3E7D"/>
    <w:rsid w:val="00BD3EAA"/>
    <w:rsid w:val="00BD3EE9"/>
    <w:rsid w:val="00BD3FB5"/>
    <w:rsid w:val="00BD3FF6"/>
    <w:rsid w:val="00BD40DE"/>
    <w:rsid w:val="00BD4143"/>
    <w:rsid w:val="00BD4167"/>
    <w:rsid w:val="00BD41E8"/>
    <w:rsid w:val="00BD426A"/>
    <w:rsid w:val="00BD4402"/>
    <w:rsid w:val="00BD44E4"/>
    <w:rsid w:val="00BD44F2"/>
    <w:rsid w:val="00BD4679"/>
    <w:rsid w:val="00BD469B"/>
    <w:rsid w:val="00BD46E5"/>
    <w:rsid w:val="00BD471B"/>
    <w:rsid w:val="00BD47CE"/>
    <w:rsid w:val="00BD47D7"/>
    <w:rsid w:val="00BD48C8"/>
    <w:rsid w:val="00BD4931"/>
    <w:rsid w:val="00BD4976"/>
    <w:rsid w:val="00BD49AB"/>
    <w:rsid w:val="00BD4A8A"/>
    <w:rsid w:val="00BD4B7D"/>
    <w:rsid w:val="00BD4D02"/>
    <w:rsid w:val="00BD4D42"/>
    <w:rsid w:val="00BD4E86"/>
    <w:rsid w:val="00BD4F27"/>
    <w:rsid w:val="00BD4F4C"/>
    <w:rsid w:val="00BD4F76"/>
    <w:rsid w:val="00BD4FEF"/>
    <w:rsid w:val="00BD5002"/>
    <w:rsid w:val="00BD501C"/>
    <w:rsid w:val="00BD50BF"/>
    <w:rsid w:val="00BD5102"/>
    <w:rsid w:val="00BD51C7"/>
    <w:rsid w:val="00BD51E6"/>
    <w:rsid w:val="00BD5219"/>
    <w:rsid w:val="00BD5264"/>
    <w:rsid w:val="00BD5302"/>
    <w:rsid w:val="00BD540C"/>
    <w:rsid w:val="00BD54CB"/>
    <w:rsid w:val="00BD54F1"/>
    <w:rsid w:val="00BD56AF"/>
    <w:rsid w:val="00BD5756"/>
    <w:rsid w:val="00BD57A3"/>
    <w:rsid w:val="00BD585E"/>
    <w:rsid w:val="00BD58F8"/>
    <w:rsid w:val="00BD59BA"/>
    <w:rsid w:val="00BD59C3"/>
    <w:rsid w:val="00BD5A05"/>
    <w:rsid w:val="00BD5A49"/>
    <w:rsid w:val="00BD5AE9"/>
    <w:rsid w:val="00BD5B7A"/>
    <w:rsid w:val="00BD5BFD"/>
    <w:rsid w:val="00BD5C11"/>
    <w:rsid w:val="00BD5CAF"/>
    <w:rsid w:val="00BD5CD1"/>
    <w:rsid w:val="00BD5CE0"/>
    <w:rsid w:val="00BD5CF7"/>
    <w:rsid w:val="00BD5DA3"/>
    <w:rsid w:val="00BD5DBE"/>
    <w:rsid w:val="00BD5E28"/>
    <w:rsid w:val="00BD5ED5"/>
    <w:rsid w:val="00BD5EEC"/>
    <w:rsid w:val="00BD6022"/>
    <w:rsid w:val="00BD6048"/>
    <w:rsid w:val="00BD60A7"/>
    <w:rsid w:val="00BD6106"/>
    <w:rsid w:val="00BD6180"/>
    <w:rsid w:val="00BD61CE"/>
    <w:rsid w:val="00BD61F9"/>
    <w:rsid w:val="00BD623E"/>
    <w:rsid w:val="00BD6319"/>
    <w:rsid w:val="00BD63AC"/>
    <w:rsid w:val="00BD63B8"/>
    <w:rsid w:val="00BD63C4"/>
    <w:rsid w:val="00BD6416"/>
    <w:rsid w:val="00BD644F"/>
    <w:rsid w:val="00BD64FA"/>
    <w:rsid w:val="00BD65EF"/>
    <w:rsid w:val="00BD6632"/>
    <w:rsid w:val="00BD666A"/>
    <w:rsid w:val="00BD66E9"/>
    <w:rsid w:val="00BD6701"/>
    <w:rsid w:val="00BD6816"/>
    <w:rsid w:val="00BD684D"/>
    <w:rsid w:val="00BD68AA"/>
    <w:rsid w:val="00BD69C8"/>
    <w:rsid w:val="00BD69E2"/>
    <w:rsid w:val="00BD69E6"/>
    <w:rsid w:val="00BD6AC0"/>
    <w:rsid w:val="00BD6AC6"/>
    <w:rsid w:val="00BD6B4B"/>
    <w:rsid w:val="00BD6C10"/>
    <w:rsid w:val="00BD6CCA"/>
    <w:rsid w:val="00BD6CFB"/>
    <w:rsid w:val="00BD6D59"/>
    <w:rsid w:val="00BD6E21"/>
    <w:rsid w:val="00BD6E29"/>
    <w:rsid w:val="00BD6F53"/>
    <w:rsid w:val="00BD7001"/>
    <w:rsid w:val="00BD70A6"/>
    <w:rsid w:val="00BD70F7"/>
    <w:rsid w:val="00BD7171"/>
    <w:rsid w:val="00BD71C7"/>
    <w:rsid w:val="00BD71D2"/>
    <w:rsid w:val="00BD7220"/>
    <w:rsid w:val="00BD72CB"/>
    <w:rsid w:val="00BD7302"/>
    <w:rsid w:val="00BD7327"/>
    <w:rsid w:val="00BD732C"/>
    <w:rsid w:val="00BD7347"/>
    <w:rsid w:val="00BD7387"/>
    <w:rsid w:val="00BD7435"/>
    <w:rsid w:val="00BD7461"/>
    <w:rsid w:val="00BD7498"/>
    <w:rsid w:val="00BD758D"/>
    <w:rsid w:val="00BD760D"/>
    <w:rsid w:val="00BD7690"/>
    <w:rsid w:val="00BD76DD"/>
    <w:rsid w:val="00BD7720"/>
    <w:rsid w:val="00BD77D7"/>
    <w:rsid w:val="00BD77DB"/>
    <w:rsid w:val="00BD785F"/>
    <w:rsid w:val="00BD7883"/>
    <w:rsid w:val="00BD79D3"/>
    <w:rsid w:val="00BD79E0"/>
    <w:rsid w:val="00BD79F3"/>
    <w:rsid w:val="00BD7AC2"/>
    <w:rsid w:val="00BD7B3D"/>
    <w:rsid w:val="00BD7C11"/>
    <w:rsid w:val="00BD7C5D"/>
    <w:rsid w:val="00BD7C7B"/>
    <w:rsid w:val="00BD7C85"/>
    <w:rsid w:val="00BD7C8A"/>
    <w:rsid w:val="00BD7CB4"/>
    <w:rsid w:val="00BD7D61"/>
    <w:rsid w:val="00BD7D87"/>
    <w:rsid w:val="00BD7D93"/>
    <w:rsid w:val="00BD7DBB"/>
    <w:rsid w:val="00BD7DE0"/>
    <w:rsid w:val="00BD7E1F"/>
    <w:rsid w:val="00BD7E65"/>
    <w:rsid w:val="00BD7E92"/>
    <w:rsid w:val="00BD7EF9"/>
    <w:rsid w:val="00BD7F6C"/>
    <w:rsid w:val="00BE009D"/>
    <w:rsid w:val="00BE012E"/>
    <w:rsid w:val="00BE0186"/>
    <w:rsid w:val="00BE01C8"/>
    <w:rsid w:val="00BE0218"/>
    <w:rsid w:val="00BE0228"/>
    <w:rsid w:val="00BE0242"/>
    <w:rsid w:val="00BE0246"/>
    <w:rsid w:val="00BE02C8"/>
    <w:rsid w:val="00BE0345"/>
    <w:rsid w:val="00BE0434"/>
    <w:rsid w:val="00BE04F3"/>
    <w:rsid w:val="00BE0684"/>
    <w:rsid w:val="00BE06CC"/>
    <w:rsid w:val="00BE07BD"/>
    <w:rsid w:val="00BE0815"/>
    <w:rsid w:val="00BE08D7"/>
    <w:rsid w:val="00BE09A7"/>
    <w:rsid w:val="00BE09C0"/>
    <w:rsid w:val="00BE0AA0"/>
    <w:rsid w:val="00BE0AC8"/>
    <w:rsid w:val="00BE0AEB"/>
    <w:rsid w:val="00BE0B08"/>
    <w:rsid w:val="00BE0B7D"/>
    <w:rsid w:val="00BE0B94"/>
    <w:rsid w:val="00BE0CAA"/>
    <w:rsid w:val="00BE0CD6"/>
    <w:rsid w:val="00BE0D01"/>
    <w:rsid w:val="00BE0D9A"/>
    <w:rsid w:val="00BE0DF3"/>
    <w:rsid w:val="00BE0E73"/>
    <w:rsid w:val="00BE0F5B"/>
    <w:rsid w:val="00BE0F72"/>
    <w:rsid w:val="00BE1056"/>
    <w:rsid w:val="00BE1158"/>
    <w:rsid w:val="00BE1185"/>
    <w:rsid w:val="00BE1212"/>
    <w:rsid w:val="00BE1242"/>
    <w:rsid w:val="00BE1257"/>
    <w:rsid w:val="00BE12F8"/>
    <w:rsid w:val="00BE1340"/>
    <w:rsid w:val="00BE1344"/>
    <w:rsid w:val="00BE1420"/>
    <w:rsid w:val="00BE1484"/>
    <w:rsid w:val="00BE14BD"/>
    <w:rsid w:val="00BE14FE"/>
    <w:rsid w:val="00BE151B"/>
    <w:rsid w:val="00BE1531"/>
    <w:rsid w:val="00BE1534"/>
    <w:rsid w:val="00BE15CF"/>
    <w:rsid w:val="00BE15E0"/>
    <w:rsid w:val="00BE1671"/>
    <w:rsid w:val="00BE16A8"/>
    <w:rsid w:val="00BE172D"/>
    <w:rsid w:val="00BE174D"/>
    <w:rsid w:val="00BE17D3"/>
    <w:rsid w:val="00BE1807"/>
    <w:rsid w:val="00BE1890"/>
    <w:rsid w:val="00BE18BB"/>
    <w:rsid w:val="00BE18C7"/>
    <w:rsid w:val="00BE19CB"/>
    <w:rsid w:val="00BE19F7"/>
    <w:rsid w:val="00BE1ACC"/>
    <w:rsid w:val="00BE1B03"/>
    <w:rsid w:val="00BE1D10"/>
    <w:rsid w:val="00BE1D34"/>
    <w:rsid w:val="00BE1D56"/>
    <w:rsid w:val="00BE1D84"/>
    <w:rsid w:val="00BE1EA2"/>
    <w:rsid w:val="00BE1F0C"/>
    <w:rsid w:val="00BE1F1A"/>
    <w:rsid w:val="00BE1F26"/>
    <w:rsid w:val="00BE1FD0"/>
    <w:rsid w:val="00BE201B"/>
    <w:rsid w:val="00BE211D"/>
    <w:rsid w:val="00BE2183"/>
    <w:rsid w:val="00BE21E6"/>
    <w:rsid w:val="00BE220C"/>
    <w:rsid w:val="00BE2246"/>
    <w:rsid w:val="00BE225B"/>
    <w:rsid w:val="00BE229F"/>
    <w:rsid w:val="00BE22B6"/>
    <w:rsid w:val="00BE236A"/>
    <w:rsid w:val="00BE2447"/>
    <w:rsid w:val="00BE2510"/>
    <w:rsid w:val="00BE2548"/>
    <w:rsid w:val="00BE25A7"/>
    <w:rsid w:val="00BE26D7"/>
    <w:rsid w:val="00BE2701"/>
    <w:rsid w:val="00BE270C"/>
    <w:rsid w:val="00BE2739"/>
    <w:rsid w:val="00BE2762"/>
    <w:rsid w:val="00BE276B"/>
    <w:rsid w:val="00BE2770"/>
    <w:rsid w:val="00BE27F2"/>
    <w:rsid w:val="00BE27F9"/>
    <w:rsid w:val="00BE293C"/>
    <w:rsid w:val="00BE29FD"/>
    <w:rsid w:val="00BE2A8D"/>
    <w:rsid w:val="00BE2A92"/>
    <w:rsid w:val="00BE2A9A"/>
    <w:rsid w:val="00BE2AAB"/>
    <w:rsid w:val="00BE2AD3"/>
    <w:rsid w:val="00BE2B6F"/>
    <w:rsid w:val="00BE2BB9"/>
    <w:rsid w:val="00BE2C38"/>
    <w:rsid w:val="00BE2C56"/>
    <w:rsid w:val="00BE2CB7"/>
    <w:rsid w:val="00BE2D45"/>
    <w:rsid w:val="00BE2D6B"/>
    <w:rsid w:val="00BE2E52"/>
    <w:rsid w:val="00BE2E65"/>
    <w:rsid w:val="00BE2EAC"/>
    <w:rsid w:val="00BE30C2"/>
    <w:rsid w:val="00BE30EE"/>
    <w:rsid w:val="00BE31A5"/>
    <w:rsid w:val="00BE322B"/>
    <w:rsid w:val="00BE3232"/>
    <w:rsid w:val="00BE32FC"/>
    <w:rsid w:val="00BE3309"/>
    <w:rsid w:val="00BE3457"/>
    <w:rsid w:val="00BE362E"/>
    <w:rsid w:val="00BE3657"/>
    <w:rsid w:val="00BE3679"/>
    <w:rsid w:val="00BE373B"/>
    <w:rsid w:val="00BE3761"/>
    <w:rsid w:val="00BE37AC"/>
    <w:rsid w:val="00BE37D0"/>
    <w:rsid w:val="00BE380E"/>
    <w:rsid w:val="00BE3921"/>
    <w:rsid w:val="00BE3927"/>
    <w:rsid w:val="00BE392E"/>
    <w:rsid w:val="00BE3936"/>
    <w:rsid w:val="00BE3968"/>
    <w:rsid w:val="00BE39A6"/>
    <w:rsid w:val="00BE39D4"/>
    <w:rsid w:val="00BE3A1F"/>
    <w:rsid w:val="00BE3B51"/>
    <w:rsid w:val="00BE3CC0"/>
    <w:rsid w:val="00BE3CE2"/>
    <w:rsid w:val="00BE3D66"/>
    <w:rsid w:val="00BE3D6B"/>
    <w:rsid w:val="00BE3D6E"/>
    <w:rsid w:val="00BE3DBE"/>
    <w:rsid w:val="00BE3DC1"/>
    <w:rsid w:val="00BE3DFC"/>
    <w:rsid w:val="00BE3E5D"/>
    <w:rsid w:val="00BE3E84"/>
    <w:rsid w:val="00BE3EEB"/>
    <w:rsid w:val="00BE3F07"/>
    <w:rsid w:val="00BE3F4D"/>
    <w:rsid w:val="00BE4175"/>
    <w:rsid w:val="00BE41F7"/>
    <w:rsid w:val="00BE42F1"/>
    <w:rsid w:val="00BE4320"/>
    <w:rsid w:val="00BE43AD"/>
    <w:rsid w:val="00BE43F7"/>
    <w:rsid w:val="00BE441F"/>
    <w:rsid w:val="00BE44B9"/>
    <w:rsid w:val="00BE454E"/>
    <w:rsid w:val="00BE4573"/>
    <w:rsid w:val="00BE45EA"/>
    <w:rsid w:val="00BE4615"/>
    <w:rsid w:val="00BE465E"/>
    <w:rsid w:val="00BE46B0"/>
    <w:rsid w:val="00BE4808"/>
    <w:rsid w:val="00BE494B"/>
    <w:rsid w:val="00BE4965"/>
    <w:rsid w:val="00BE4972"/>
    <w:rsid w:val="00BE4B20"/>
    <w:rsid w:val="00BE4B8F"/>
    <w:rsid w:val="00BE4CCB"/>
    <w:rsid w:val="00BE4DBA"/>
    <w:rsid w:val="00BE4E2C"/>
    <w:rsid w:val="00BE4E39"/>
    <w:rsid w:val="00BE4EFD"/>
    <w:rsid w:val="00BE50CD"/>
    <w:rsid w:val="00BE5161"/>
    <w:rsid w:val="00BE519D"/>
    <w:rsid w:val="00BE51D9"/>
    <w:rsid w:val="00BE522B"/>
    <w:rsid w:val="00BE5253"/>
    <w:rsid w:val="00BE5322"/>
    <w:rsid w:val="00BE53CA"/>
    <w:rsid w:val="00BE543C"/>
    <w:rsid w:val="00BE54C4"/>
    <w:rsid w:val="00BE55F5"/>
    <w:rsid w:val="00BE567C"/>
    <w:rsid w:val="00BE56BA"/>
    <w:rsid w:val="00BE570D"/>
    <w:rsid w:val="00BE57A0"/>
    <w:rsid w:val="00BE5841"/>
    <w:rsid w:val="00BE584B"/>
    <w:rsid w:val="00BE585E"/>
    <w:rsid w:val="00BE59EC"/>
    <w:rsid w:val="00BE5A74"/>
    <w:rsid w:val="00BE5ADB"/>
    <w:rsid w:val="00BE5B13"/>
    <w:rsid w:val="00BE5BA1"/>
    <w:rsid w:val="00BE5BB2"/>
    <w:rsid w:val="00BE5C10"/>
    <w:rsid w:val="00BE5C80"/>
    <w:rsid w:val="00BE5D38"/>
    <w:rsid w:val="00BE5DDE"/>
    <w:rsid w:val="00BE5E40"/>
    <w:rsid w:val="00BE5E97"/>
    <w:rsid w:val="00BE5F2E"/>
    <w:rsid w:val="00BE5F8C"/>
    <w:rsid w:val="00BE6068"/>
    <w:rsid w:val="00BE608F"/>
    <w:rsid w:val="00BE61CA"/>
    <w:rsid w:val="00BE6345"/>
    <w:rsid w:val="00BE63FA"/>
    <w:rsid w:val="00BE63FE"/>
    <w:rsid w:val="00BE6428"/>
    <w:rsid w:val="00BE645E"/>
    <w:rsid w:val="00BE650B"/>
    <w:rsid w:val="00BE6564"/>
    <w:rsid w:val="00BE658B"/>
    <w:rsid w:val="00BE6595"/>
    <w:rsid w:val="00BE6603"/>
    <w:rsid w:val="00BE663B"/>
    <w:rsid w:val="00BE667A"/>
    <w:rsid w:val="00BE67BD"/>
    <w:rsid w:val="00BE680D"/>
    <w:rsid w:val="00BE68A1"/>
    <w:rsid w:val="00BE6905"/>
    <w:rsid w:val="00BE6935"/>
    <w:rsid w:val="00BE69DF"/>
    <w:rsid w:val="00BE6A0C"/>
    <w:rsid w:val="00BE6A71"/>
    <w:rsid w:val="00BE6AB5"/>
    <w:rsid w:val="00BE6B85"/>
    <w:rsid w:val="00BE6BE7"/>
    <w:rsid w:val="00BE6C06"/>
    <w:rsid w:val="00BE6C36"/>
    <w:rsid w:val="00BE6C67"/>
    <w:rsid w:val="00BE6CAC"/>
    <w:rsid w:val="00BE6CE1"/>
    <w:rsid w:val="00BE6CFF"/>
    <w:rsid w:val="00BE6D99"/>
    <w:rsid w:val="00BE6D9B"/>
    <w:rsid w:val="00BE6DA9"/>
    <w:rsid w:val="00BE6DAA"/>
    <w:rsid w:val="00BE6DD6"/>
    <w:rsid w:val="00BE6E61"/>
    <w:rsid w:val="00BE6E9A"/>
    <w:rsid w:val="00BE6EAF"/>
    <w:rsid w:val="00BE6EE8"/>
    <w:rsid w:val="00BE6EEF"/>
    <w:rsid w:val="00BE6F28"/>
    <w:rsid w:val="00BE6FF9"/>
    <w:rsid w:val="00BE700B"/>
    <w:rsid w:val="00BE7014"/>
    <w:rsid w:val="00BE7068"/>
    <w:rsid w:val="00BE707E"/>
    <w:rsid w:val="00BE716B"/>
    <w:rsid w:val="00BE71D3"/>
    <w:rsid w:val="00BE7280"/>
    <w:rsid w:val="00BE72E9"/>
    <w:rsid w:val="00BE7336"/>
    <w:rsid w:val="00BE7430"/>
    <w:rsid w:val="00BE748C"/>
    <w:rsid w:val="00BE749C"/>
    <w:rsid w:val="00BE752B"/>
    <w:rsid w:val="00BE7697"/>
    <w:rsid w:val="00BE76C6"/>
    <w:rsid w:val="00BE7779"/>
    <w:rsid w:val="00BE77DA"/>
    <w:rsid w:val="00BE780D"/>
    <w:rsid w:val="00BE7919"/>
    <w:rsid w:val="00BE79CE"/>
    <w:rsid w:val="00BE79F3"/>
    <w:rsid w:val="00BE7B7F"/>
    <w:rsid w:val="00BE7B9A"/>
    <w:rsid w:val="00BE7CA9"/>
    <w:rsid w:val="00BE7D13"/>
    <w:rsid w:val="00BE7D6D"/>
    <w:rsid w:val="00BE7D84"/>
    <w:rsid w:val="00BE7DF7"/>
    <w:rsid w:val="00BE7E2C"/>
    <w:rsid w:val="00BE7E51"/>
    <w:rsid w:val="00BE7E7E"/>
    <w:rsid w:val="00BE7F4E"/>
    <w:rsid w:val="00BE7F76"/>
    <w:rsid w:val="00BE7FDB"/>
    <w:rsid w:val="00BF0025"/>
    <w:rsid w:val="00BF0030"/>
    <w:rsid w:val="00BF004C"/>
    <w:rsid w:val="00BF01D7"/>
    <w:rsid w:val="00BF0368"/>
    <w:rsid w:val="00BF05DB"/>
    <w:rsid w:val="00BF065C"/>
    <w:rsid w:val="00BF0675"/>
    <w:rsid w:val="00BF0713"/>
    <w:rsid w:val="00BF074C"/>
    <w:rsid w:val="00BF075E"/>
    <w:rsid w:val="00BF0782"/>
    <w:rsid w:val="00BF093F"/>
    <w:rsid w:val="00BF095E"/>
    <w:rsid w:val="00BF0A4A"/>
    <w:rsid w:val="00BF0B0F"/>
    <w:rsid w:val="00BF0B36"/>
    <w:rsid w:val="00BF0BB6"/>
    <w:rsid w:val="00BF0C0B"/>
    <w:rsid w:val="00BF0C3C"/>
    <w:rsid w:val="00BF0C4C"/>
    <w:rsid w:val="00BF0C80"/>
    <w:rsid w:val="00BF0D1D"/>
    <w:rsid w:val="00BF0D7F"/>
    <w:rsid w:val="00BF0DE4"/>
    <w:rsid w:val="00BF0DF6"/>
    <w:rsid w:val="00BF0E1F"/>
    <w:rsid w:val="00BF0EA1"/>
    <w:rsid w:val="00BF0EAE"/>
    <w:rsid w:val="00BF0F06"/>
    <w:rsid w:val="00BF0F12"/>
    <w:rsid w:val="00BF0F38"/>
    <w:rsid w:val="00BF0F3C"/>
    <w:rsid w:val="00BF0F4A"/>
    <w:rsid w:val="00BF0F7C"/>
    <w:rsid w:val="00BF10AC"/>
    <w:rsid w:val="00BF10CF"/>
    <w:rsid w:val="00BF1131"/>
    <w:rsid w:val="00BF134B"/>
    <w:rsid w:val="00BF13A7"/>
    <w:rsid w:val="00BF13AE"/>
    <w:rsid w:val="00BF149B"/>
    <w:rsid w:val="00BF1527"/>
    <w:rsid w:val="00BF15C4"/>
    <w:rsid w:val="00BF170C"/>
    <w:rsid w:val="00BF1842"/>
    <w:rsid w:val="00BF1871"/>
    <w:rsid w:val="00BF18F9"/>
    <w:rsid w:val="00BF1960"/>
    <w:rsid w:val="00BF196A"/>
    <w:rsid w:val="00BF1A01"/>
    <w:rsid w:val="00BF1A82"/>
    <w:rsid w:val="00BF1B70"/>
    <w:rsid w:val="00BF1BA4"/>
    <w:rsid w:val="00BF1BA8"/>
    <w:rsid w:val="00BF1BCD"/>
    <w:rsid w:val="00BF1D56"/>
    <w:rsid w:val="00BF1E23"/>
    <w:rsid w:val="00BF1E48"/>
    <w:rsid w:val="00BF1EBF"/>
    <w:rsid w:val="00BF1F1A"/>
    <w:rsid w:val="00BF1F3D"/>
    <w:rsid w:val="00BF1F65"/>
    <w:rsid w:val="00BF1FCB"/>
    <w:rsid w:val="00BF1FF6"/>
    <w:rsid w:val="00BF204E"/>
    <w:rsid w:val="00BF2204"/>
    <w:rsid w:val="00BF2264"/>
    <w:rsid w:val="00BF22D4"/>
    <w:rsid w:val="00BF23DE"/>
    <w:rsid w:val="00BF23E1"/>
    <w:rsid w:val="00BF23F1"/>
    <w:rsid w:val="00BF24CA"/>
    <w:rsid w:val="00BF2556"/>
    <w:rsid w:val="00BF25B5"/>
    <w:rsid w:val="00BF2671"/>
    <w:rsid w:val="00BF2700"/>
    <w:rsid w:val="00BF2712"/>
    <w:rsid w:val="00BF273A"/>
    <w:rsid w:val="00BF2776"/>
    <w:rsid w:val="00BF27A3"/>
    <w:rsid w:val="00BF2821"/>
    <w:rsid w:val="00BF288C"/>
    <w:rsid w:val="00BF2897"/>
    <w:rsid w:val="00BF28D2"/>
    <w:rsid w:val="00BF2905"/>
    <w:rsid w:val="00BF29A1"/>
    <w:rsid w:val="00BF29D7"/>
    <w:rsid w:val="00BF2AAE"/>
    <w:rsid w:val="00BF2B1E"/>
    <w:rsid w:val="00BF2B31"/>
    <w:rsid w:val="00BF2BA0"/>
    <w:rsid w:val="00BF2C3F"/>
    <w:rsid w:val="00BF2D62"/>
    <w:rsid w:val="00BF2D6F"/>
    <w:rsid w:val="00BF2DE8"/>
    <w:rsid w:val="00BF2E28"/>
    <w:rsid w:val="00BF2EE3"/>
    <w:rsid w:val="00BF2F31"/>
    <w:rsid w:val="00BF303C"/>
    <w:rsid w:val="00BF30B8"/>
    <w:rsid w:val="00BF30E3"/>
    <w:rsid w:val="00BF325F"/>
    <w:rsid w:val="00BF328E"/>
    <w:rsid w:val="00BF3330"/>
    <w:rsid w:val="00BF3411"/>
    <w:rsid w:val="00BF343B"/>
    <w:rsid w:val="00BF345D"/>
    <w:rsid w:val="00BF3579"/>
    <w:rsid w:val="00BF35A5"/>
    <w:rsid w:val="00BF375B"/>
    <w:rsid w:val="00BF383B"/>
    <w:rsid w:val="00BF383E"/>
    <w:rsid w:val="00BF38E8"/>
    <w:rsid w:val="00BF397A"/>
    <w:rsid w:val="00BF39B6"/>
    <w:rsid w:val="00BF3A3F"/>
    <w:rsid w:val="00BF3A44"/>
    <w:rsid w:val="00BF3AB5"/>
    <w:rsid w:val="00BF3ACF"/>
    <w:rsid w:val="00BF3B1B"/>
    <w:rsid w:val="00BF3B49"/>
    <w:rsid w:val="00BF3B8C"/>
    <w:rsid w:val="00BF3BA4"/>
    <w:rsid w:val="00BF3BBC"/>
    <w:rsid w:val="00BF3C1F"/>
    <w:rsid w:val="00BF3C34"/>
    <w:rsid w:val="00BF3C86"/>
    <w:rsid w:val="00BF3CBB"/>
    <w:rsid w:val="00BF3CEA"/>
    <w:rsid w:val="00BF3D1F"/>
    <w:rsid w:val="00BF3D31"/>
    <w:rsid w:val="00BF3D89"/>
    <w:rsid w:val="00BF3DEB"/>
    <w:rsid w:val="00BF4010"/>
    <w:rsid w:val="00BF404F"/>
    <w:rsid w:val="00BF40C5"/>
    <w:rsid w:val="00BF40D8"/>
    <w:rsid w:val="00BF4121"/>
    <w:rsid w:val="00BF4151"/>
    <w:rsid w:val="00BF4190"/>
    <w:rsid w:val="00BF41C0"/>
    <w:rsid w:val="00BF425E"/>
    <w:rsid w:val="00BF426C"/>
    <w:rsid w:val="00BF4584"/>
    <w:rsid w:val="00BF459D"/>
    <w:rsid w:val="00BF4632"/>
    <w:rsid w:val="00BF46CF"/>
    <w:rsid w:val="00BF46ED"/>
    <w:rsid w:val="00BF46FB"/>
    <w:rsid w:val="00BF477B"/>
    <w:rsid w:val="00BF4789"/>
    <w:rsid w:val="00BF47DD"/>
    <w:rsid w:val="00BF47F3"/>
    <w:rsid w:val="00BF4933"/>
    <w:rsid w:val="00BF4952"/>
    <w:rsid w:val="00BF497C"/>
    <w:rsid w:val="00BF49BD"/>
    <w:rsid w:val="00BF49E8"/>
    <w:rsid w:val="00BF49F3"/>
    <w:rsid w:val="00BF4AC8"/>
    <w:rsid w:val="00BF4BFD"/>
    <w:rsid w:val="00BF4C21"/>
    <w:rsid w:val="00BF4C62"/>
    <w:rsid w:val="00BF4C6E"/>
    <w:rsid w:val="00BF4CDF"/>
    <w:rsid w:val="00BF4D8F"/>
    <w:rsid w:val="00BF4D9C"/>
    <w:rsid w:val="00BF4E2F"/>
    <w:rsid w:val="00BF4E4A"/>
    <w:rsid w:val="00BF4F84"/>
    <w:rsid w:val="00BF4FD6"/>
    <w:rsid w:val="00BF515E"/>
    <w:rsid w:val="00BF515F"/>
    <w:rsid w:val="00BF52AF"/>
    <w:rsid w:val="00BF52D7"/>
    <w:rsid w:val="00BF5308"/>
    <w:rsid w:val="00BF5330"/>
    <w:rsid w:val="00BF5496"/>
    <w:rsid w:val="00BF54AD"/>
    <w:rsid w:val="00BF557D"/>
    <w:rsid w:val="00BF55AC"/>
    <w:rsid w:val="00BF564D"/>
    <w:rsid w:val="00BF5654"/>
    <w:rsid w:val="00BF5692"/>
    <w:rsid w:val="00BF577A"/>
    <w:rsid w:val="00BF58F8"/>
    <w:rsid w:val="00BF5901"/>
    <w:rsid w:val="00BF59E3"/>
    <w:rsid w:val="00BF5A82"/>
    <w:rsid w:val="00BF5AF9"/>
    <w:rsid w:val="00BF5B21"/>
    <w:rsid w:val="00BF5B4A"/>
    <w:rsid w:val="00BF5B4D"/>
    <w:rsid w:val="00BF5BA9"/>
    <w:rsid w:val="00BF5BBD"/>
    <w:rsid w:val="00BF5BD8"/>
    <w:rsid w:val="00BF5BDB"/>
    <w:rsid w:val="00BF5D81"/>
    <w:rsid w:val="00BF5D88"/>
    <w:rsid w:val="00BF5E36"/>
    <w:rsid w:val="00BF5E84"/>
    <w:rsid w:val="00BF5EEF"/>
    <w:rsid w:val="00BF5F99"/>
    <w:rsid w:val="00BF5FFE"/>
    <w:rsid w:val="00BF6005"/>
    <w:rsid w:val="00BF6035"/>
    <w:rsid w:val="00BF6059"/>
    <w:rsid w:val="00BF60C0"/>
    <w:rsid w:val="00BF619E"/>
    <w:rsid w:val="00BF6226"/>
    <w:rsid w:val="00BF6261"/>
    <w:rsid w:val="00BF6281"/>
    <w:rsid w:val="00BF630D"/>
    <w:rsid w:val="00BF633F"/>
    <w:rsid w:val="00BF636E"/>
    <w:rsid w:val="00BF6400"/>
    <w:rsid w:val="00BF6473"/>
    <w:rsid w:val="00BF649E"/>
    <w:rsid w:val="00BF64E4"/>
    <w:rsid w:val="00BF6527"/>
    <w:rsid w:val="00BF6555"/>
    <w:rsid w:val="00BF65CC"/>
    <w:rsid w:val="00BF65FC"/>
    <w:rsid w:val="00BF65FD"/>
    <w:rsid w:val="00BF662D"/>
    <w:rsid w:val="00BF6657"/>
    <w:rsid w:val="00BF6664"/>
    <w:rsid w:val="00BF6706"/>
    <w:rsid w:val="00BF685F"/>
    <w:rsid w:val="00BF68BB"/>
    <w:rsid w:val="00BF68C0"/>
    <w:rsid w:val="00BF6938"/>
    <w:rsid w:val="00BF69A1"/>
    <w:rsid w:val="00BF69AA"/>
    <w:rsid w:val="00BF69CD"/>
    <w:rsid w:val="00BF6AB4"/>
    <w:rsid w:val="00BF6B09"/>
    <w:rsid w:val="00BF6B42"/>
    <w:rsid w:val="00BF6BB6"/>
    <w:rsid w:val="00BF6C00"/>
    <w:rsid w:val="00BF6C37"/>
    <w:rsid w:val="00BF6CAB"/>
    <w:rsid w:val="00BF6CEF"/>
    <w:rsid w:val="00BF6D0A"/>
    <w:rsid w:val="00BF6D8A"/>
    <w:rsid w:val="00BF6D98"/>
    <w:rsid w:val="00BF6DD6"/>
    <w:rsid w:val="00BF6E02"/>
    <w:rsid w:val="00BF6E12"/>
    <w:rsid w:val="00BF6E79"/>
    <w:rsid w:val="00BF6E9D"/>
    <w:rsid w:val="00BF6FBB"/>
    <w:rsid w:val="00BF704A"/>
    <w:rsid w:val="00BF70A4"/>
    <w:rsid w:val="00BF71A7"/>
    <w:rsid w:val="00BF72A1"/>
    <w:rsid w:val="00BF73B6"/>
    <w:rsid w:val="00BF73CA"/>
    <w:rsid w:val="00BF7401"/>
    <w:rsid w:val="00BF7431"/>
    <w:rsid w:val="00BF743A"/>
    <w:rsid w:val="00BF7462"/>
    <w:rsid w:val="00BF7486"/>
    <w:rsid w:val="00BF74AD"/>
    <w:rsid w:val="00BF74AF"/>
    <w:rsid w:val="00BF74CE"/>
    <w:rsid w:val="00BF7587"/>
    <w:rsid w:val="00BF75BA"/>
    <w:rsid w:val="00BF7603"/>
    <w:rsid w:val="00BF765F"/>
    <w:rsid w:val="00BF7667"/>
    <w:rsid w:val="00BF77D2"/>
    <w:rsid w:val="00BF781D"/>
    <w:rsid w:val="00BF7825"/>
    <w:rsid w:val="00BF7827"/>
    <w:rsid w:val="00BF78B5"/>
    <w:rsid w:val="00BF78E8"/>
    <w:rsid w:val="00BF78FB"/>
    <w:rsid w:val="00BF7901"/>
    <w:rsid w:val="00BF7932"/>
    <w:rsid w:val="00BF7966"/>
    <w:rsid w:val="00BF7A13"/>
    <w:rsid w:val="00BF7AED"/>
    <w:rsid w:val="00BF7BE0"/>
    <w:rsid w:val="00BF7C79"/>
    <w:rsid w:val="00BF7CC2"/>
    <w:rsid w:val="00BF7CEC"/>
    <w:rsid w:val="00BF7CF2"/>
    <w:rsid w:val="00BF7D0A"/>
    <w:rsid w:val="00BF7D86"/>
    <w:rsid w:val="00BF7DFF"/>
    <w:rsid w:val="00BF7E94"/>
    <w:rsid w:val="00BF7F2E"/>
    <w:rsid w:val="00BF7F59"/>
    <w:rsid w:val="00BF7F72"/>
    <w:rsid w:val="00BF7FA7"/>
    <w:rsid w:val="00BF7FBB"/>
    <w:rsid w:val="00C00056"/>
    <w:rsid w:val="00C00127"/>
    <w:rsid w:val="00C00137"/>
    <w:rsid w:val="00C00152"/>
    <w:rsid w:val="00C00163"/>
    <w:rsid w:val="00C0017C"/>
    <w:rsid w:val="00C00421"/>
    <w:rsid w:val="00C00577"/>
    <w:rsid w:val="00C005A1"/>
    <w:rsid w:val="00C005FE"/>
    <w:rsid w:val="00C006B2"/>
    <w:rsid w:val="00C0077F"/>
    <w:rsid w:val="00C00852"/>
    <w:rsid w:val="00C0088C"/>
    <w:rsid w:val="00C0092B"/>
    <w:rsid w:val="00C00950"/>
    <w:rsid w:val="00C0099E"/>
    <w:rsid w:val="00C009E1"/>
    <w:rsid w:val="00C009E6"/>
    <w:rsid w:val="00C00A04"/>
    <w:rsid w:val="00C00A46"/>
    <w:rsid w:val="00C00A73"/>
    <w:rsid w:val="00C00B76"/>
    <w:rsid w:val="00C00BC2"/>
    <w:rsid w:val="00C00BCD"/>
    <w:rsid w:val="00C00C98"/>
    <w:rsid w:val="00C00CA4"/>
    <w:rsid w:val="00C00DC0"/>
    <w:rsid w:val="00C00DEF"/>
    <w:rsid w:val="00C00E21"/>
    <w:rsid w:val="00C00EF3"/>
    <w:rsid w:val="00C00F46"/>
    <w:rsid w:val="00C0103B"/>
    <w:rsid w:val="00C0105F"/>
    <w:rsid w:val="00C0107B"/>
    <w:rsid w:val="00C010AC"/>
    <w:rsid w:val="00C010DC"/>
    <w:rsid w:val="00C01144"/>
    <w:rsid w:val="00C01153"/>
    <w:rsid w:val="00C01183"/>
    <w:rsid w:val="00C01192"/>
    <w:rsid w:val="00C011F2"/>
    <w:rsid w:val="00C0120C"/>
    <w:rsid w:val="00C01299"/>
    <w:rsid w:val="00C012D6"/>
    <w:rsid w:val="00C01363"/>
    <w:rsid w:val="00C013B3"/>
    <w:rsid w:val="00C013F2"/>
    <w:rsid w:val="00C013FB"/>
    <w:rsid w:val="00C014B9"/>
    <w:rsid w:val="00C0155D"/>
    <w:rsid w:val="00C015C1"/>
    <w:rsid w:val="00C015DD"/>
    <w:rsid w:val="00C015FA"/>
    <w:rsid w:val="00C01612"/>
    <w:rsid w:val="00C0161C"/>
    <w:rsid w:val="00C0162C"/>
    <w:rsid w:val="00C01759"/>
    <w:rsid w:val="00C0177C"/>
    <w:rsid w:val="00C01828"/>
    <w:rsid w:val="00C01880"/>
    <w:rsid w:val="00C018CD"/>
    <w:rsid w:val="00C0195B"/>
    <w:rsid w:val="00C0198E"/>
    <w:rsid w:val="00C01994"/>
    <w:rsid w:val="00C01A10"/>
    <w:rsid w:val="00C01B92"/>
    <w:rsid w:val="00C01C7D"/>
    <w:rsid w:val="00C01C89"/>
    <w:rsid w:val="00C01D12"/>
    <w:rsid w:val="00C01D43"/>
    <w:rsid w:val="00C01DA2"/>
    <w:rsid w:val="00C01DA5"/>
    <w:rsid w:val="00C01F0F"/>
    <w:rsid w:val="00C01FFF"/>
    <w:rsid w:val="00C0201B"/>
    <w:rsid w:val="00C02024"/>
    <w:rsid w:val="00C02056"/>
    <w:rsid w:val="00C020CF"/>
    <w:rsid w:val="00C020FE"/>
    <w:rsid w:val="00C021A7"/>
    <w:rsid w:val="00C02208"/>
    <w:rsid w:val="00C0227B"/>
    <w:rsid w:val="00C022AB"/>
    <w:rsid w:val="00C022F1"/>
    <w:rsid w:val="00C022F8"/>
    <w:rsid w:val="00C0239F"/>
    <w:rsid w:val="00C023C2"/>
    <w:rsid w:val="00C02438"/>
    <w:rsid w:val="00C02464"/>
    <w:rsid w:val="00C024AA"/>
    <w:rsid w:val="00C025C3"/>
    <w:rsid w:val="00C025E8"/>
    <w:rsid w:val="00C0260B"/>
    <w:rsid w:val="00C0261A"/>
    <w:rsid w:val="00C02677"/>
    <w:rsid w:val="00C02743"/>
    <w:rsid w:val="00C0278B"/>
    <w:rsid w:val="00C02804"/>
    <w:rsid w:val="00C0281D"/>
    <w:rsid w:val="00C02935"/>
    <w:rsid w:val="00C029B1"/>
    <w:rsid w:val="00C02A12"/>
    <w:rsid w:val="00C02ABE"/>
    <w:rsid w:val="00C02B05"/>
    <w:rsid w:val="00C02B09"/>
    <w:rsid w:val="00C02B55"/>
    <w:rsid w:val="00C02BA5"/>
    <w:rsid w:val="00C02BD2"/>
    <w:rsid w:val="00C02CAA"/>
    <w:rsid w:val="00C02D58"/>
    <w:rsid w:val="00C02D5A"/>
    <w:rsid w:val="00C02D7A"/>
    <w:rsid w:val="00C02DCF"/>
    <w:rsid w:val="00C02E3C"/>
    <w:rsid w:val="00C02F33"/>
    <w:rsid w:val="00C02F73"/>
    <w:rsid w:val="00C030C9"/>
    <w:rsid w:val="00C03163"/>
    <w:rsid w:val="00C031DB"/>
    <w:rsid w:val="00C03208"/>
    <w:rsid w:val="00C03230"/>
    <w:rsid w:val="00C03357"/>
    <w:rsid w:val="00C03385"/>
    <w:rsid w:val="00C033BD"/>
    <w:rsid w:val="00C034C0"/>
    <w:rsid w:val="00C034F3"/>
    <w:rsid w:val="00C03561"/>
    <w:rsid w:val="00C03573"/>
    <w:rsid w:val="00C035FB"/>
    <w:rsid w:val="00C03630"/>
    <w:rsid w:val="00C0363A"/>
    <w:rsid w:val="00C03679"/>
    <w:rsid w:val="00C036FF"/>
    <w:rsid w:val="00C037E3"/>
    <w:rsid w:val="00C037EA"/>
    <w:rsid w:val="00C03895"/>
    <w:rsid w:val="00C03947"/>
    <w:rsid w:val="00C03975"/>
    <w:rsid w:val="00C039E7"/>
    <w:rsid w:val="00C03A09"/>
    <w:rsid w:val="00C03A10"/>
    <w:rsid w:val="00C03A3D"/>
    <w:rsid w:val="00C03A5C"/>
    <w:rsid w:val="00C03A89"/>
    <w:rsid w:val="00C03AB2"/>
    <w:rsid w:val="00C03AD1"/>
    <w:rsid w:val="00C03AEE"/>
    <w:rsid w:val="00C03B43"/>
    <w:rsid w:val="00C03B54"/>
    <w:rsid w:val="00C03B5D"/>
    <w:rsid w:val="00C03B6B"/>
    <w:rsid w:val="00C03BD0"/>
    <w:rsid w:val="00C03BD4"/>
    <w:rsid w:val="00C03C1A"/>
    <w:rsid w:val="00C03C5F"/>
    <w:rsid w:val="00C03D11"/>
    <w:rsid w:val="00C03D12"/>
    <w:rsid w:val="00C03D1C"/>
    <w:rsid w:val="00C03D32"/>
    <w:rsid w:val="00C03D64"/>
    <w:rsid w:val="00C03E13"/>
    <w:rsid w:val="00C03EFD"/>
    <w:rsid w:val="00C03F14"/>
    <w:rsid w:val="00C03F50"/>
    <w:rsid w:val="00C03F65"/>
    <w:rsid w:val="00C03F9E"/>
    <w:rsid w:val="00C03FFA"/>
    <w:rsid w:val="00C0409D"/>
    <w:rsid w:val="00C041BB"/>
    <w:rsid w:val="00C041C1"/>
    <w:rsid w:val="00C041DA"/>
    <w:rsid w:val="00C0421F"/>
    <w:rsid w:val="00C04261"/>
    <w:rsid w:val="00C042E0"/>
    <w:rsid w:val="00C04313"/>
    <w:rsid w:val="00C04333"/>
    <w:rsid w:val="00C0435C"/>
    <w:rsid w:val="00C04389"/>
    <w:rsid w:val="00C0438F"/>
    <w:rsid w:val="00C04391"/>
    <w:rsid w:val="00C0439C"/>
    <w:rsid w:val="00C043EF"/>
    <w:rsid w:val="00C043F8"/>
    <w:rsid w:val="00C0445B"/>
    <w:rsid w:val="00C045B8"/>
    <w:rsid w:val="00C0463A"/>
    <w:rsid w:val="00C046D4"/>
    <w:rsid w:val="00C04735"/>
    <w:rsid w:val="00C0475D"/>
    <w:rsid w:val="00C04762"/>
    <w:rsid w:val="00C047E4"/>
    <w:rsid w:val="00C0482C"/>
    <w:rsid w:val="00C04968"/>
    <w:rsid w:val="00C04979"/>
    <w:rsid w:val="00C049F3"/>
    <w:rsid w:val="00C04A43"/>
    <w:rsid w:val="00C04A96"/>
    <w:rsid w:val="00C04AB8"/>
    <w:rsid w:val="00C04AD6"/>
    <w:rsid w:val="00C04B7B"/>
    <w:rsid w:val="00C04C72"/>
    <w:rsid w:val="00C04C8D"/>
    <w:rsid w:val="00C04E1F"/>
    <w:rsid w:val="00C04EC6"/>
    <w:rsid w:val="00C04ECB"/>
    <w:rsid w:val="00C04FBF"/>
    <w:rsid w:val="00C04FDA"/>
    <w:rsid w:val="00C05052"/>
    <w:rsid w:val="00C05081"/>
    <w:rsid w:val="00C05220"/>
    <w:rsid w:val="00C05279"/>
    <w:rsid w:val="00C052D1"/>
    <w:rsid w:val="00C0548E"/>
    <w:rsid w:val="00C0549D"/>
    <w:rsid w:val="00C054D8"/>
    <w:rsid w:val="00C0552D"/>
    <w:rsid w:val="00C055D7"/>
    <w:rsid w:val="00C0570D"/>
    <w:rsid w:val="00C0575C"/>
    <w:rsid w:val="00C05886"/>
    <w:rsid w:val="00C059D4"/>
    <w:rsid w:val="00C05A2B"/>
    <w:rsid w:val="00C05B5C"/>
    <w:rsid w:val="00C05B9E"/>
    <w:rsid w:val="00C05C4D"/>
    <w:rsid w:val="00C05CC7"/>
    <w:rsid w:val="00C05CCF"/>
    <w:rsid w:val="00C05D1E"/>
    <w:rsid w:val="00C05D48"/>
    <w:rsid w:val="00C05ECF"/>
    <w:rsid w:val="00C05F09"/>
    <w:rsid w:val="00C05F12"/>
    <w:rsid w:val="00C05F1A"/>
    <w:rsid w:val="00C05FF2"/>
    <w:rsid w:val="00C0603D"/>
    <w:rsid w:val="00C0613D"/>
    <w:rsid w:val="00C06166"/>
    <w:rsid w:val="00C061C9"/>
    <w:rsid w:val="00C061D1"/>
    <w:rsid w:val="00C062B5"/>
    <w:rsid w:val="00C06314"/>
    <w:rsid w:val="00C06322"/>
    <w:rsid w:val="00C06414"/>
    <w:rsid w:val="00C0642E"/>
    <w:rsid w:val="00C06532"/>
    <w:rsid w:val="00C06552"/>
    <w:rsid w:val="00C065EA"/>
    <w:rsid w:val="00C065EB"/>
    <w:rsid w:val="00C0664E"/>
    <w:rsid w:val="00C066BB"/>
    <w:rsid w:val="00C06716"/>
    <w:rsid w:val="00C06723"/>
    <w:rsid w:val="00C06758"/>
    <w:rsid w:val="00C06874"/>
    <w:rsid w:val="00C06886"/>
    <w:rsid w:val="00C06898"/>
    <w:rsid w:val="00C06A0C"/>
    <w:rsid w:val="00C06A91"/>
    <w:rsid w:val="00C06AFB"/>
    <w:rsid w:val="00C06B46"/>
    <w:rsid w:val="00C06C31"/>
    <w:rsid w:val="00C06D4D"/>
    <w:rsid w:val="00C06EBF"/>
    <w:rsid w:val="00C06F04"/>
    <w:rsid w:val="00C06F0C"/>
    <w:rsid w:val="00C06F3A"/>
    <w:rsid w:val="00C06F3F"/>
    <w:rsid w:val="00C06F41"/>
    <w:rsid w:val="00C06F5B"/>
    <w:rsid w:val="00C06F72"/>
    <w:rsid w:val="00C06FCE"/>
    <w:rsid w:val="00C06FD6"/>
    <w:rsid w:val="00C07121"/>
    <w:rsid w:val="00C07139"/>
    <w:rsid w:val="00C07189"/>
    <w:rsid w:val="00C07242"/>
    <w:rsid w:val="00C0728E"/>
    <w:rsid w:val="00C072DD"/>
    <w:rsid w:val="00C076AD"/>
    <w:rsid w:val="00C07747"/>
    <w:rsid w:val="00C077BE"/>
    <w:rsid w:val="00C078A8"/>
    <w:rsid w:val="00C079EA"/>
    <w:rsid w:val="00C07A11"/>
    <w:rsid w:val="00C07A51"/>
    <w:rsid w:val="00C07A9A"/>
    <w:rsid w:val="00C07ADE"/>
    <w:rsid w:val="00C07AE2"/>
    <w:rsid w:val="00C07B90"/>
    <w:rsid w:val="00C07BB9"/>
    <w:rsid w:val="00C07C3C"/>
    <w:rsid w:val="00C07D0A"/>
    <w:rsid w:val="00C07D4D"/>
    <w:rsid w:val="00C07D53"/>
    <w:rsid w:val="00C07DD1"/>
    <w:rsid w:val="00C07DDB"/>
    <w:rsid w:val="00C07E07"/>
    <w:rsid w:val="00C07E88"/>
    <w:rsid w:val="00C07F39"/>
    <w:rsid w:val="00C07F53"/>
    <w:rsid w:val="00C07F5D"/>
    <w:rsid w:val="00C07F94"/>
    <w:rsid w:val="00C0E543"/>
    <w:rsid w:val="00C1002B"/>
    <w:rsid w:val="00C100B9"/>
    <w:rsid w:val="00C100FA"/>
    <w:rsid w:val="00C1011A"/>
    <w:rsid w:val="00C1015A"/>
    <w:rsid w:val="00C101E3"/>
    <w:rsid w:val="00C101E9"/>
    <w:rsid w:val="00C101EC"/>
    <w:rsid w:val="00C10208"/>
    <w:rsid w:val="00C102D5"/>
    <w:rsid w:val="00C10325"/>
    <w:rsid w:val="00C1039F"/>
    <w:rsid w:val="00C10492"/>
    <w:rsid w:val="00C1054D"/>
    <w:rsid w:val="00C10674"/>
    <w:rsid w:val="00C106A0"/>
    <w:rsid w:val="00C106AA"/>
    <w:rsid w:val="00C10714"/>
    <w:rsid w:val="00C10777"/>
    <w:rsid w:val="00C1077B"/>
    <w:rsid w:val="00C107E8"/>
    <w:rsid w:val="00C10836"/>
    <w:rsid w:val="00C1088A"/>
    <w:rsid w:val="00C10A4D"/>
    <w:rsid w:val="00C10AB6"/>
    <w:rsid w:val="00C10ACB"/>
    <w:rsid w:val="00C10B01"/>
    <w:rsid w:val="00C10B38"/>
    <w:rsid w:val="00C10B44"/>
    <w:rsid w:val="00C10B64"/>
    <w:rsid w:val="00C10BDA"/>
    <w:rsid w:val="00C10C12"/>
    <w:rsid w:val="00C10C34"/>
    <w:rsid w:val="00C10D72"/>
    <w:rsid w:val="00C10D8F"/>
    <w:rsid w:val="00C10DAA"/>
    <w:rsid w:val="00C10EA1"/>
    <w:rsid w:val="00C10EF5"/>
    <w:rsid w:val="00C10F10"/>
    <w:rsid w:val="00C10F6B"/>
    <w:rsid w:val="00C11157"/>
    <w:rsid w:val="00C11185"/>
    <w:rsid w:val="00C111FD"/>
    <w:rsid w:val="00C11298"/>
    <w:rsid w:val="00C11346"/>
    <w:rsid w:val="00C11382"/>
    <w:rsid w:val="00C1148F"/>
    <w:rsid w:val="00C114CC"/>
    <w:rsid w:val="00C11598"/>
    <w:rsid w:val="00C115BA"/>
    <w:rsid w:val="00C115FC"/>
    <w:rsid w:val="00C11605"/>
    <w:rsid w:val="00C1167E"/>
    <w:rsid w:val="00C1168B"/>
    <w:rsid w:val="00C11693"/>
    <w:rsid w:val="00C116B7"/>
    <w:rsid w:val="00C116ED"/>
    <w:rsid w:val="00C11705"/>
    <w:rsid w:val="00C11798"/>
    <w:rsid w:val="00C1191E"/>
    <w:rsid w:val="00C119A5"/>
    <w:rsid w:val="00C119B8"/>
    <w:rsid w:val="00C119E2"/>
    <w:rsid w:val="00C11B06"/>
    <w:rsid w:val="00C11BD2"/>
    <w:rsid w:val="00C11C1D"/>
    <w:rsid w:val="00C11C46"/>
    <w:rsid w:val="00C11CC9"/>
    <w:rsid w:val="00C11CCB"/>
    <w:rsid w:val="00C11D15"/>
    <w:rsid w:val="00C11DAB"/>
    <w:rsid w:val="00C11DFA"/>
    <w:rsid w:val="00C11E21"/>
    <w:rsid w:val="00C11E80"/>
    <w:rsid w:val="00C11F32"/>
    <w:rsid w:val="00C11F7B"/>
    <w:rsid w:val="00C12072"/>
    <w:rsid w:val="00C120B3"/>
    <w:rsid w:val="00C12106"/>
    <w:rsid w:val="00C12110"/>
    <w:rsid w:val="00C1221E"/>
    <w:rsid w:val="00C12333"/>
    <w:rsid w:val="00C1233C"/>
    <w:rsid w:val="00C1237D"/>
    <w:rsid w:val="00C12448"/>
    <w:rsid w:val="00C12455"/>
    <w:rsid w:val="00C125EA"/>
    <w:rsid w:val="00C12A52"/>
    <w:rsid w:val="00C12A71"/>
    <w:rsid w:val="00C12A81"/>
    <w:rsid w:val="00C12B0F"/>
    <w:rsid w:val="00C12B28"/>
    <w:rsid w:val="00C12B5D"/>
    <w:rsid w:val="00C12BA0"/>
    <w:rsid w:val="00C12BD5"/>
    <w:rsid w:val="00C12C63"/>
    <w:rsid w:val="00C12C83"/>
    <w:rsid w:val="00C12CA1"/>
    <w:rsid w:val="00C12CB9"/>
    <w:rsid w:val="00C12E22"/>
    <w:rsid w:val="00C12F25"/>
    <w:rsid w:val="00C12F32"/>
    <w:rsid w:val="00C12F51"/>
    <w:rsid w:val="00C13096"/>
    <w:rsid w:val="00C130CE"/>
    <w:rsid w:val="00C13171"/>
    <w:rsid w:val="00C131A0"/>
    <w:rsid w:val="00C13218"/>
    <w:rsid w:val="00C13227"/>
    <w:rsid w:val="00C1322C"/>
    <w:rsid w:val="00C1333D"/>
    <w:rsid w:val="00C13351"/>
    <w:rsid w:val="00C133DF"/>
    <w:rsid w:val="00C133FB"/>
    <w:rsid w:val="00C134D5"/>
    <w:rsid w:val="00C134D9"/>
    <w:rsid w:val="00C1356D"/>
    <w:rsid w:val="00C135A4"/>
    <w:rsid w:val="00C135B5"/>
    <w:rsid w:val="00C136FF"/>
    <w:rsid w:val="00C1394A"/>
    <w:rsid w:val="00C139A7"/>
    <w:rsid w:val="00C139DD"/>
    <w:rsid w:val="00C139F3"/>
    <w:rsid w:val="00C13A76"/>
    <w:rsid w:val="00C13AA1"/>
    <w:rsid w:val="00C13AF7"/>
    <w:rsid w:val="00C13B16"/>
    <w:rsid w:val="00C13B41"/>
    <w:rsid w:val="00C13B6D"/>
    <w:rsid w:val="00C13B84"/>
    <w:rsid w:val="00C13BC1"/>
    <w:rsid w:val="00C13D0A"/>
    <w:rsid w:val="00C13E05"/>
    <w:rsid w:val="00C13E16"/>
    <w:rsid w:val="00C13E31"/>
    <w:rsid w:val="00C13E58"/>
    <w:rsid w:val="00C13EE8"/>
    <w:rsid w:val="00C13EFC"/>
    <w:rsid w:val="00C13F11"/>
    <w:rsid w:val="00C13F40"/>
    <w:rsid w:val="00C13FB2"/>
    <w:rsid w:val="00C13FE3"/>
    <w:rsid w:val="00C14033"/>
    <w:rsid w:val="00C14276"/>
    <w:rsid w:val="00C14293"/>
    <w:rsid w:val="00C142E3"/>
    <w:rsid w:val="00C14494"/>
    <w:rsid w:val="00C1453C"/>
    <w:rsid w:val="00C1459F"/>
    <w:rsid w:val="00C146A4"/>
    <w:rsid w:val="00C146C4"/>
    <w:rsid w:val="00C1470A"/>
    <w:rsid w:val="00C14754"/>
    <w:rsid w:val="00C1477B"/>
    <w:rsid w:val="00C14821"/>
    <w:rsid w:val="00C1485E"/>
    <w:rsid w:val="00C148A8"/>
    <w:rsid w:val="00C148AF"/>
    <w:rsid w:val="00C14922"/>
    <w:rsid w:val="00C14938"/>
    <w:rsid w:val="00C149A1"/>
    <w:rsid w:val="00C14A2B"/>
    <w:rsid w:val="00C14A4A"/>
    <w:rsid w:val="00C14A94"/>
    <w:rsid w:val="00C14B10"/>
    <w:rsid w:val="00C14B6B"/>
    <w:rsid w:val="00C14BE5"/>
    <w:rsid w:val="00C14BEC"/>
    <w:rsid w:val="00C14C0B"/>
    <w:rsid w:val="00C14D42"/>
    <w:rsid w:val="00C14D86"/>
    <w:rsid w:val="00C14DD3"/>
    <w:rsid w:val="00C14F87"/>
    <w:rsid w:val="00C15092"/>
    <w:rsid w:val="00C150EA"/>
    <w:rsid w:val="00C15120"/>
    <w:rsid w:val="00C1513D"/>
    <w:rsid w:val="00C15153"/>
    <w:rsid w:val="00C151E0"/>
    <w:rsid w:val="00C15376"/>
    <w:rsid w:val="00C153A6"/>
    <w:rsid w:val="00C153CA"/>
    <w:rsid w:val="00C15485"/>
    <w:rsid w:val="00C154BA"/>
    <w:rsid w:val="00C154DA"/>
    <w:rsid w:val="00C155C4"/>
    <w:rsid w:val="00C155D1"/>
    <w:rsid w:val="00C155DD"/>
    <w:rsid w:val="00C155E4"/>
    <w:rsid w:val="00C15667"/>
    <w:rsid w:val="00C157B9"/>
    <w:rsid w:val="00C157D0"/>
    <w:rsid w:val="00C15816"/>
    <w:rsid w:val="00C158DC"/>
    <w:rsid w:val="00C15A24"/>
    <w:rsid w:val="00C15A63"/>
    <w:rsid w:val="00C15AA1"/>
    <w:rsid w:val="00C15ACA"/>
    <w:rsid w:val="00C15B01"/>
    <w:rsid w:val="00C15B03"/>
    <w:rsid w:val="00C15B26"/>
    <w:rsid w:val="00C15B62"/>
    <w:rsid w:val="00C15B8F"/>
    <w:rsid w:val="00C15BB5"/>
    <w:rsid w:val="00C15BC4"/>
    <w:rsid w:val="00C15C33"/>
    <w:rsid w:val="00C15CFF"/>
    <w:rsid w:val="00C15E94"/>
    <w:rsid w:val="00C15EBB"/>
    <w:rsid w:val="00C15EDF"/>
    <w:rsid w:val="00C15F1A"/>
    <w:rsid w:val="00C15F2B"/>
    <w:rsid w:val="00C16067"/>
    <w:rsid w:val="00C16096"/>
    <w:rsid w:val="00C160DA"/>
    <w:rsid w:val="00C16145"/>
    <w:rsid w:val="00C161A4"/>
    <w:rsid w:val="00C1621E"/>
    <w:rsid w:val="00C16229"/>
    <w:rsid w:val="00C162DE"/>
    <w:rsid w:val="00C164A1"/>
    <w:rsid w:val="00C16571"/>
    <w:rsid w:val="00C165C3"/>
    <w:rsid w:val="00C16639"/>
    <w:rsid w:val="00C16659"/>
    <w:rsid w:val="00C16665"/>
    <w:rsid w:val="00C16673"/>
    <w:rsid w:val="00C16712"/>
    <w:rsid w:val="00C1671C"/>
    <w:rsid w:val="00C16805"/>
    <w:rsid w:val="00C1687B"/>
    <w:rsid w:val="00C1688C"/>
    <w:rsid w:val="00C16967"/>
    <w:rsid w:val="00C1699D"/>
    <w:rsid w:val="00C16A0D"/>
    <w:rsid w:val="00C16A11"/>
    <w:rsid w:val="00C16A4D"/>
    <w:rsid w:val="00C16A65"/>
    <w:rsid w:val="00C16AE6"/>
    <w:rsid w:val="00C16C04"/>
    <w:rsid w:val="00C16C2D"/>
    <w:rsid w:val="00C16CA9"/>
    <w:rsid w:val="00C16CAB"/>
    <w:rsid w:val="00C16CE5"/>
    <w:rsid w:val="00C16D3E"/>
    <w:rsid w:val="00C16E32"/>
    <w:rsid w:val="00C16E6F"/>
    <w:rsid w:val="00C16E87"/>
    <w:rsid w:val="00C16F1E"/>
    <w:rsid w:val="00C17018"/>
    <w:rsid w:val="00C17199"/>
    <w:rsid w:val="00C171AE"/>
    <w:rsid w:val="00C171E0"/>
    <w:rsid w:val="00C17209"/>
    <w:rsid w:val="00C1722C"/>
    <w:rsid w:val="00C1723E"/>
    <w:rsid w:val="00C17283"/>
    <w:rsid w:val="00C1729F"/>
    <w:rsid w:val="00C1731A"/>
    <w:rsid w:val="00C17352"/>
    <w:rsid w:val="00C1741B"/>
    <w:rsid w:val="00C17465"/>
    <w:rsid w:val="00C17469"/>
    <w:rsid w:val="00C1750D"/>
    <w:rsid w:val="00C17513"/>
    <w:rsid w:val="00C1754D"/>
    <w:rsid w:val="00C175A0"/>
    <w:rsid w:val="00C175E2"/>
    <w:rsid w:val="00C17662"/>
    <w:rsid w:val="00C176A0"/>
    <w:rsid w:val="00C176CB"/>
    <w:rsid w:val="00C176D7"/>
    <w:rsid w:val="00C17746"/>
    <w:rsid w:val="00C17791"/>
    <w:rsid w:val="00C1779F"/>
    <w:rsid w:val="00C177BB"/>
    <w:rsid w:val="00C177F3"/>
    <w:rsid w:val="00C17807"/>
    <w:rsid w:val="00C1780F"/>
    <w:rsid w:val="00C178B6"/>
    <w:rsid w:val="00C178BD"/>
    <w:rsid w:val="00C178F1"/>
    <w:rsid w:val="00C1790A"/>
    <w:rsid w:val="00C17935"/>
    <w:rsid w:val="00C17955"/>
    <w:rsid w:val="00C17971"/>
    <w:rsid w:val="00C179EF"/>
    <w:rsid w:val="00C17A6E"/>
    <w:rsid w:val="00C17B59"/>
    <w:rsid w:val="00C17D06"/>
    <w:rsid w:val="00C17D0F"/>
    <w:rsid w:val="00C17D75"/>
    <w:rsid w:val="00C17E21"/>
    <w:rsid w:val="00C17E9B"/>
    <w:rsid w:val="00C17ECF"/>
    <w:rsid w:val="00C17F07"/>
    <w:rsid w:val="00C17F20"/>
    <w:rsid w:val="00C17F66"/>
    <w:rsid w:val="00C17FE1"/>
    <w:rsid w:val="00C20073"/>
    <w:rsid w:val="00C20088"/>
    <w:rsid w:val="00C20169"/>
    <w:rsid w:val="00C2017B"/>
    <w:rsid w:val="00C201CB"/>
    <w:rsid w:val="00C2021D"/>
    <w:rsid w:val="00C20267"/>
    <w:rsid w:val="00C202A7"/>
    <w:rsid w:val="00C202E3"/>
    <w:rsid w:val="00C20379"/>
    <w:rsid w:val="00C2037E"/>
    <w:rsid w:val="00C2039B"/>
    <w:rsid w:val="00C20502"/>
    <w:rsid w:val="00C20532"/>
    <w:rsid w:val="00C2059E"/>
    <w:rsid w:val="00C205C9"/>
    <w:rsid w:val="00C205DA"/>
    <w:rsid w:val="00C2064E"/>
    <w:rsid w:val="00C2067B"/>
    <w:rsid w:val="00C2068C"/>
    <w:rsid w:val="00C206AC"/>
    <w:rsid w:val="00C206E1"/>
    <w:rsid w:val="00C206FC"/>
    <w:rsid w:val="00C20750"/>
    <w:rsid w:val="00C208D5"/>
    <w:rsid w:val="00C20991"/>
    <w:rsid w:val="00C209DC"/>
    <w:rsid w:val="00C20A69"/>
    <w:rsid w:val="00C20C22"/>
    <w:rsid w:val="00C20CB7"/>
    <w:rsid w:val="00C20CBC"/>
    <w:rsid w:val="00C20D05"/>
    <w:rsid w:val="00C20DA6"/>
    <w:rsid w:val="00C20E62"/>
    <w:rsid w:val="00C20F16"/>
    <w:rsid w:val="00C20F4A"/>
    <w:rsid w:val="00C20F5D"/>
    <w:rsid w:val="00C20F90"/>
    <w:rsid w:val="00C21038"/>
    <w:rsid w:val="00C2109A"/>
    <w:rsid w:val="00C210C2"/>
    <w:rsid w:val="00C210C9"/>
    <w:rsid w:val="00C210D1"/>
    <w:rsid w:val="00C211AA"/>
    <w:rsid w:val="00C211D2"/>
    <w:rsid w:val="00C2120A"/>
    <w:rsid w:val="00C2121C"/>
    <w:rsid w:val="00C2129D"/>
    <w:rsid w:val="00C21349"/>
    <w:rsid w:val="00C21367"/>
    <w:rsid w:val="00C2137C"/>
    <w:rsid w:val="00C21439"/>
    <w:rsid w:val="00C214F1"/>
    <w:rsid w:val="00C2167F"/>
    <w:rsid w:val="00C216C5"/>
    <w:rsid w:val="00C21727"/>
    <w:rsid w:val="00C2175D"/>
    <w:rsid w:val="00C21904"/>
    <w:rsid w:val="00C21981"/>
    <w:rsid w:val="00C219A8"/>
    <w:rsid w:val="00C219C0"/>
    <w:rsid w:val="00C219E5"/>
    <w:rsid w:val="00C21A29"/>
    <w:rsid w:val="00C21A4B"/>
    <w:rsid w:val="00C21A76"/>
    <w:rsid w:val="00C21AAD"/>
    <w:rsid w:val="00C21BC0"/>
    <w:rsid w:val="00C21C01"/>
    <w:rsid w:val="00C21C46"/>
    <w:rsid w:val="00C21C64"/>
    <w:rsid w:val="00C21D03"/>
    <w:rsid w:val="00C21DED"/>
    <w:rsid w:val="00C21E84"/>
    <w:rsid w:val="00C21EBD"/>
    <w:rsid w:val="00C21ED7"/>
    <w:rsid w:val="00C21EE4"/>
    <w:rsid w:val="00C21F06"/>
    <w:rsid w:val="00C21F27"/>
    <w:rsid w:val="00C21FC3"/>
    <w:rsid w:val="00C21FE1"/>
    <w:rsid w:val="00C22049"/>
    <w:rsid w:val="00C2208E"/>
    <w:rsid w:val="00C220D1"/>
    <w:rsid w:val="00C220EE"/>
    <w:rsid w:val="00C221A1"/>
    <w:rsid w:val="00C221AE"/>
    <w:rsid w:val="00C2225D"/>
    <w:rsid w:val="00C222AA"/>
    <w:rsid w:val="00C222AD"/>
    <w:rsid w:val="00C222B5"/>
    <w:rsid w:val="00C2258A"/>
    <w:rsid w:val="00C22640"/>
    <w:rsid w:val="00C22800"/>
    <w:rsid w:val="00C22816"/>
    <w:rsid w:val="00C22839"/>
    <w:rsid w:val="00C228D4"/>
    <w:rsid w:val="00C228DF"/>
    <w:rsid w:val="00C229BA"/>
    <w:rsid w:val="00C229FA"/>
    <w:rsid w:val="00C22A1A"/>
    <w:rsid w:val="00C22A54"/>
    <w:rsid w:val="00C22AB1"/>
    <w:rsid w:val="00C22AC1"/>
    <w:rsid w:val="00C22AFB"/>
    <w:rsid w:val="00C22B3A"/>
    <w:rsid w:val="00C22B66"/>
    <w:rsid w:val="00C22CE5"/>
    <w:rsid w:val="00C22D1A"/>
    <w:rsid w:val="00C22D88"/>
    <w:rsid w:val="00C22DB7"/>
    <w:rsid w:val="00C22DF4"/>
    <w:rsid w:val="00C22E48"/>
    <w:rsid w:val="00C22E8B"/>
    <w:rsid w:val="00C23026"/>
    <w:rsid w:val="00C23118"/>
    <w:rsid w:val="00C231D1"/>
    <w:rsid w:val="00C2323A"/>
    <w:rsid w:val="00C23265"/>
    <w:rsid w:val="00C232D5"/>
    <w:rsid w:val="00C232F7"/>
    <w:rsid w:val="00C2334E"/>
    <w:rsid w:val="00C23404"/>
    <w:rsid w:val="00C2340C"/>
    <w:rsid w:val="00C234A8"/>
    <w:rsid w:val="00C234F0"/>
    <w:rsid w:val="00C234FB"/>
    <w:rsid w:val="00C2351F"/>
    <w:rsid w:val="00C23610"/>
    <w:rsid w:val="00C23637"/>
    <w:rsid w:val="00C23673"/>
    <w:rsid w:val="00C23687"/>
    <w:rsid w:val="00C2369A"/>
    <w:rsid w:val="00C23732"/>
    <w:rsid w:val="00C23763"/>
    <w:rsid w:val="00C2379E"/>
    <w:rsid w:val="00C237AD"/>
    <w:rsid w:val="00C2380E"/>
    <w:rsid w:val="00C2386D"/>
    <w:rsid w:val="00C238F9"/>
    <w:rsid w:val="00C23902"/>
    <w:rsid w:val="00C2398E"/>
    <w:rsid w:val="00C239E9"/>
    <w:rsid w:val="00C23A26"/>
    <w:rsid w:val="00C23A37"/>
    <w:rsid w:val="00C23A76"/>
    <w:rsid w:val="00C23A9F"/>
    <w:rsid w:val="00C23B45"/>
    <w:rsid w:val="00C23B81"/>
    <w:rsid w:val="00C23D1F"/>
    <w:rsid w:val="00C23D6E"/>
    <w:rsid w:val="00C23D7D"/>
    <w:rsid w:val="00C23DE6"/>
    <w:rsid w:val="00C23E11"/>
    <w:rsid w:val="00C23EB6"/>
    <w:rsid w:val="00C23ECA"/>
    <w:rsid w:val="00C23F09"/>
    <w:rsid w:val="00C23FF1"/>
    <w:rsid w:val="00C24044"/>
    <w:rsid w:val="00C2406D"/>
    <w:rsid w:val="00C240AB"/>
    <w:rsid w:val="00C240D6"/>
    <w:rsid w:val="00C240F8"/>
    <w:rsid w:val="00C241B7"/>
    <w:rsid w:val="00C241C5"/>
    <w:rsid w:val="00C241D7"/>
    <w:rsid w:val="00C24211"/>
    <w:rsid w:val="00C2421F"/>
    <w:rsid w:val="00C24298"/>
    <w:rsid w:val="00C24306"/>
    <w:rsid w:val="00C2437E"/>
    <w:rsid w:val="00C24405"/>
    <w:rsid w:val="00C2442E"/>
    <w:rsid w:val="00C244B1"/>
    <w:rsid w:val="00C24599"/>
    <w:rsid w:val="00C2459B"/>
    <w:rsid w:val="00C245A2"/>
    <w:rsid w:val="00C245F1"/>
    <w:rsid w:val="00C2463D"/>
    <w:rsid w:val="00C2464E"/>
    <w:rsid w:val="00C246A6"/>
    <w:rsid w:val="00C246C3"/>
    <w:rsid w:val="00C2470B"/>
    <w:rsid w:val="00C247D0"/>
    <w:rsid w:val="00C24819"/>
    <w:rsid w:val="00C24877"/>
    <w:rsid w:val="00C2488D"/>
    <w:rsid w:val="00C248D9"/>
    <w:rsid w:val="00C2490A"/>
    <w:rsid w:val="00C2495D"/>
    <w:rsid w:val="00C2496C"/>
    <w:rsid w:val="00C2498B"/>
    <w:rsid w:val="00C24A5C"/>
    <w:rsid w:val="00C24AA0"/>
    <w:rsid w:val="00C24BA2"/>
    <w:rsid w:val="00C24BAD"/>
    <w:rsid w:val="00C24BCE"/>
    <w:rsid w:val="00C24C11"/>
    <w:rsid w:val="00C24C16"/>
    <w:rsid w:val="00C24C20"/>
    <w:rsid w:val="00C24C87"/>
    <w:rsid w:val="00C24CFE"/>
    <w:rsid w:val="00C24D2D"/>
    <w:rsid w:val="00C24D94"/>
    <w:rsid w:val="00C24DE9"/>
    <w:rsid w:val="00C24DF0"/>
    <w:rsid w:val="00C24E26"/>
    <w:rsid w:val="00C24EA6"/>
    <w:rsid w:val="00C24EC9"/>
    <w:rsid w:val="00C24F93"/>
    <w:rsid w:val="00C2505C"/>
    <w:rsid w:val="00C25079"/>
    <w:rsid w:val="00C2508E"/>
    <w:rsid w:val="00C25097"/>
    <w:rsid w:val="00C251DA"/>
    <w:rsid w:val="00C25209"/>
    <w:rsid w:val="00C2526A"/>
    <w:rsid w:val="00C25271"/>
    <w:rsid w:val="00C25293"/>
    <w:rsid w:val="00C2533B"/>
    <w:rsid w:val="00C25353"/>
    <w:rsid w:val="00C25379"/>
    <w:rsid w:val="00C253AB"/>
    <w:rsid w:val="00C253C2"/>
    <w:rsid w:val="00C25408"/>
    <w:rsid w:val="00C25419"/>
    <w:rsid w:val="00C25421"/>
    <w:rsid w:val="00C2542B"/>
    <w:rsid w:val="00C25439"/>
    <w:rsid w:val="00C254BA"/>
    <w:rsid w:val="00C254D5"/>
    <w:rsid w:val="00C254F9"/>
    <w:rsid w:val="00C255D1"/>
    <w:rsid w:val="00C25671"/>
    <w:rsid w:val="00C2578A"/>
    <w:rsid w:val="00C25856"/>
    <w:rsid w:val="00C258AC"/>
    <w:rsid w:val="00C2599C"/>
    <w:rsid w:val="00C259A4"/>
    <w:rsid w:val="00C259A5"/>
    <w:rsid w:val="00C259E7"/>
    <w:rsid w:val="00C25AAA"/>
    <w:rsid w:val="00C25BB1"/>
    <w:rsid w:val="00C25CCA"/>
    <w:rsid w:val="00C25D08"/>
    <w:rsid w:val="00C25E27"/>
    <w:rsid w:val="00C25E40"/>
    <w:rsid w:val="00C25E66"/>
    <w:rsid w:val="00C25E99"/>
    <w:rsid w:val="00C25ED5"/>
    <w:rsid w:val="00C25F0C"/>
    <w:rsid w:val="00C25F36"/>
    <w:rsid w:val="00C25F74"/>
    <w:rsid w:val="00C25F7D"/>
    <w:rsid w:val="00C26050"/>
    <w:rsid w:val="00C260E2"/>
    <w:rsid w:val="00C2612E"/>
    <w:rsid w:val="00C26146"/>
    <w:rsid w:val="00C26186"/>
    <w:rsid w:val="00C26190"/>
    <w:rsid w:val="00C26198"/>
    <w:rsid w:val="00C261A7"/>
    <w:rsid w:val="00C261D2"/>
    <w:rsid w:val="00C26205"/>
    <w:rsid w:val="00C26228"/>
    <w:rsid w:val="00C26236"/>
    <w:rsid w:val="00C2628D"/>
    <w:rsid w:val="00C2632B"/>
    <w:rsid w:val="00C26330"/>
    <w:rsid w:val="00C263DD"/>
    <w:rsid w:val="00C263DE"/>
    <w:rsid w:val="00C2640B"/>
    <w:rsid w:val="00C26476"/>
    <w:rsid w:val="00C264D7"/>
    <w:rsid w:val="00C26504"/>
    <w:rsid w:val="00C265B9"/>
    <w:rsid w:val="00C265F6"/>
    <w:rsid w:val="00C2671D"/>
    <w:rsid w:val="00C26753"/>
    <w:rsid w:val="00C26755"/>
    <w:rsid w:val="00C26808"/>
    <w:rsid w:val="00C26841"/>
    <w:rsid w:val="00C269B3"/>
    <w:rsid w:val="00C26B67"/>
    <w:rsid w:val="00C26B8A"/>
    <w:rsid w:val="00C26BA9"/>
    <w:rsid w:val="00C26BBC"/>
    <w:rsid w:val="00C26BDC"/>
    <w:rsid w:val="00C26C3C"/>
    <w:rsid w:val="00C26D1B"/>
    <w:rsid w:val="00C26D7D"/>
    <w:rsid w:val="00C26E0D"/>
    <w:rsid w:val="00C26E4E"/>
    <w:rsid w:val="00C26E5C"/>
    <w:rsid w:val="00C26EA5"/>
    <w:rsid w:val="00C26EAE"/>
    <w:rsid w:val="00C26F56"/>
    <w:rsid w:val="00C26FB1"/>
    <w:rsid w:val="00C26FDD"/>
    <w:rsid w:val="00C26FE4"/>
    <w:rsid w:val="00C2703A"/>
    <w:rsid w:val="00C27063"/>
    <w:rsid w:val="00C27070"/>
    <w:rsid w:val="00C27096"/>
    <w:rsid w:val="00C270AA"/>
    <w:rsid w:val="00C271C8"/>
    <w:rsid w:val="00C271CE"/>
    <w:rsid w:val="00C271DB"/>
    <w:rsid w:val="00C2722E"/>
    <w:rsid w:val="00C27237"/>
    <w:rsid w:val="00C272B2"/>
    <w:rsid w:val="00C272F3"/>
    <w:rsid w:val="00C27320"/>
    <w:rsid w:val="00C2736D"/>
    <w:rsid w:val="00C27481"/>
    <w:rsid w:val="00C2748F"/>
    <w:rsid w:val="00C274AF"/>
    <w:rsid w:val="00C274BB"/>
    <w:rsid w:val="00C274D6"/>
    <w:rsid w:val="00C274F7"/>
    <w:rsid w:val="00C274FA"/>
    <w:rsid w:val="00C2759E"/>
    <w:rsid w:val="00C275EB"/>
    <w:rsid w:val="00C275F4"/>
    <w:rsid w:val="00C27630"/>
    <w:rsid w:val="00C27658"/>
    <w:rsid w:val="00C27698"/>
    <w:rsid w:val="00C276A4"/>
    <w:rsid w:val="00C2778E"/>
    <w:rsid w:val="00C277A9"/>
    <w:rsid w:val="00C2780B"/>
    <w:rsid w:val="00C27859"/>
    <w:rsid w:val="00C278FD"/>
    <w:rsid w:val="00C279B6"/>
    <w:rsid w:val="00C27A28"/>
    <w:rsid w:val="00C27A36"/>
    <w:rsid w:val="00C27ACD"/>
    <w:rsid w:val="00C27AD1"/>
    <w:rsid w:val="00C27B0E"/>
    <w:rsid w:val="00C27B63"/>
    <w:rsid w:val="00C27B90"/>
    <w:rsid w:val="00C27C18"/>
    <w:rsid w:val="00C27C3C"/>
    <w:rsid w:val="00C27CDD"/>
    <w:rsid w:val="00C27D46"/>
    <w:rsid w:val="00C27DEE"/>
    <w:rsid w:val="00C27F8E"/>
    <w:rsid w:val="00C27FB5"/>
    <w:rsid w:val="00C3037E"/>
    <w:rsid w:val="00C3039F"/>
    <w:rsid w:val="00C303D3"/>
    <w:rsid w:val="00C3046F"/>
    <w:rsid w:val="00C304BD"/>
    <w:rsid w:val="00C30573"/>
    <w:rsid w:val="00C305B8"/>
    <w:rsid w:val="00C30670"/>
    <w:rsid w:val="00C306F7"/>
    <w:rsid w:val="00C306FC"/>
    <w:rsid w:val="00C30875"/>
    <w:rsid w:val="00C3089C"/>
    <w:rsid w:val="00C308AA"/>
    <w:rsid w:val="00C3090F"/>
    <w:rsid w:val="00C30BDC"/>
    <w:rsid w:val="00C30BE5"/>
    <w:rsid w:val="00C30C37"/>
    <w:rsid w:val="00C30C4A"/>
    <w:rsid w:val="00C30C60"/>
    <w:rsid w:val="00C30CA5"/>
    <w:rsid w:val="00C30D8E"/>
    <w:rsid w:val="00C30EE3"/>
    <w:rsid w:val="00C30FEA"/>
    <w:rsid w:val="00C3105D"/>
    <w:rsid w:val="00C3106C"/>
    <w:rsid w:val="00C31112"/>
    <w:rsid w:val="00C31284"/>
    <w:rsid w:val="00C3130A"/>
    <w:rsid w:val="00C3135F"/>
    <w:rsid w:val="00C3137A"/>
    <w:rsid w:val="00C314CA"/>
    <w:rsid w:val="00C318FD"/>
    <w:rsid w:val="00C3195D"/>
    <w:rsid w:val="00C31964"/>
    <w:rsid w:val="00C319B3"/>
    <w:rsid w:val="00C31AB4"/>
    <w:rsid w:val="00C31B0F"/>
    <w:rsid w:val="00C31B4A"/>
    <w:rsid w:val="00C31B7E"/>
    <w:rsid w:val="00C31BC4"/>
    <w:rsid w:val="00C31C74"/>
    <w:rsid w:val="00C31D6E"/>
    <w:rsid w:val="00C31DD1"/>
    <w:rsid w:val="00C31DDE"/>
    <w:rsid w:val="00C31DFA"/>
    <w:rsid w:val="00C31E39"/>
    <w:rsid w:val="00C31F01"/>
    <w:rsid w:val="00C31FF2"/>
    <w:rsid w:val="00C32039"/>
    <w:rsid w:val="00C32045"/>
    <w:rsid w:val="00C32064"/>
    <w:rsid w:val="00C3207C"/>
    <w:rsid w:val="00C320E5"/>
    <w:rsid w:val="00C3212F"/>
    <w:rsid w:val="00C3213E"/>
    <w:rsid w:val="00C3217A"/>
    <w:rsid w:val="00C32255"/>
    <w:rsid w:val="00C322AB"/>
    <w:rsid w:val="00C322B0"/>
    <w:rsid w:val="00C322D2"/>
    <w:rsid w:val="00C323C3"/>
    <w:rsid w:val="00C32473"/>
    <w:rsid w:val="00C3250F"/>
    <w:rsid w:val="00C32524"/>
    <w:rsid w:val="00C32561"/>
    <w:rsid w:val="00C32567"/>
    <w:rsid w:val="00C32590"/>
    <w:rsid w:val="00C32607"/>
    <w:rsid w:val="00C32658"/>
    <w:rsid w:val="00C32685"/>
    <w:rsid w:val="00C3275E"/>
    <w:rsid w:val="00C327C0"/>
    <w:rsid w:val="00C327E2"/>
    <w:rsid w:val="00C327E9"/>
    <w:rsid w:val="00C32830"/>
    <w:rsid w:val="00C32855"/>
    <w:rsid w:val="00C3285F"/>
    <w:rsid w:val="00C328FD"/>
    <w:rsid w:val="00C32938"/>
    <w:rsid w:val="00C329B7"/>
    <w:rsid w:val="00C32A65"/>
    <w:rsid w:val="00C32AC1"/>
    <w:rsid w:val="00C32AE9"/>
    <w:rsid w:val="00C32C02"/>
    <w:rsid w:val="00C32C24"/>
    <w:rsid w:val="00C32C28"/>
    <w:rsid w:val="00C32C2F"/>
    <w:rsid w:val="00C32C43"/>
    <w:rsid w:val="00C32C55"/>
    <w:rsid w:val="00C32D71"/>
    <w:rsid w:val="00C32D9A"/>
    <w:rsid w:val="00C32DC4"/>
    <w:rsid w:val="00C32DC8"/>
    <w:rsid w:val="00C32E07"/>
    <w:rsid w:val="00C32E7C"/>
    <w:rsid w:val="00C32F30"/>
    <w:rsid w:val="00C32F63"/>
    <w:rsid w:val="00C33028"/>
    <w:rsid w:val="00C330A2"/>
    <w:rsid w:val="00C33219"/>
    <w:rsid w:val="00C33232"/>
    <w:rsid w:val="00C33255"/>
    <w:rsid w:val="00C33309"/>
    <w:rsid w:val="00C335B3"/>
    <w:rsid w:val="00C335E1"/>
    <w:rsid w:val="00C335F0"/>
    <w:rsid w:val="00C3363F"/>
    <w:rsid w:val="00C336AA"/>
    <w:rsid w:val="00C336AF"/>
    <w:rsid w:val="00C336B1"/>
    <w:rsid w:val="00C336BF"/>
    <w:rsid w:val="00C3370F"/>
    <w:rsid w:val="00C337D9"/>
    <w:rsid w:val="00C338C8"/>
    <w:rsid w:val="00C33942"/>
    <w:rsid w:val="00C33946"/>
    <w:rsid w:val="00C339CC"/>
    <w:rsid w:val="00C33A5A"/>
    <w:rsid w:val="00C33AA7"/>
    <w:rsid w:val="00C33ACB"/>
    <w:rsid w:val="00C33B2D"/>
    <w:rsid w:val="00C33BDA"/>
    <w:rsid w:val="00C33C5F"/>
    <w:rsid w:val="00C33CBA"/>
    <w:rsid w:val="00C33D77"/>
    <w:rsid w:val="00C33E8A"/>
    <w:rsid w:val="00C33EDD"/>
    <w:rsid w:val="00C33FBD"/>
    <w:rsid w:val="00C33FD5"/>
    <w:rsid w:val="00C34027"/>
    <w:rsid w:val="00C340D4"/>
    <w:rsid w:val="00C3410E"/>
    <w:rsid w:val="00C341CA"/>
    <w:rsid w:val="00C3421E"/>
    <w:rsid w:val="00C3422D"/>
    <w:rsid w:val="00C342FA"/>
    <w:rsid w:val="00C34328"/>
    <w:rsid w:val="00C34345"/>
    <w:rsid w:val="00C343AD"/>
    <w:rsid w:val="00C34456"/>
    <w:rsid w:val="00C344A7"/>
    <w:rsid w:val="00C34518"/>
    <w:rsid w:val="00C345B5"/>
    <w:rsid w:val="00C34615"/>
    <w:rsid w:val="00C34625"/>
    <w:rsid w:val="00C3469C"/>
    <w:rsid w:val="00C34704"/>
    <w:rsid w:val="00C3474D"/>
    <w:rsid w:val="00C347E8"/>
    <w:rsid w:val="00C34846"/>
    <w:rsid w:val="00C348B0"/>
    <w:rsid w:val="00C348CE"/>
    <w:rsid w:val="00C3490C"/>
    <w:rsid w:val="00C3492F"/>
    <w:rsid w:val="00C34A74"/>
    <w:rsid w:val="00C34A75"/>
    <w:rsid w:val="00C34A94"/>
    <w:rsid w:val="00C34B42"/>
    <w:rsid w:val="00C34B51"/>
    <w:rsid w:val="00C34B83"/>
    <w:rsid w:val="00C34C74"/>
    <w:rsid w:val="00C34D91"/>
    <w:rsid w:val="00C34DAB"/>
    <w:rsid w:val="00C34E5D"/>
    <w:rsid w:val="00C34F59"/>
    <w:rsid w:val="00C35027"/>
    <w:rsid w:val="00C35032"/>
    <w:rsid w:val="00C3503F"/>
    <w:rsid w:val="00C35099"/>
    <w:rsid w:val="00C35134"/>
    <w:rsid w:val="00C35156"/>
    <w:rsid w:val="00C3515E"/>
    <w:rsid w:val="00C351E7"/>
    <w:rsid w:val="00C351FC"/>
    <w:rsid w:val="00C3523D"/>
    <w:rsid w:val="00C3525C"/>
    <w:rsid w:val="00C3526A"/>
    <w:rsid w:val="00C352A1"/>
    <w:rsid w:val="00C3530C"/>
    <w:rsid w:val="00C353C1"/>
    <w:rsid w:val="00C35408"/>
    <w:rsid w:val="00C35422"/>
    <w:rsid w:val="00C35437"/>
    <w:rsid w:val="00C354F0"/>
    <w:rsid w:val="00C35530"/>
    <w:rsid w:val="00C35544"/>
    <w:rsid w:val="00C3564A"/>
    <w:rsid w:val="00C3567F"/>
    <w:rsid w:val="00C35739"/>
    <w:rsid w:val="00C35784"/>
    <w:rsid w:val="00C357A3"/>
    <w:rsid w:val="00C35852"/>
    <w:rsid w:val="00C358FD"/>
    <w:rsid w:val="00C359B0"/>
    <w:rsid w:val="00C35A43"/>
    <w:rsid w:val="00C35ADB"/>
    <w:rsid w:val="00C35B3E"/>
    <w:rsid w:val="00C35BA5"/>
    <w:rsid w:val="00C35C58"/>
    <w:rsid w:val="00C35C6A"/>
    <w:rsid w:val="00C35C84"/>
    <w:rsid w:val="00C35CD7"/>
    <w:rsid w:val="00C35CF0"/>
    <w:rsid w:val="00C35DD7"/>
    <w:rsid w:val="00C35DF6"/>
    <w:rsid w:val="00C35E07"/>
    <w:rsid w:val="00C35E33"/>
    <w:rsid w:val="00C35F2D"/>
    <w:rsid w:val="00C35F3E"/>
    <w:rsid w:val="00C35F59"/>
    <w:rsid w:val="00C35F7D"/>
    <w:rsid w:val="00C36002"/>
    <w:rsid w:val="00C3606F"/>
    <w:rsid w:val="00C360C0"/>
    <w:rsid w:val="00C360DB"/>
    <w:rsid w:val="00C36158"/>
    <w:rsid w:val="00C36167"/>
    <w:rsid w:val="00C36174"/>
    <w:rsid w:val="00C361BC"/>
    <w:rsid w:val="00C361DE"/>
    <w:rsid w:val="00C36269"/>
    <w:rsid w:val="00C362BC"/>
    <w:rsid w:val="00C363B5"/>
    <w:rsid w:val="00C363C7"/>
    <w:rsid w:val="00C363DD"/>
    <w:rsid w:val="00C363FE"/>
    <w:rsid w:val="00C36430"/>
    <w:rsid w:val="00C364E7"/>
    <w:rsid w:val="00C36689"/>
    <w:rsid w:val="00C36747"/>
    <w:rsid w:val="00C36842"/>
    <w:rsid w:val="00C3687B"/>
    <w:rsid w:val="00C36957"/>
    <w:rsid w:val="00C36989"/>
    <w:rsid w:val="00C36A4A"/>
    <w:rsid w:val="00C36AED"/>
    <w:rsid w:val="00C36C03"/>
    <w:rsid w:val="00C36DEF"/>
    <w:rsid w:val="00C36E10"/>
    <w:rsid w:val="00C36E1A"/>
    <w:rsid w:val="00C36E2B"/>
    <w:rsid w:val="00C36E7E"/>
    <w:rsid w:val="00C36EE4"/>
    <w:rsid w:val="00C36F1D"/>
    <w:rsid w:val="00C36F29"/>
    <w:rsid w:val="00C36F4F"/>
    <w:rsid w:val="00C36FF5"/>
    <w:rsid w:val="00C36FF6"/>
    <w:rsid w:val="00C37036"/>
    <w:rsid w:val="00C370A2"/>
    <w:rsid w:val="00C37102"/>
    <w:rsid w:val="00C37133"/>
    <w:rsid w:val="00C3717F"/>
    <w:rsid w:val="00C371A6"/>
    <w:rsid w:val="00C3720E"/>
    <w:rsid w:val="00C37293"/>
    <w:rsid w:val="00C372AB"/>
    <w:rsid w:val="00C37334"/>
    <w:rsid w:val="00C3734C"/>
    <w:rsid w:val="00C3737E"/>
    <w:rsid w:val="00C373C0"/>
    <w:rsid w:val="00C37447"/>
    <w:rsid w:val="00C3745B"/>
    <w:rsid w:val="00C37520"/>
    <w:rsid w:val="00C3753D"/>
    <w:rsid w:val="00C37543"/>
    <w:rsid w:val="00C376A5"/>
    <w:rsid w:val="00C37701"/>
    <w:rsid w:val="00C37812"/>
    <w:rsid w:val="00C37864"/>
    <w:rsid w:val="00C3789B"/>
    <w:rsid w:val="00C378A6"/>
    <w:rsid w:val="00C379A6"/>
    <w:rsid w:val="00C37A34"/>
    <w:rsid w:val="00C37BBF"/>
    <w:rsid w:val="00C37BD1"/>
    <w:rsid w:val="00C37C11"/>
    <w:rsid w:val="00C37DAE"/>
    <w:rsid w:val="00C37DE5"/>
    <w:rsid w:val="00C37EB5"/>
    <w:rsid w:val="00C400DB"/>
    <w:rsid w:val="00C40144"/>
    <w:rsid w:val="00C40191"/>
    <w:rsid w:val="00C40239"/>
    <w:rsid w:val="00C402C6"/>
    <w:rsid w:val="00C4039D"/>
    <w:rsid w:val="00C40449"/>
    <w:rsid w:val="00C40472"/>
    <w:rsid w:val="00C404C1"/>
    <w:rsid w:val="00C40550"/>
    <w:rsid w:val="00C40578"/>
    <w:rsid w:val="00C40589"/>
    <w:rsid w:val="00C405F4"/>
    <w:rsid w:val="00C4074F"/>
    <w:rsid w:val="00C4075C"/>
    <w:rsid w:val="00C4082B"/>
    <w:rsid w:val="00C40846"/>
    <w:rsid w:val="00C4089C"/>
    <w:rsid w:val="00C408A9"/>
    <w:rsid w:val="00C408DA"/>
    <w:rsid w:val="00C40973"/>
    <w:rsid w:val="00C40982"/>
    <w:rsid w:val="00C409F9"/>
    <w:rsid w:val="00C40A31"/>
    <w:rsid w:val="00C40AF4"/>
    <w:rsid w:val="00C40B11"/>
    <w:rsid w:val="00C40B28"/>
    <w:rsid w:val="00C40BA6"/>
    <w:rsid w:val="00C40BB7"/>
    <w:rsid w:val="00C40BF2"/>
    <w:rsid w:val="00C40C1B"/>
    <w:rsid w:val="00C40C1F"/>
    <w:rsid w:val="00C40C21"/>
    <w:rsid w:val="00C40C6D"/>
    <w:rsid w:val="00C40CB0"/>
    <w:rsid w:val="00C40CF3"/>
    <w:rsid w:val="00C40D65"/>
    <w:rsid w:val="00C40E15"/>
    <w:rsid w:val="00C40F42"/>
    <w:rsid w:val="00C40F74"/>
    <w:rsid w:val="00C40F94"/>
    <w:rsid w:val="00C40FD2"/>
    <w:rsid w:val="00C41050"/>
    <w:rsid w:val="00C41091"/>
    <w:rsid w:val="00C41102"/>
    <w:rsid w:val="00C41167"/>
    <w:rsid w:val="00C411A7"/>
    <w:rsid w:val="00C41251"/>
    <w:rsid w:val="00C41276"/>
    <w:rsid w:val="00C41282"/>
    <w:rsid w:val="00C412C4"/>
    <w:rsid w:val="00C4130C"/>
    <w:rsid w:val="00C4142D"/>
    <w:rsid w:val="00C4143C"/>
    <w:rsid w:val="00C4143F"/>
    <w:rsid w:val="00C41472"/>
    <w:rsid w:val="00C41498"/>
    <w:rsid w:val="00C414FB"/>
    <w:rsid w:val="00C41557"/>
    <w:rsid w:val="00C415AD"/>
    <w:rsid w:val="00C417E4"/>
    <w:rsid w:val="00C4180C"/>
    <w:rsid w:val="00C4191D"/>
    <w:rsid w:val="00C41958"/>
    <w:rsid w:val="00C41963"/>
    <w:rsid w:val="00C4197C"/>
    <w:rsid w:val="00C41987"/>
    <w:rsid w:val="00C41A2D"/>
    <w:rsid w:val="00C41A30"/>
    <w:rsid w:val="00C41AF4"/>
    <w:rsid w:val="00C41C07"/>
    <w:rsid w:val="00C41C3E"/>
    <w:rsid w:val="00C41D73"/>
    <w:rsid w:val="00C41DA1"/>
    <w:rsid w:val="00C41DC8"/>
    <w:rsid w:val="00C41DF6"/>
    <w:rsid w:val="00C41E69"/>
    <w:rsid w:val="00C41EC7"/>
    <w:rsid w:val="00C41ED4"/>
    <w:rsid w:val="00C41F47"/>
    <w:rsid w:val="00C42095"/>
    <w:rsid w:val="00C421B0"/>
    <w:rsid w:val="00C4221C"/>
    <w:rsid w:val="00C42253"/>
    <w:rsid w:val="00C4226D"/>
    <w:rsid w:val="00C422E8"/>
    <w:rsid w:val="00C42485"/>
    <w:rsid w:val="00C424AF"/>
    <w:rsid w:val="00C424FC"/>
    <w:rsid w:val="00C425CD"/>
    <w:rsid w:val="00C4260C"/>
    <w:rsid w:val="00C426F4"/>
    <w:rsid w:val="00C427DB"/>
    <w:rsid w:val="00C427EC"/>
    <w:rsid w:val="00C427FE"/>
    <w:rsid w:val="00C4283F"/>
    <w:rsid w:val="00C428E5"/>
    <w:rsid w:val="00C42962"/>
    <w:rsid w:val="00C429D0"/>
    <w:rsid w:val="00C429FF"/>
    <w:rsid w:val="00C42A4B"/>
    <w:rsid w:val="00C42A56"/>
    <w:rsid w:val="00C42A7B"/>
    <w:rsid w:val="00C42A81"/>
    <w:rsid w:val="00C42ABA"/>
    <w:rsid w:val="00C42AD1"/>
    <w:rsid w:val="00C42AEF"/>
    <w:rsid w:val="00C42AFE"/>
    <w:rsid w:val="00C42B7D"/>
    <w:rsid w:val="00C42BB8"/>
    <w:rsid w:val="00C42C25"/>
    <w:rsid w:val="00C42C3D"/>
    <w:rsid w:val="00C42C80"/>
    <w:rsid w:val="00C42CDE"/>
    <w:rsid w:val="00C42D10"/>
    <w:rsid w:val="00C42D12"/>
    <w:rsid w:val="00C42DCE"/>
    <w:rsid w:val="00C42DFF"/>
    <w:rsid w:val="00C42E5C"/>
    <w:rsid w:val="00C42EC6"/>
    <w:rsid w:val="00C42F7A"/>
    <w:rsid w:val="00C42FC0"/>
    <w:rsid w:val="00C4302F"/>
    <w:rsid w:val="00C4308E"/>
    <w:rsid w:val="00C43182"/>
    <w:rsid w:val="00C43336"/>
    <w:rsid w:val="00C433A9"/>
    <w:rsid w:val="00C433B9"/>
    <w:rsid w:val="00C433F2"/>
    <w:rsid w:val="00C43413"/>
    <w:rsid w:val="00C43448"/>
    <w:rsid w:val="00C4345F"/>
    <w:rsid w:val="00C4349A"/>
    <w:rsid w:val="00C434E1"/>
    <w:rsid w:val="00C434F2"/>
    <w:rsid w:val="00C4359C"/>
    <w:rsid w:val="00C435AB"/>
    <w:rsid w:val="00C435B6"/>
    <w:rsid w:val="00C43668"/>
    <w:rsid w:val="00C4369C"/>
    <w:rsid w:val="00C436BE"/>
    <w:rsid w:val="00C43733"/>
    <w:rsid w:val="00C43755"/>
    <w:rsid w:val="00C43772"/>
    <w:rsid w:val="00C43928"/>
    <w:rsid w:val="00C43931"/>
    <w:rsid w:val="00C4397B"/>
    <w:rsid w:val="00C43994"/>
    <w:rsid w:val="00C43998"/>
    <w:rsid w:val="00C43AEA"/>
    <w:rsid w:val="00C43BA2"/>
    <w:rsid w:val="00C43BBB"/>
    <w:rsid w:val="00C43C5F"/>
    <w:rsid w:val="00C43C9B"/>
    <w:rsid w:val="00C43C9D"/>
    <w:rsid w:val="00C43D72"/>
    <w:rsid w:val="00C43DFA"/>
    <w:rsid w:val="00C43E19"/>
    <w:rsid w:val="00C43E39"/>
    <w:rsid w:val="00C43FEA"/>
    <w:rsid w:val="00C440DA"/>
    <w:rsid w:val="00C44238"/>
    <w:rsid w:val="00C442D0"/>
    <w:rsid w:val="00C442ED"/>
    <w:rsid w:val="00C4433D"/>
    <w:rsid w:val="00C4433F"/>
    <w:rsid w:val="00C443AA"/>
    <w:rsid w:val="00C443AB"/>
    <w:rsid w:val="00C44414"/>
    <w:rsid w:val="00C44484"/>
    <w:rsid w:val="00C44496"/>
    <w:rsid w:val="00C445F0"/>
    <w:rsid w:val="00C4461E"/>
    <w:rsid w:val="00C44695"/>
    <w:rsid w:val="00C4481C"/>
    <w:rsid w:val="00C44820"/>
    <w:rsid w:val="00C4482E"/>
    <w:rsid w:val="00C44938"/>
    <w:rsid w:val="00C44A83"/>
    <w:rsid w:val="00C44AA5"/>
    <w:rsid w:val="00C44B1D"/>
    <w:rsid w:val="00C44BA0"/>
    <w:rsid w:val="00C44BC7"/>
    <w:rsid w:val="00C44BFA"/>
    <w:rsid w:val="00C44CC6"/>
    <w:rsid w:val="00C44CDD"/>
    <w:rsid w:val="00C44D23"/>
    <w:rsid w:val="00C44DB2"/>
    <w:rsid w:val="00C44E26"/>
    <w:rsid w:val="00C44E33"/>
    <w:rsid w:val="00C44E8A"/>
    <w:rsid w:val="00C44EA3"/>
    <w:rsid w:val="00C44ED1"/>
    <w:rsid w:val="00C44ED9"/>
    <w:rsid w:val="00C44F60"/>
    <w:rsid w:val="00C44FF0"/>
    <w:rsid w:val="00C44FFD"/>
    <w:rsid w:val="00C45063"/>
    <w:rsid w:val="00C450EC"/>
    <w:rsid w:val="00C45156"/>
    <w:rsid w:val="00C451BA"/>
    <w:rsid w:val="00C451DD"/>
    <w:rsid w:val="00C451E2"/>
    <w:rsid w:val="00C453D5"/>
    <w:rsid w:val="00C454FD"/>
    <w:rsid w:val="00C45576"/>
    <w:rsid w:val="00C455A1"/>
    <w:rsid w:val="00C455FA"/>
    <w:rsid w:val="00C45697"/>
    <w:rsid w:val="00C456F3"/>
    <w:rsid w:val="00C45756"/>
    <w:rsid w:val="00C45772"/>
    <w:rsid w:val="00C457A4"/>
    <w:rsid w:val="00C457C3"/>
    <w:rsid w:val="00C457E2"/>
    <w:rsid w:val="00C457E4"/>
    <w:rsid w:val="00C457F5"/>
    <w:rsid w:val="00C45829"/>
    <w:rsid w:val="00C4582A"/>
    <w:rsid w:val="00C4583B"/>
    <w:rsid w:val="00C45898"/>
    <w:rsid w:val="00C4589E"/>
    <w:rsid w:val="00C458DA"/>
    <w:rsid w:val="00C458E6"/>
    <w:rsid w:val="00C45913"/>
    <w:rsid w:val="00C45999"/>
    <w:rsid w:val="00C459C2"/>
    <w:rsid w:val="00C459D1"/>
    <w:rsid w:val="00C45A34"/>
    <w:rsid w:val="00C45AC0"/>
    <w:rsid w:val="00C45AF1"/>
    <w:rsid w:val="00C45B2C"/>
    <w:rsid w:val="00C45BE3"/>
    <w:rsid w:val="00C45CA3"/>
    <w:rsid w:val="00C45D9A"/>
    <w:rsid w:val="00C45DA8"/>
    <w:rsid w:val="00C45EA3"/>
    <w:rsid w:val="00C45EA4"/>
    <w:rsid w:val="00C45EB6"/>
    <w:rsid w:val="00C46085"/>
    <w:rsid w:val="00C460B5"/>
    <w:rsid w:val="00C460C5"/>
    <w:rsid w:val="00C4619B"/>
    <w:rsid w:val="00C46214"/>
    <w:rsid w:val="00C4623B"/>
    <w:rsid w:val="00C4640A"/>
    <w:rsid w:val="00C46463"/>
    <w:rsid w:val="00C4650E"/>
    <w:rsid w:val="00C465F4"/>
    <w:rsid w:val="00C46612"/>
    <w:rsid w:val="00C4663A"/>
    <w:rsid w:val="00C46694"/>
    <w:rsid w:val="00C4676F"/>
    <w:rsid w:val="00C46785"/>
    <w:rsid w:val="00C46811"/>
    <w:rsid w:val="00C4681A"/>
    <w:rsid w:val="00C46827"/>
    <w:rsid w:val="00C46953"/>
    <w:rsid w:val="00C469C8"/>
    <w:rsid w:val="00C469D9"/>
    <w:rsid w:val="00C469DD"/>
    <w:rsid w:val="00C46A2F"/>
    <w:rsid w:val="00C46A85"/>
    <w:rsid w:val="00C46AE4"/>
    <w:rsid w:val="00C46B9B"/>
    <w:rsid w:val="00C46BD0"/>
    <w:rsid w:val="00C46BF7"/>
    <w:rsid w:val="00C46C14"/>
    <w:rsid w:val="00C46CD5"/>
    <w:rsid w:val="00C46CEA"/>
    <w:rsid w:val="00C46D26"/>
    <w:rsid w:val="00C46D3B"/>
    <w:rsid w:val="00C46D7D"/>
    <w:rsid w:val="00C46DA6"/>
    <w:rsid w:val="00C46DE8"/>
    <w:rsid w:val="00C46E03"/>
    <w:rsid w:val="00C46EBA"/>
    <w:rsid w:val="00C46FEA"/>
    <w:rsid w:val="00C47006"/>
    <w:rsid w:val="00C47010"/>
    <w:rsid w:val="00C47059"/>
    <w:rsid w:val="00C470C5"/>
    <w:rsid w:val="00C470CD"/>
    <w:rsid w:val="00C47118"/>
    <w:rsid w:val="00C4717B"/>
    <w:rsid w:val="00C471A6"/>
    <w:rsid w:val="00C471BE"/>
    <w:rsid w:val="00C471DF"/>
    <w:rsid w:val="00C47203"/>
    <w:rsid w:val="00C47240"/>
    <w:rsid w:val="00C472B2"/>
    <w:rsid w:val="00C472D7"/>
    <w:rsid w:val="00C4731A"/>
    <w:rsid w:val="00C473C8"/>
    <w:rsid w:val="00C4745E"/>
    <w:rsid w:val="00C4748E"/>
    <w:rsid w:val="00C474B9"/>
    <w:rsid w:val="00C47548"/>
    <w:rsid w:val="00C475F9"/>
    <w:rsid w:val="00C47621"/>
    <w:rsid w:val="00C47628"/>
    <w:rsid w:val="00C47699"/>
    <w:rsid w:val="00C477A1"/>
    <w:rsid w:val="00C477D6"/>
    <w:rsid w:val="00C477FA"/>
    <w:rsid w:val="00C47858"/>
    <w:rsid w:val="00C478E3"/>
    <w:rsid w:val="00C47A02"/>
    <w:rsid w:val="00C47A30"/>
    <w:rsid w:val="00C47B03"/>
    <w:rsid w:val="00C47BA1"/>
    <w:rsid w:val="00C47BC5"/>
    <w:rsid w:val="00C47BD9"/>
    <w:rsid w:val="00C47CD4"/>
    <w:rsid w:val="00C47CD6"/>
    <w:rsid w:val="00C47CE7"/>
    <w:rsid w:val="00C47DA4"/>
    <w:rsid w:val="00C47DC4"/>
    <w:rsid w:val="00C47DEA"/>
    <w:rsid w:val="00C47E2D"/>
    <w:rsid w:val="00C47E42"/>
    <w:rsid w:val="00C47E60"/>
    <w:rsid w:val="00C47E73"/>
    <w:rsid w:val="00C47F41"/>
    <w:rsid w:val="00C47FC8"/>
    <w:rsid w:val="00C47FE9"/>
    <w:rsid w:val="00C47FF1"/>
    <w:rsid w:val="00C50015"/>
    <w:rsid w:val="00C50044"/>
    <w:rsid w:val="00C5005F"/>
    <w:rsid w:val="00C5009E"/>
    <w:rsid w:val="00C5010C"/>
    <w:rsid w:val="00C5010F"/>
    <w:rsid w:val="00C50130"/>
    <w:rsid w:val="00C501C3"/>
    <w:rsid w:val="00C50204"/>
    <w:rsid w:val="00C5023A"/>
    <w:rsid w:val="00C502CF"/>
    <w:rsid w:val="00C502EB"/>
    <w:rsid w:val="00C50300"/>
    <w:rsid w:val="00C503B0"/>
    <w:rsid w:val="00C503C2"/>
    <w:rsid w:val="00C50451"/>
    <w:rsid w:val="00C5056B"/>
    <w:rsid w:val="00C50577"/>
    <w:rsid w:val="00C50611"/>
    <w:rsid w:val="00C5066C"/>
    <w:rsid w:val="00C506D4"/>
    <w:rsid w:val="00C506E8"/>
    <w:rsid w:val="00C5079E"/>
    <w:rsid w:val="00C507EE"/>
    <w:rsid w:val="00C50804"/>
    <w:rsid w:val="00C50906"/>
    <w:rsid w:val="00C50920"/>
    <w:rsid w:val="00C50950"/>
    <w:rsid w:val="00C509CA"/>
    <w:rsid w:val="00C50A36"/>
    <w:rsid w:val="00C50A5A"/>
    <w:rsid w:val="00C50B74"/>
    <w:rsid w:val="00C50B87"/>
    <w:rsid w:val="00C50BE4"/>
    <w:rsid w:val="00C50C16"/>
    <w:rsid w:val="00C50C6C"/>
    <w:rsid w:val="00C50CFB"/>
    <w:rsid w:val="00C50D10"/>
    <w:rsid w:val="00C50D26"/>
    <w:rsid w:val="00C50D49"/>
    <w:rsid w:val="00C50DB8"/>
    <w:rsid w:val="00C50E33"/>
    <w:rsid w:val="00C50F07"/>
    <w:rsid w:val="00C50F3A"/>
    <w:rsid w:val="00C50F47"/>
    <w:rsid w:val="00C50FFB"/>
    <w:rsid w:val="00C5109B"/>
    <w:rsid w:val="00C511C9"/>
    <w:rsid w:val="00C511D3"/>
    <w:rsid w:val="00C51239"/>
    <w:rsid w:val="00C51302"/>
    <w:rsid w:val="00C5136A"/>
    <w:rsid w:val="00C5141A"/>
    <w:rsid w:val="00C51420"/>
    <w:rsid w:val="00C514E2"/>
    <w:rsid w:val="00C51643"/>
    <w:rsid w:val="00C516A4"/>
    <w:rsid w:val="00C5177E"/>
    <w:rsid w:val="00C517D0"/>
    <w:rsid w:val="00C518EE"/>
    <w:rsid w:val="00C5195C"/>
    <w:rsid w:val="00C51962"/>
    <w:rsid w:val="00C51A63"/>
    <w:rsid w:val="00C51AB6"/>
    <w:rsid w:val="00C51AC6"/>
    <w:rsid w:val="00C51B6F"/>
    <w:rsid w:val="00C51BC3"/>
    <w:rsid w:val="00C51BD7"/>
    <w:rsid w:val="00C51C1A"/>
    <w:rsid w:val="00C51C93"/>
    <w:rsid w:val="00C51D01"/>
    <w:rsid w:val="00C51D05"/>
    <w:rsid w:val="00C51D53"/>
    <w:rsid w:val="00C51D8B"/>
    <w:rsid w:val="00C51D94"/>
    <w:rsid w:val="00C51E04"/>
    <w:rsid w:val="00C51F24"/>
    <w:rsid w:val="00C51FED"/>
    <w:rsid w:val="00C52174"/>
    <w:rsid w:val="00C521B7"/>
    <w:rsid w:val="00C521BC"/>
    <w:rsid w:val="00C521E2"/>
    <w:rsid w:val="00C521EF"/>
    <w:rsid w:val="00C52226"/>
    <w:rsid w:val="00C52264"/>
    <w:rsid w:val="00C52269"/>
    <w:rsid w:val="00C522A2"/>
    <w:rsid w:val="00C5238C"/>
    <w:rsid w:val="00C523F9"/>
    <w:rsid w:val="00C523FC"/>
    <w:rsid w:val="00C52488"/>
    <w:rsid w:val="00C524E4"/>
    <w:rsid w:val="00C52503"/>
    <w:rsid w:val="00C5257D"/>
    <w:rsid w:val="00C525E5"/>
    <w:rsid w:val="00C52614"/>
    <w:rsid w:val="00C52656"/>
    <w:rsid w:val="00C52723"/>
    <w:rsid w:val="00C527F0"/>
    <w:rsid w:val="00C527F3"/>
    <w:rsid w:val="00C528EA"/>
    <w:rsid w:val="00C5291F"/>
    <w:rsid w:val="00C5297F"/>
    <w:rsid w:val="00C529D8"/>
    <w:rsid w:val="00C52A93"/>
    <w:rsid w:val="00C52AB8"/>
    <w:rsid w:val="00C52B60"/>
    <w:rsid w:val="00C52DC2"/>
    <w:rsid w:val="00C52DE7"/>
    <w:rsid w:val="00C52E47"/>
    <w:rsid w:val="00C52E63"/>
    <w:rsid w:val="00C52E7E"/>
    <w:rsid w:val="00C52EB6"/>
    <w:rsid w:val="00C52F16"/>
    <w:rsid w:val="00C52F1A"/>
    <w:rsid w:val="00C52F5C"/>
    <w:rsid w:val="00C5306B"/>
    <w:rsid w:val="00C53091"/>
    <w:rsid w:val="00C53092"/>
    <w:rsid w:val="00C53147"/>
    <w:rsid w:val="00C53152"/>
    <w:rsid w:val="00C53158"/>
    <w:rsid w:val="00C531C1"/>
    <w:rsid w:val="00C531E9"/>
    <w:rsid w:val="00C531EB"/>
    <w:rsid w:val="00C5323A"/>
    <w:rsid w:val="00C53248"/>
    <w:rsid w:val="00C532DE"/>
    <w:rsid w:val="00C532FD"/>
    <w:rsid w:val="00C533A9"/>
    <w:rsid w:val="00C533C2"/>
    <w:rsid w:val="00C5341A"/>
    <w:rsid w:val="00C53446"/>
    <w:rsid w:val="00C5357D"/>
    <w:rsid w:val="00C5367D"/>
    <w:rsid w:val="00C53692"/>
    <w:rsid w:val="00C53697"/>
    <w:rsid w:val="00C5371F"/>
    <w:rsid w:val="00C5377B"/>
    <w:rsid w:val="00C53801"/>
    <w:rsid w:val="00C538C3"/>
    <w:rsid w:val="00C538C8"/>
    <w:rsid w:val="00C53981"/>
    <w:rsid w:val="00C539BD"/>
    <w:rsid w:val="00C53A0A"/>
    <w:rsid w:val="00C53AA8"/>
    <w:rsid w:val="00C53AC8"/>
    <w:rsid w:val="00C53AD8"/>
    <w:rsid w:val="00C53B97"/>
    <w:rsid w:val="00C53BE7"/>
    <w:rsid w:val="00C53C51"/>
    <w:rsid w:val="00C53D5F"/>
    <w:rsid w:val="00C53E8A"/>
    <w:rsid w:val="00C53EB1"/>
    <w:rsid w:val="00C53F04"/>
    <w:rsid w:val="00C53FBA"/>
    <w:rsid w:val="00C53FED"/>
    <w:rsid w:val="00C5403C"/>
    <w:rsid w:val="00C540CB"/>
    <w:rsid w:val="00C540DA"/>
    <w:rsid w:val="00C54143"/>
    <w:rsid w:val="00C5421A"/>
    <w:rsid w:val="00C5424B"/>
    <w:rsid w:val="00C543E0"/>
    <w:rsid w:val="00C5442D"/>
    <w:rsid w:val="00C54432"/>
    <w:rsid w:val="00C54490"/>
    <w:rsid w:val="00C54573"/>
    <w:rsid w:val="00C545A9"/>
    <w:rsid w:val="00C545D2"/>
    <w:rsid w:val="00C545F0"/>
    <w:rsid w:val="00C5469F"/>
    <w:rsid w:val="00C5478D"/>
    <w:rsid w:val="00C547C5"/>
    <w:rsid w:val="00C547C7"/>
    <w:rsid w:val="00C547DD"/>
    <w:rsid w:val="00C5484B"/>
    <w:rsid w:val="00C5484F"/>
    <w:rsid w:val="00C549D6"/>
    <w:rsid w:val="00C54A6B"/>
    <w:rsid w:val="00C54ACC"/>
    <w:rsid w:val="00C54AD6"/>
    <w:rsid w:val="00C54CBC"/>
    <w:rsid w:val="00C54CC1"/>
    <w:rsid w:val="00C54CE2"/>
    <w:rsid w:val="00C54D9A"/>
    <w:rsid w:val="00C54DAF"/>
    <w:rsid w:val="00C54DC5"/>
    <w:rsid w:val="00C54DD4"/>
    <w:rsid w:val="00C54E14"/>
    <w:rsid w:val="00C54EBB"/>
    <w:rsid w:val="00C54EEF"/>
    <w:rsid w:val="00C54F5C"/>
    <w:rsid w:val="00C54F64"/>
    <w:rsid w:val="00C55022"/>
    <w:rsid w:val="00C5502A"/>
    <w:rsid w:val="00C55039"/>
    <w:rsid w:val="00C55153"/>
    <w:rsid w:val="00C5518E"/>
    <w:rsid w:val="00C551A4"/>
    <w:rsid w:val="00C551EA"/>
    <w:rsid w:val="00C55374"/>
    <w:rsid w:val="00C55377"/>
    <w:rsid w:val="00C5540E"/>
    <w:rsid w:val="00C55439"/>
    <w:rsid w:val="00C5545B"/>
    <w:rsid w:val="00C554E1"/>
    <w:rsid w:val="00C554FB"/>
    <w:rsid w:val="00C555A8"/>
    <w:rsid w:val="00C555D5"/>
    <w:rsid w:val="00C555EE"/>
    <w:rsid w:val="00C555FD"/>
    <w:rsid w:val="00C55615"/>
    <w:rsid w:val="00C55666"/>
    <w:rsid w:val="00C55684"/>
    <w:rsid w:val="00C556B3"/>
    <w:rsid w:val="00C5575B"/>
    <w:rsid w:val="00C5585C"/>
    <w:rsid w:val="00C558C5"/>
    <w:rsid w:val="00C55A34"/>
    <w:rsid w:val="00C55A4A"/>
    <w:rsid w:val="00C55AD9"/>
    <w:rsid w:val="00C55B3D"/>
    <w:rsid w:val="00C55CB1"/>
    <w:rsid w:val="00C55D50"/>
    <w:rsid w:val="00C55D80"/>
    <w:rsid w:val="00C55D9B"/>
    <w:rsid w:val="00C55DCD"/>
    <w:rsid w:val="00C56072"/>
    <w:rsid w:val="00C560C0"/>
    <w:rsid w:val="00C561FC"/>
    <w:rsid w:val="00C5631D"/>
    <w:rsid w:val="00C56492"/>
    <w:rsid w:val="00C564D2"/>
    <w:rsid w:val="00C56586"/>
    <w:rsid w:val="00C565D4"/>
    <w:rsid w:val="00C566A8"/>
    <w:rsid w:val="00C566E8"/>
    <w:rsid w:val="00C56717"/>
    <w:rsid w:val="00C56746"/>
    <w:rsid w:val="00C567B0"/>
    <w:rsid w:val="00C567BA"/>
    <w:rsid w:val="00C567E5"/>
    <w:rsid w:val="00C56859"/>
    <w:rsid w:val="00C5685B"/>
    <w:rsid w:val="00C568A8"/>
    <w:rsid w:val="00C56912"/>
    <w:rsid w:val="00C5694E"/>
    <w:rsid w:val="00C569EB"/>
    <w:rsid w:val="00C569EE"/>
    <w:rsid w:val="00C569F0"/>
    <w:rsid w:val="00C56A87"/>
    <w:rsid w:val="00C56AD5"/>
    <w:rsid w:val="00C56B80"/>
    <w:rsid w:val="00C56B8C"/>
    <w:rsid w:val="00C56BBC"/>
    <w:rsid w:val="00C56BF4"/>
    <w:rsid w:val="00C56C73"/>
    <w:rsid w:val="00C56C9C"/>
    <w:rsid w:val="00C56CD2"/>
    <w:rsid w:val="00C56CD5"/>
    <w:rsid w:val="00C56D19"/>
    <w:rsid w:val="00C56D5C"/>
    <w:rsid w:val="00C56D65"/>
    <w:rsid w:val="00C56D88"/>
    <w:rsid w:val="00C56E16"/>
    <w:rsid w:val="00C56EC1"/>
    <w:rsid w:val="00C56EFE"/>
    <w:rsid w:val="00C56F52"/>
    <w:rsid w:val="00C57013"/>
    <w:rsid w:val="00C57037"/>
    <w:rsid w:val="00C5711C"/>
    <w:rsid w:val="00C57197"/>
    <w:rsid w:val="00C571C7"/>
    <w:rsid w:val="00C571DB"/>
    <w:rsid w:val="00C57249"/>
    <w:rsid w:val="00C57258"/>
    <w:rsid w:val="00C57263"/>
    <w:rsid w:val="00C572B3"/>
    <w:rsid w:val="00C572BB"/>
    <w:rsid w:val="00C572E2"/>
    <w:rsid w:val="00C57301"/>
    <w:rsid w:val="00C57303"/>
    <w:rsid w:val="00C57363"/>
    <w:rsid w:val="00C5736D"/>
    <w:rsid w:val="00C573B2"/>
    <w:rsid w:val="00C57402"/>
    <w:rsid w:val="00C5751C"/>
    <w:rsid w:val="00C5754B"/>
    <w:rsid w:val="00C5755A"/>
    <w:rsid w:val="00C57640"/>
    <w:rsid w:val="00C57826"/>
    <w:rsid w:val="00C5783D"/>
    <w:rsid w:val="00C578FA"/>
    <w:rsid w:val="00C578FF"/>
    <w:rsid w:val="00C5792B"/>
    <w:rsid w:val="00C57949"/>
    <w:rsid w:val="00C57A58"/>
    <w:rsid w:val="00C57AE6"/>
    <w:rsid w:val="00C57AFD"/>
    <w:rsid w:val="00C57B7D"/>
    <w:rsid w:val="00C57BBA"/>
    <w:rsid w:val="00C57C3B"/>
    <w:rsid w:val="00C57D28"/>
    <w:rsid w:val="00C57E78"/>
    <w:rsid w:val="00C57EC3"/>
    <w:rsid w:val="00C57FB4"/>
    <w:rsid w:val="00C600AE"/>
    <w:rsid w:val="00C60102"/>
    <w:rsid w:val="00C60197"/>
    <w:rsid w:val="00C6020D"/>
    <w:rsid w:val="00C60244"/>
    <w:rsid w:val="00C60253"/>
    <w:rsid w:val="00C60265"/>
    <w:rsid w:val="00C602BD"/>
    <w:rsid w:val="00C602C1"/>
    <w:rsid w:val="00C602E5"/>
    <w:rsid w:val="00C603A6"/>
    <w:rsid w:val="00C603B6"/>
    <w:rsid w:val="00C603C8"/>
    <w:rsid w:val="00C603E7"/>
    <w:rsid w:val="00C60459"/>
    <w:rsid w:val="00C60551"/>
    <w:rsid w:val="00C605B9"/>
    <w:rsid w:val="00C60689"/>
    <w:rsid w:val="00C606AD"/>
    <w:rsid w:val="00C60705"/>
    <w:rsid w:val="00C6079D"/>
    <w:rsid w:val="00C607C1"/>
    <w:rsid w:val="00C60808"/>
    <w:rsid w:val="00C608D7"/>
    <w:rsid w:val="00C6097E"/>
    <w:rsid w:val="00C609EC"/>
    <w:rsid w:val="00C60A0B"/>
    <w:rsid w:val="00C60A72"/>
    <w:rsid w:val="00C60A85"/>
    <w:rsid w:val="00C60AF9"/>
    <w:rsid w:val="00C60B0D"/>
    <w:rsid w:val="00C60B81"/>
    <w:rsid w:val="00C60CD8"/>
    <w:rsid w:val="00C60D7A"/>
    <w:rsid w:val="00C60D9D"/>
    <w:rsid w:val="00C60DC8"/>
    <w:rsid w:val="00C60DEA"/>
    <w:rsid w:val="00C60E0C"/>
    <w:rsid w:val="00C60E1A"/>
    <w:rsid w:val="00C60EC3"/>
    <w:rsid w:val="00C60ECA"/>
    <w:rsid w:val="00C60F1E"/>
    <w:rsid w:val="00C60F9F"/>
    <w:rsid w:val="00C60FDB"/>
    <w:rsid w:val="00C61001"/>
    <w:rsid w:val="00C6100E"/>
    <w:rsid w:val="00C6105E"/>
    <w:rsid w:val="00C6113A"/>
    <w:rsid w:val="00C6116C"/>
    <w:rsid w:val="00C6119F"/>
    <w:rsid w:val="00C61209"/>
    <w:rsid w:val="00C612AE"/>
    <w:rsid w:val="00C612F3"/>
    <w:rsid w:val="00C613D0"/>
    <w:rsid w:val="00C615B1"/>
    <w:rsid w:val="00C615FE"/>
    <w:rsid w:val="00C61604"/>
    <w:rsid w:val="00C61624"/>
    <w:rsid w:val="00C616AB"/>
    <w:rsid w:val="00C61707"/>
    <w:rsid w:val="00C61799"/>
    <w:rsid w:val="00C617C1"/>
    <w:rsid w:val="00C617F3"/>
    <w:rsid w:val="00C618AF"/>
    <w:rsid w:val="00C6194F"/>
    <w:rsid w:val="00C61950"/>
    <w:rsid w:val="00C6195F"/>
    <w:rsid w:val="00C61978"/>
    <w:rsid w:val="00C61B05"/>
    <w:rsid w:val="00C61B84"/>
    <w:rsid w:val="00C61B92"/>
    <w:rsid w:val="00C61BCD"/>
    <w:rsid w:val="00C61BE4"/>
    <w:rsid w:val="00C61C1C"/>
    <w:rsid w:val="00C61C4A"/>
    <w:rsid w:val="00C61DB5"/>
    <w:rsid w:val="00C61DFF"/>
    <w:rsid w:val="00C61E1E"/>
    <w:rsid w:val="00C61E37"/>
    <w:rsid w:val="00C61ED7"/>
    <w:rsid w:val="00C61F28"/>
    <w:rsid w:val="00C61F85"/>
    <w:rsid w:val="00C61FCB"/>
    <w:rsid w:val="00C61FE8"/>
    <w:rsid w:val="00C6211B"/>
    <w:rsid w:val="00C62159"/>
    <w:rsid w:val="00C621A0"/>
    <w:rsid w:val="00C62222"/>
    <w:rsid w:val="00C62310"/>
    <w:rsid w:val="00C62336"/>
    <w:rsid w:val="00C62355"/>
    <w:rsid w:val="00C623F9"/>
    <w:rsid w:val="00C625C6"/>
    <w:rsid w:val="00C62753"/>
    <w:rsid w:val="00C62773"/>
    <w:rsid w:val="00C6288A"/>
    <w:rsid w:val="00C629F3"/>
    <w:rsid w:val="00C62A39"/>
    <w:rsid w:val="00C62AFD"/>
    <w:rsid w:val="00C62BC1"/>
    <w:rsid w:val="00C62BC9"/>
    <w:rsid w:val="00C62BD5"/>
    <w:rsid w:val="00C62C1C"/>
    <w:rsid w:val="00C62C63"/>
    <w:rsid w:val="00C62C82"/>
    <w:rsid w:val="00C62CCB"/>
    <w:rsid w:val="00C62D79"/>
    <w:rsid w:val="00C62DE1"/>
    <w:rsid w:val="00C62E53"/>
    <w:rsid w:val="00C62E73"/>
    <w:rsid w:val="00C62FEF"/>
    <w:rsid w:val="00C6303C"/>
    <w:rsid w:val="00C631F8"/>
    <w:rsid w:val="00C6320A"/>
    <w:rsid w:val="00C63218"/>
    <w:rsid w:val="00C63280"/>
    <w:rsid w:val="00C632F4"/>
    <w:rsid w:val="00C63330"/>
    <w:rsid w:val="00C6333C"/>
    <w:rsid w:val="00C6333E"/>
    <w:rsid w:val="00C63365"/>
    <w:rsid w:val="00C63366"/>
    <w:rsid w:val="00C63376"/>
    <w:rsid w:val="00C63531"/>
    <w:rsid w:val="00C63536"/>
    <w:rsid w:val="00C635B2"/>
    <w:rsid w:val="00C635C3"/>
    <w:rsid w:val="00C63654"/>
    <w:rsid w:val="00C6370F"/>
    <w:rsid w:val="00C6382E"/>
    <w:rsid w:val="00C638AC"/>
    <w:rsid w:val="00C638B2"/>
    <w:rsid w:val="00C63969"/>
    <w:rsid w:val="00C63B0F"/>
    <w:rsid w:val="00C63B64"/>
    <w:rsid w:val="00C63BA8"/>
    <w:rsid w:val="00C63BAA"/>
    <w:rsid w:val="00C63C44"/>
    <w:rsid w:val="00C63C89"/>
    <w:rsid w:val="00C63CCC"/>
    <w:rsid w:val="00C63D9E"/>
    <w:rsid w:val="00C63DC7"/>
    <w:rsid w:val="00C63F3E"/>
    <w:rsid w:val="00C64012"/>
    <w:rsid w:val="00C6408A"/>
    <w:rsid w:val="00C640E7"/>
    <w:rsid w:val="00C64127"/>
    <w:rsid w:val="00C641C8"/>
    <w:rsid w:val="00C64382"/>
    <w:rsid w:val="00C643F2"/>
    <w:rsid w:val="00C644C7"/>
    <w:rsid w:val="00C644DA"/>
    <w:rsid w:val="00C6452E"/>
    <w:rsid w:val="00C64552"/>
    <w:rsid w:val="00C645BE"/>
    <w:rsid w:val="00C645DF"/>
    <w:rsid w:val="00C645FB"/>
    <w:rsid w:val="00C6464E"/>
    <w:rsid w:val="00C646B1"/>
    <w:rsid w:val="00C646DA"/>
    <w:rsid w:val="00C6483D"/>
    <w:rsid w:val="00C6484B"/>
    <w:rsid w:val="00C64895"/>
    <w:rsid w:val="00C64953"/>
    <w:rsid w:val="00C64960"/>
    <w:rsid w:val="00C64B40"/>
    <w:rsid w:val="00C64B45"/>
    <w:rsid w:val="00C64BAA"/>
    <w:rsid w:val="00C64C55"/>
    <w:rsid w:val="00C64C73"/>
    <w:rsid w:val="00C64D0C"/>
    <w:rsid w:val="00C64D1F"/>
    <w:rsid w:val="00C64D76"/>
    <w:rsid w:val="00C64DAB"/>
    <w:rsid w:val="00C64DB2"/>
    <w:rsid w:val="00C64DD8"/>
    <w:rsid w:val="00C64DF3"/>
    <w:rsid w:val="00C64E09"/>
    <w:rsid w:val="00C64E13"/>
    <w:rsid w:val="00C64EFE"/>
    <w:rsid w:val="00C64F3B"/>
    <w:rsid w:val="00C64F7C"/>
    <w:rsid w:val="00C64FB7"/>
    <w:rsid w:val="00C64FC7"/>
    <w:rsid w:val="00C64FDB"/>
    <w:rsid w:val="00C65080"/>
    <w:rsid w:val="00C65171"/>
    <w:rsid w:val="00C6522B"/>
    <w:rsid w:val="00C65245"/>
    <w:rsid w:val="00C6537D"/>
    <w:rsid w:val="00C653F2"/>
    <w:rsid w:val="00C6543A"/>
    <w:rsid w:val="00C65446"/>
    <w:rsid w:val="00C65486"/>
    <w:rsid w:val="00C654A3"/>
    <w:rsid w:val="00C654E6"/>
    <w:rsid w:val="00C654EF"/>
    <w:rsid w:val="00C65535"/>
    <w:rsid w:val="00C6555B"/>
    <w:rsid w:val="00C6559F"/>
    <w:rsid w:val="00C655C8"/>
    <w:rsid w:val="00C656EE"/>
    <w:rsid w:val="00C65738"/>
    <w:rsid w:val="00C657B7"/>
    <w:rsid w:val="00C65917"/>
    <w:rsid w:val="00C65927"/>
    <w:rsid w:val="00C65947"/>
    <w:rsid w:val="00C65C7B"/>
    <w:rsid w:val="00C65D2E"/>
    <w:rsid w:val="00C65D57"/>
    <w:rsid w:val="00C65D8F"/>
    <w:rsid w:val="00C65F19"/>
    <w:rsid w:val="00C65F53"/>
    <w:rsid w:val="00C65F8E"/>
    <w:rsid w:val="00C65FAF"/>
    <w:rsid w:val="00C6600A"/>
    <w:rsid w:val="00C66125"/>
    <w:rsid w:val="00C66172"/>
    <w:rsid w:val="00C66184"/>
    <w:rsid w:val="00C6618F"/>
    <w:rsid w:val="00C6621F"/>
    <w:rsid w:val="00C66276"/>
    <w:rsid w:val="00C662B1"/>
    <w:rsid w:val="00C662D2"/>
    <w:rsid w:val="00C662E9"/>
    <w:rsid w:val="00C662F1"/>
    <w:rsid w:val="00C66317"/>
    <w:rsid w:val="00C663AE"/>
    <w:rsid w:val="00C663BB"/>
    <w:rsid w:val="00C663CB"/>
    <w:rsid w:val="00C663D7"/>
    <w:rsid w:val="00C663E8"/>
    <w:rsid w:val="00C663EC"/>
    <w:rsid w:val="00C66546"/>
    <w:rsid w:val="00C66549"/>
    <w:rsid w:val="00C666C8"/>
    <w:rsid w:val="00C6670A"/>
    <w:rsid w:val="00C6671E"/>
    <w:rsid w:val="00C66723"/>
    <w:rsid w:val="00C668B1"/>
    <w:rsid w:val="00C668DB"/>
    <w:rsid w:val="00C66921"/>
    <w:rsid w:val="00C6697B"/>
    <w:rsid w:val="00C669BA"/>
    <w:rsid w:val="00C669CA"/>
    <w:rsid w:val="00C669CB"/>
    <w:rsid w:val="00C669E4"/>
    <w:rsid w:val="00C66A3C"/>
    <w:rsid w:val="00C66A92"/>
    <w:rsid w:val="00C66AB0"/>
    <w:rsid w:val="00C66AC8"/>
    <w:rsid w:val="00C66B33"/>
    <w:rsid w:val="00C66B6B"/>
    <w:rsid w:val="00C66BD7"/>
    <w:rsid w:val="00C66C89"/>
    <w:rsid w:val="00C66CBD"/>
    <w:rsid w:val="00C66D13"/>
    <w:rsid w:val="00C66D1A"/>
    <w:rsid w:val="00C66DE8"/>
    <w:rsid w:val="00C66E76"/>
    <w:rsid w:val="00C66EBD"/>
    <w:rsid w:val="00C66ECC"/>
    <w:rsid w:val="00C66FDE"/>
    <w:rsid w:val="00C66FE9"/>
    <w:rsid w:val="00C6714C"/>
    <w:rsid w:val="00C6715C"/>
    <w:rsid w:val="00C671F7"/>
    <w:rsid w:val="00C6724F"/>
    <w:rsid w:val="00C6729E"/>
    <w:rsid w:val="00C672CE"/>
    <w:rsid w:val="00C672F1"/>
    <w:rsid w:val="00C6730F"/>
    <w:rsid w:val="00C67384"/>
    <w:rsid w:val="00C67429"/>
    <w:rsid w:val="00C674AB"/>
    <w:rsid w:val="00C674FA"/>
    <w:rsid w:val="00C6754A"/>
    <w:rsid w:val="00C675AB"/>
    <w:rsid w:val="00C675CA"/>
    <w:rsid w:val="00C675CE"/>
    <w:rsid w:val="00C675DC"/>
    <w:rsid w:val="00C67602"/>
    <w:rsid w:val="00C67662"/>
    <w:rsid w:val="00C676F1"/>
    <w:rsid w:val="00C67706"/>
    <w:rsid w:val="00C67735"/>
    <w:rsid w:val="00C67748"/>
    <w:rsid w:val="00C677FD"/>
    <w:rsid w:val="00C67815"/>
    <w:rsid w:val="00C67877"/>
    <w:rsid w:val="00C67960"/>
    <w:rsid w:val="00C679F0"/>
    <w:rsid w:val="00C67A48"/>
    <w:rsid w:val="00C67B2E"/>
    <w:rsid w:val="00C67C33"/>
    <w:rsid w:val="00C67D22"/>
    <w:rsid w:val="00C67DB4"/>
    <w:rsid w:val="00C67DBC"/>
    <w:rsid w:val="00C67DD5"/>
    <w:rsid w:val="00C67F4F"/>
    <w:rsid w:val="00C67F66"/>
    <w:rsid w:val="00C67FF9"/>
    <w:rsid w:val="00C70099"/>
    <w:rsid w:val="00C700A7"/>
    <w:rsid w:val="00C700BA"/>
    <w:rsid w:val="00C7012C"/>
    <w:rsid w:val="00C7016A"/>
    <w:rsid w:val="00C70170"/>
    <w:rsid w:val="00C701FB"/>
    <w:rsid w:val="00C70253"/>
    <w:rsid w:val="00C70281"/>
    <w:rsid w:val="00C7028A"/>
    <w:rsid w:val="00C702E8"/>
    <w:rsid w:val="00C702FB"/>
    <w:rsid w:val="00C7035B"/>
    <w:rsid w:val="00C703F2"/>
    <w:rsid w:val="00C705A2"/>
    <w:rsid w:val="00C705B0"/>
    <w:rsid w:val="00C705E5"/>
    <w:rsid w:val="00C70644"/>
    <w:rsid w:val="00C7066C"/>
    <w:rsid w:val="00C707C9"/>
    <w:rsid w:val="00C70840"/>
    <w:rsid w:val="00C70972"/>
    <w:rsid w:val="00C709D3"/>
    <w:rsid w:val="00C70A4D"/>
    <w:rsid w:val="00C70A78"/>
    <w:rsid w:val="00C70B15"/>
    <w:rsid w:val="00C70B1F"/>
    <w:rsid w:val="00C70C96"/>
    <w:rsid w:val="00C70CC5"/>
    <w:rsid w:val="00C70D0A"/>
    <w:rsid w:val="00C70D2C"/>
    <w:rsid w:val="00C70E18"/>
    <w:rsid w:val="00C70E31"/>
    <w:rsid w:val="00C70E45"/>
    <w:rsid w:val="00C70F20"/>
    <w:rsid w:val="00C70F3D"/>
    <w:rsid w:val="00C71023"/>
    <w:rsid w:val="00C7106E"/>
    <w:rsid w:val="00C7108D"/>
    <w:rsid w:val="00C71110"/>
    <w:rsid w:val="00C7114F"/>
    <w:rsid w:val="00C711FD"/>
    <w:rsid w:val="00C7129E"/>
    <w:rsid w:val="00C713D6"/>
    <w:rsid w:val="00C713DE"/>
    <w:rsid w:val="00C7148F"/>
    <w:rsid w:val="00C71506"/>
    <w:rsid w:val="00C7154E"/>
    <w:rsid w:val="00C71640"/>
    <w:rsid w:val="00C716B4"/>
    <w:rsid w:val="00C716FC"/>
    <w:rsid w:val="00C7178F"/>
    <w:rsid w:val="00C717D7"/>
    <w:rsid w:val="00C71810"/>
    <w:rsid w:val="00C71821"/>
    <w:rsid w:val="00C7184C"/>
    <w:rsid w:val="00C71863"/>
    <w:rsid w:val="00C7191D"/>
    <w:rsid w:val="00C7194D"/>
    <w:rsid w:val="00C71999"/>
    <w:rsid w:val="00C719EB"/>
    <w:rsid w:val="00C71A75"/>
    <w:rsid w:val="00C71A86"/>
    <w:rsid w:val="00C71AB0"/>
    <w:rsid w:val="00C71AB5"/>
    <w:rsid w:val="00C71AD4"/>
    <w:rsid w:val="00C71B31"/>
    <w:rsid w:val="00C71B7E"/>
    <w:rsid w:val="00C71BD5"/>
    <w:rsid w:val="00C71C07"/>
    <w:rsid w:val="00C71CE7"/>
    <w:rsid w:val="00C71D06"/>
    <w:rsid w:val="00C71D89"/>
    <w:rsid w:val="00C71E81"/>
    <w:rsid w:val="00C71EA2"/>
    <w:rsid w:val="00C71EB4"/>
    <w:rsid w:val="00C71FD3"/>
    <w:rsid w:val="00C72022"/>
    <w:rsid w:val="00C72036"/>
    <w:rsid w:val="00C7204D"/>
    <w:rsid w:val="00C7206A"/>
    <w:rsid w:val="00C7208D"/>
    <w:rsid w:val="00C721BC"/>
    <w:rsid w:val="00C72216"/>
    <w:rsid w:val="00C722CB"/>
    <w:rsid w:val="00C722D2"/>
    <w:rsid w:val="00C72301"/>
    <w:rsid w:val="00C72343"/>
    <w:rsid w:val="00C723A9"/>
    <w:rsid w:val="00C72405"/>
    <w:rsid w:val="00C7240B"/>
    <w:rsid w:val="00C724AF"/>
    <w:rsid w:val="00C724C3"/>
    <w:rsid w:val="00C72522"/>
    <w:rsid w:val="00C7255D"/>
    <w:rsid w:val="00C72564"/>
    <w:rsid w:val="00C7259C"/>
    <w:rsid w:val="00C7261C"/>
    <w:rsid w:val="00C726C4"/>
    <w:rsid w:val="00C727A7"/>
    <w:rsid w:val="00C72813"/>
    <w:rsid w:val="00C72855"/>
    <w:rsid w:val="00C72894"/>
    <w:rsid w:val="00C728E1"/>
    <w:rsid w:val="00C72903"/>
    <w:rsid w:val="00C7297A"/>
    <w:rsid w:val="00C72A3D"/>
    <w:rsid w:val="00C72A90"/>
    <w:rsid w:val="00C72ABD"/>
    <w:rsid w:val="00C72B3A"/>
    <w:rsid w:val="00C72BAC"/>
    <w:rsid w:val="00C72C83"/>
    <w:rsid w:val="00C72CAC"/>
    <w:rsid w:val="00C72CE7"/>
    <w:rsid w:val="00C72CFA"/>
    <w:rsid w:val="00C72E6E"/>
    <w:rsid w:val="00C72EB3"/>
    <w:rsid w:val="00C72F01"/>
    <w:rsid w:val="00C72F5B"/>
    <w:rsid w:val="00C72F7F"/>
    <w:rsid w:val="00C73014"/>
    <w:rsid w:val="00C73030"/>
    <w:rsid w:val="00C73072"/>
    <w:rsid w:val="00C7313F"/>
    <w:rsid w:val="00C731DE"/>
    <w:rsid w:val="00C73228"/>
    <w:rsid w:val="00C7322D"/>
    <w:rsid w:val="00C73271"/>
    <w:rsid w:val="00C73337"/>
    <w:rsid w:val="00C733D0"/>
    <w:rsid w:val="00C733E1"/>
    <w:rsid w:val="00C73428"/>
    <w:rsid w:val="00C73475"/>
    <w:rsid w:val="00C734BE"/>
    <w:rsid w:val="00C734E7"/>
    <w:rsid w:val="00C73595"/>
    <w:rsid w:val="00C7359C"/>
    <w:rsid w:val="00C73654"/>
    <w:rsid w:val="00C73688"/>
    <w:rsid w:val="00C736C3"/>
    <w:rsid w:val="00C73761"/>
    <w:rsid w:val="00C7377C"/>
    <w:rsid w:val="00C737A2"/>
    <w:rsid w:val="00C7380A"/>
    <w:rsid w:val="00C7385A"/>
    <w:rsid w:val="00C73899"/>
    <w:rsid w:val="00C73913"/>
    <w:rsid w:val="00C7393F"/>
    <w:rsid w:val="00C7397B"/>
    <w:rsid w:val="00C73984"/>
    <w:rsid w:val="00C739C5"/>
    <w:rsid w:val="00C73A80"/>
    <w:rsid w:val="00C73AE6"/>
    <w:rsid w:val="00C73B19"/>
    <w:rsid w:val="00C73B73"/>
    <w:rsid w:val="00C73C0B"/>
    <w:rsid w:val="00C73C31"/>
    <w:rsid w:val="00C73C38"/>
    <w:rsid w:val="00C73C3D"/>
    <w:rsid w:val="00C73C84"/>
    <w:rsid w:val="00C73CBE"/>
    <w:rsid w:val="00C73CDB"/>
    <w:rsid w:val="00C73D57"/>
    <w:rsid w:val="00C73D61"/>
    <w:rsid w:val="00C73D8B"/>
    <w:rsid w:val="00C73ED1"/>
    <w:rsid w:val="00C73F26"/>
    <w:rsid w:val="00C73F3D"/>
    <w:rsid w:val="00C73F8B"/>
    <w:rsid w:val="00C74003"/>
    <w:rsid w:val="00C7401C"/>
    <w:rsid w:val="00C74049"/>
    <w:rsid w:val="00C74055"/>
    <w:rsid w:val="00C740A3"/>
    <w:rsid w:val="00C74104"/>
    <w:rsid w:val="00C74120"/>
    <w:rsid w:val="00C7418F"/>
    <w:rsid w:val="00C741AE"/>
    <w:rsid w:val="00C7422A"/>
    <w:rsid w:val="00C74233"/>
    <w:rsid w:val="00C74254"/>
    <w:rsid w:val="00C742A1"/>
    <w:rsid w:val="00C742A2"/>
    <w:rsid w:val="00C74335"/>
    <w:rsid w:val="00C74400"/>
    <w:rsid w:val="00C74454"/>
    <w:rsid w:val="00C744AF"/>
    <w:rsid w:val="00C744F5"/>
    <w:rsid w:val="00C74529"/>
    <w:rsid w:val="00C745BA"/>
    <w:rsid w:val="00C74678"/>
    <w:rsid w:val="00C746A1"/>
    <w:rsid w:val="00C746CB"/>
    <w:rsid w:val="00C74703"/>
    <w:rsid w:val="00C7478C"/>
    <w:rsid w:val="00C747DC"/>
    <w:rsid w:val="00C74819"/>
    <w:rsid w:val="00C74846"/>
    <w:rsid w:val="00C74854"/>
    <w:rsid w:val="00C748AA"/>
    <w:rsid w:val="00C748BD"/>
    <w:rsid w:val="00C7491C"/>
    <w:rsid w:val="00C749C3"/>
    <w:rsid w:val="00C74A2A"/>
    <w:rsid w:val="00C74A3A"/>
    <w:rsid w:val="00C74A67"/>
    <w:rsid w:val="00C74A75"/>
    <w:rsid w:val="00C74AA0"/>
    <w:rsid w:val="00C74AA3"/>
    <w:rsid w:val="00C74ABC"/>
    <w:rsid w:val="00C74ACE"/>
    <w:rsid w:val="00C74B34"/>
    <w:rsid w:val="00C74B92"/>
    <w:rsid w:val="00C74B9A"/>
    <w:rsid w:val="00C74BE5"/>
    <w:rsid w:val="00C74D14"/>
    <w:rsid w:val="00C74D70"/>
    <w:rsid w:val="00C74EAC"/>
    <w:rsid w:val="00C74ED2"/>
    <w:rsid w:val="00C74ED5"/>
    <w:rsid w:val="00C74F8F"/>
    <w:rsid w:val="00C7502D"/>
    <w:rsid w:val="00C7502E"/>
    <w:rsid w:val="00C75044"/>
    <w:rsid w:val="00C7515B"/>
    <w:rsid w:val="00C75212"/>
    <w:rsid w:val="00C75275"/>
    <w:rsid w:val="00C7527C"/>
    <w:rsid w:val="00C75296"/>
    <w:rsid w:val="00C75342"/>
    <w:rsid w:val="00C7539D"/>
    <w:rsid w:val="00C753DF"/>
    <w:rsid w:val="00C753FD"/>
    <w:rsid w:val="00C75468"/>
    <w:rsid w:val="00C7546F"/>
    <w:rsid w:val="00C754A0"/>
    <w:rsid w:val="00C7552D"/>
    <w:rsid w:val="00C75563"/>
    <w:rsid w:val="00C756C2"/>
    <w:rsid w:val="00C75718"/>
    <w:rsid w:val="00C75754"/>
    <w:rsid w:val="00C75827"/>
    <w:rsid w:val="00C7587C"/>
    <w:rsid w:val="00C758C2"/>
    <w:rsid w:val="00C75932"/>
    <w:rsid w:val="00C75961"/>
    <w:rsid w:val="00C759DC"/>
    <w:rsid w:val="00C75A05"/>
    <w:rsid w:val="00C75A47"/>
    <w:rsid w:val="00C75A90"/>
    <w:rsid w:val="00C75AA4"/>
    <w:rsid w:val="00C75AF6"/>
    <w:rsid w:val="00C75B2D"/>
    <w:rsid w:val="00C75B51"/>
    <w:rsid w:val="00C75B9B"/>
    <w:rsid w:val="00C75BA2"/>
    <w:rsid w:val="00C75CD7"/>
    <w:rsid w:val="00C75D43"/>
    <w:rsid w:val="00C75E06"/>
    <w:rsid w:val="00C75EA9"/>
    <w:rsid w:val="00C76056"/>
    <w:rsid w:val="00C7606B"/>
    <w:rsid w:val="00C76078"/>
    <w:rsid w:val="00C760EA"/>
    <w:rsid w:val="00C7613F"/>
    <w:rsid w:val="00C7614A"/>
    <w:rsid w:val="00C761C2"/>
    <w:rsid w:val="00C761D4"/>
    <w:rsid w:val="00C76249"/>
    <w:rsid w:val="00C76276"/>
    <w:rsid w:val="00C762C5"/>
    <w:rsid w:val="00C762D2"/>
    <w:rsid w:val="00C76367"/>
    <w:rsid w:val="00C763D4"/>
    <w:rsid w:val="00C763F5"/>
    <w:rsid w:val="00C7641A"/>
    <w:rsid w:val="00C7648A"/>
    <w:rsid w:val="00C764C2"/>
    <w:rsid w:val="00C76571"/>
    <w:rsid w:val="00C76574"/>
    <w:rsid w:val="00C76635"/>
    <w:rsid w:val="00C766D1"/>
    <w:rsid w:val="00C76714"/>
    <w:rsid w:val="00C76734"/>
    <w:rsid w:val="00C76847"/>
    <w:rsid w:val="00C7685B"/>
    <w:rsid w:val="00C76920"/>
    <w:rsid w:val="00C769B5"/>
    <w:rsid w:val="00C769C0"/>
    <w:rsid w:val="00C76A44"/>
    <w:rsid w:val="00C76B3E"/>
    <w:rsid w:val="00C76BFF"/>
    <w:rsid w:val="00C76C16"/>
    <w:rsid w:val="00C76C5F"/>
    <w:rsid w:val="00C76C94"/>
    <w:rsid w:val="00C76D9E"/>
    <w:rsid w:val="00C76DD3"/>
    <w:rsid w:val="00C76DF5"/>
    <w:rsid w:val="00C76E14"/>
    <w:rsid w:val="00C76ECE"/>
    <w:rsid w:val="00C76F79"/>
    <w:rsid w:val="00C76F9A"/>
    <w:rsid w:val="00C76FAD"/>
    <w:rsid w:val="00C77071"/>
    <w:rsid w:val="00C770BA"/>
    <w:rsid w:val="00C77107"/>
    <w:rsid w:val="00C771B7"/>
    <w:rsid w:val="00C77258"/>
    <w:rsid w:val="00C77263"/>
    <w:rsid w:val="00C7726C"/>
    <w:rsid w:val="00C77362"/>
    <w:rsid w:val="00C77386"/>
    <w:rsid w:val="00C773B9"/>
    <w:rsid w:val="00C773DA"/>
    <w:rsid w:val="00C7742A"/>
    <w:rsid w:val="00C7754B"/>
    <w:rsid w:val="00C77567"/>
    <w:rsid w:val="00C77593"/>
    <w:rsid w:val="00C77608"/>
    <w:rsid w:val="00C77615"/>
    <w:rsid w:val="00C77672"/>
    <w:rsid w:val="00C776BB"/>
    <w:rsid w:val="00C776CC"/>
    <w:rsid w:val="00C77788"/>
    <w:rsid w:val="00C7778A"/>
    <w:rsid w:val="00C777C1"/>
    <w:rsid w:val="00C777C7"/>
    <w:rsid w:val="00C777E4"/>
    <w:rsid w:val="00C778BE"/>
    <w:rsid w:val="00C77924"/>
    <w:rsid w:val="00C77A74"/>
    <w:rsid w:val="00C77ABD"/>
    <w:rsid w:val="00C77AC4"/>
    <w:rsid w:val="00C77B67"/>
    <w:rsid w:val="00C77B7E"/>
    <w:rsid w:val="00C77BF0"/>
    <w:rsid w:val="00C77C5B"/>
    <w:rsid w:val="00C77C88"/>
    <w:rsid w:val="00C77C89"/>
    <w:rsid w:val="00C77D6B"/>
    <w:rsid w:val="00C77D7B"/>
    <w:rsid w:val="00C77D7E"/>
    <w:rsid w:val="00C77E00"/>
    <w:rsid w:val="00C77E43"/>
    <w:rsid w:val="00C77E67"/>
    <w:rsid w:val="00C77EA0"/>
    <w:rsid w:val="00C77EA3"/>
    <w:rsid w:val="00C77F8D"/>
    <w:rsid w:val="00C77F9B"/>
    <w:rsid w:val="00C77FCB"/>
    <w:rsid w:val="00C800BF"/>
    <w:rsid w:val="00C800F4"/>
    <w:rsid w:val="00C80108"/>
    <w:rsid w:val="00C8013C"/>
    <w:rsid w:val="00C801EB"/>
    <w:rsid w:val="00C80211"/>
    <w:rsid w:val="00C80215"/>
    <w:rsid w:val="00C8027F"/>
    <w:rsid w:val="00C80282"/>
    <w:rsid w:val="00C802E2"/>
    <w:rsid w:val="00C8031E"/>
    <w:rsid w:val="00C80331"/>
    <w:rsid w:val="00C8042F"/>
    <w:rsid w:val="00C8050B"/>
    <w:rsid w:val="00C805A8"/>
    <w:rsid w:val="00C80632"/>
    <w:rsid w:val="00C806BB"/>
    <w:rsid w:val="00C80726"/>
    <w:rsid w:val="00C80755"/>
    <w:rsid w:val="00C807BD"/>
    <w:rsid w:val="00C807F1"/>
    <w:rsid w:val="00C807F7"/>
    <w:rsid w:val="00C8088C"/>
    <w:rsid w:val="00C808EA"/>
    <w:rsid w:val="00C809C8"/>
    <w:rsid w:val="00C809D3"/>
    <w:rsid w:val="00C80A61"/>
    <w:rsid w:val="00C80BB4"/>
    <w:rsid w:val="00C80BDC"/>
    <w:rsid w:val="00C80C07"/>
    <w:rsid w:val="00C80C3F"/>
    <w:rsid w:val="00C80C4B"/>
    <w:rsid w:val="00C80D0C"/>
    <w:rsid w:val="00C80D73"/>
    <w:rsid w:val="00C80D9F"/>
    <w:rsid w:val="00C80DA7"/>
    <w:rsid w:val="00C80DA9"/>
    <w:rsid w:val="00C80ED4"/>
    <w:rsid w:val="00C80ED8"/>
    <w:rsid w:val="00C80F23"/>
    <w:rsid w:val="00C80F3B"/>
    <w:rsid w:val="00C80F71"/>
    <w:rsid w:val="00C80FC3"/>
    <w:rsid w:val="00C8109D"/>
    <w:rsid w:val="00C810A6"/>
    <w:rsid w:val="00C810E9"/>
    <w:rsid w:val="00C810EB"/>
    <w:rsid w:val="00C8125D"/>
    <w:rsid w:val="00C81277"/>
    <w:rsid w:val="00C81281"/>
    <w:rsid w:val="00C81293"/>
    <w:rsid w:val="00C81322"/>
    <w:rsid w:val="00C81341"/>
    <w:rsid w:val="00C8135F"/>
    <w:rsid w:val="00C81361"/>
    <w:rsid w:val="00C813A5"/>
    <w:rsid w:val="00C813BB"/>
    <w:rsid w:val="00C813DC"/>
    <w:rsid w:val="00C814F0"/>
    <w:rsid w:val="00C81511"/>
    <w:rsid w:val="00C8162C"/>
    <w:rsid w:val="00C81677"/>
    <w:rsid w:val="00C816ED"/>
    <w:rsid w:val="00C81703"/>
    <w:rsid w:val="00C81713"/>
    <w:rsid w:val="00C81728"/>
    <w:rsid w:val="00C81743"/>
    <w:rsid w:val="00C81778"/>
    <w:rsid w:val="00C817A0"/>
    <w:rsid w:val="00C817F7"/>
    <w:rsid w:val="00C81802"/>
    <w:rsid w:val="00C8186C"/>
    <w:rsid w:val="00C8189E"/>
    <w:rsid w:val="00C818D1"/>
    <w:rsid w:val="00C818DC"/>
    <w:rsid w:val="00C81905"/>
    <w:rsid w:val="00C81970"/>
    <w:rsid w:val="00C81A20"/>
    <w:rsid w:val="00C81A5D"/>
    <w:rsid w:val="00C81A7D"/>
    <w:rsid w:val="00C81ABA"/>
    <w:rsid w:val="00C81B6C"/>
    <w:rsid w:val="00C81CAD"/>
    <w:rsid w:val="00C81CE1"/>
    <w:rsid w:val="00C81D76"/>
    <w:rsid w:val="00C81DA0"/>
    <w:rsid w:val="00C81EB9"/>
    <w:rsid w:val="00C81F02"/>
    <w:rsid w:val="00C81FB8"/>
    <w:rsid w:val="00C8201F"/>
    <w:rsid w:val="00C8207C"/>
    <w:rsid w:val="00C82142"/>
    <w:rsid w:val="00C82249"/>
    <w:rsid w:val="00C82287"/>
    <w:rsid w:val="00C822D0"/>
    <w:rsid w:val="00C822D6"/>
    <w:rsid w:val="00C822E8"/>
    <w:rsid w:val="00C822FC"/>
    <w:rsid w:val="00C8231D"/>
    <w:rsid w:val="00C82330"/>
    <w:rsid w:val="00C82359"/>
    <w:rsid w:val="00C823EB"/>
    <w:rsid w:val="00C823F6"/>
    <w:rsid w:val="00C823FD"/>
    <w:rsid w:val="00C8241E"/>
    <w:rsid w:val="00C824EF"/>
    <w:rsid w:val="00C82507"/>
    <w:rsid w:val="00C82572"/>
    <w:rsid w:val="00C82676"/>
    <w:rsid w:val="00C826A2"/>
    <w:rsid w:val="00C826D2"/>
    <w:rsid w:val="00C826F4"/>
    <w:rsid w:val="00C827A9"/>
    <w:rsid w:val="00C827D8"/>
    <w:rsid w:val="00C8283E"/>
    <w:rsid w:val="00C828FB"/>
    <w:rsid w:val="00C82905"/>
    <w:rsid w:val="00C82947"/>
    <w:rsid w:val="00C829B6"/>
    <w:rsid w:val="00C82AA6"/>
    <w:rsid w:val="00C82B02"/>
    <w:rsid w:val="00C82B3B"/>
    <w:rsid w:val="00C82C3A"/>
    <w:rsid w:val="00C82CB3"/>
    <w:rsid w:val="00C82CB6"/>
    <w:rsid w:val="00C82D01"/>
    <w:rsid w:val="00C82D4D"/>
    <w:rsid w:val="00C82D8B"/>
    <w:rsid w:val="00C82DCB"/>
    <w:rsid w:val="00C82DE3"/>
    <w:rsid w:val="00C82DE4"/>
    <w:rsid w:val="00C82E50"/>
    <w:rsid w:val="00C82F9A"/>
    <w:rsid w:val="00C82FF0"/>
    <w:rsid w:val="00C830BA"/>
    <w:rsid w:val="00C83108"/>
    <w:rsid w:val="00C83120"/>
    <w:rsid w:val="00C8313E"/>
    <w:rsid w:val="00C8315D"/>
    <w:rsid w:val="00C8322F"/>
    <w:rsid w:val="00C832F3"/>
    <w:rsid w:val="00C83403"/>
    <w:rsid w:val="00C83441"/>
    <w:rsid w:val="00C83455"/>
    <w:rsid w:val="00C83489"/>
    <w:rsid w:val="00C83556"/>
    <w:rsid w:val="00C83695"/>
    <w:rsid w:val="00C83817"/>
    <w:rsid w:val="00C83844"/>
    <w:rsid w:val="00C83850"/>
    <w:rsid w:val="00C83861"/>
    <w:rsid w:val="00C838F0"/>
    <w:rsid w:val="00C8391F"/>
    <w:rsid w:val="00C839D0"/>
    <w:rsid w:val="00C83A6B"/>
    <w:rsid w:val="00C83A74"/>
    <w:rsid w:val="00C83A94"/>
    <w:rsid w:val="00C83BEC"/>
    <w:rsid w:val="00C83CB5"/>
    <w:rsid w:val="00C83CE4"/>
    <w:rsid w:val="00C83D5D"/>
    <w:rsid w:val="00C83EB4"/>
    <w:rsid w:val="00C83EB6"/>
    <w:rsid w:val="00C83F03"/>
    <w:rsid w:val="00C83FA2"/>
    <w:rsid w:val="00C83FAD"/>
    <w:rsid w:val="00C83FD2"/>
    <w:rsid w:val="00C83FE1"/>
    <w:rsid w:val="00C84076"/>
    <w:rsid w:val="00C84099"/>
    <w:rsid w:val="00C841AF"/>
    <w:rsid w:val="00C8443B"/>
    <w:rsid w:val="00C84482"/>
    <w:rsid w:val="00C84483"/>
    <w:rsid w:val="00C84492"/>
    <w:rsid w:val="00C844D4"/>
    <w:rsid w:val="00C84553"/>
    <w:rsid w:val="00C8456E"/>
    <w:rsid w:val="00C8463B"/>
    <w:rsid w:val="00C84779"/>
    <w:rsid w:val="00C847D2"/>
    <w:rsid w:val="00C848B5"/>
    <w:rsid w:val="00C848BA"/>
    <w:rsid w:val="00C849EC"/>
    <w:rsid w:val="00C84A03"/>
    <w:rsid w:val="00C84A58"/>
    <w:rsid w:val="00C84AEA"/>
    <w:rsid w:val="00C84B20"/>
    <w:rsid w:val="00C84B5E"/>
    <w:rsid w:val="00C84B8D"/>
    <w:rsid w:val="00C84B8E"/>
    <w:rsid w:val="00C84BD7"/>
    <w:rsid w:val="00C84C78"/>
    <w:rsid w:val="00C84C92"/>
    <w:rsid w:val="00C84CDA"/>
    <w:rsid w:val="00C84D2F"/>
    <w:rsid w:val="00C84D44"/>
    <w:rsid w:val="00C84DC0"/>
    <w:rsid w:val="00C84E31"/>
    <w:rsid w:val="00C84E83"/>
    <w:rsid w:val="00C84E91"/>
    <w:rsid w:val="00C84F39"/>
    <w:rsid w:val="00C84F89"/>
    <w:rsid w:val="00C85014"/>
    <w:rsid w:val="00C8504F"/>
    <w:rsid w:val="00C8507D"/>
    <w:rsid w:val="00C8509D"/>
    <w:rsid w:val="00C850D6"/>
    <w:rsid w:val="00C8515A"/>
    <w:rsid w:val="00C85165"/>
    <w:rsid w:val="00C85181"/>
    <w:rsid w:val="00C852BA"/>
    <w:rsid w:val="00C853B2"/>
    <w:rsid w:val="00C854DA"/>
    <w:rsid w:val="00C854E1"/>
    <w:rsid w:val="00C85579"/>
    <w:rsid w:val="00C85609"/>
    <w:rsid w:val="00C85625"/>
    <w:rsid w:val="00C85716"/>
    <w:rsid w:val="00C8571E"/>
    <w:rsid w:val="00C85757"/>
    <w:rsid w:val="00C8581E"/>
    <w:rsid w:val="00C85870"/>
    <w:rsid w:val="00C85894"/>
    <w:rsid w:val="00C859A5"/>
    <w:rsid w:val="00C85A20"/>
    <w:rsid w:val="00C85AA1"/>
    <w:rsid w:val="00C85ABA"/>
    <w:rsid w:val="00C85BEB"/>
    <w:rsid w:val="00C85C37"/>
    <w:rsid w:val="00C85DA5"/>
    <w:rsid w:val="00C85DEB"/>
    <w:rsid w:val="00C85F6C"/>
    <w:rsid w:val="00C85FC6"/>
    <w:rsid w:val="00C85FEE"/>
    <w:rsid w:val="00C85FFC"/>
    <w:rsid w:val="00C860BE"/>
    <w:rsid w:val="00C861E2"/>
    <w:rsid w:val="00C861E7"/>
    <w:rsid w:val="00C86208"/>
    <w:rsid w:val="00C8621C"/>
    <w:rsid w:val="00C8632D"/>
    <w:rsid w:val="00C863B8"/>
    <w:rsid w:val="00C863BE"/>
    <w:rsid w:val="00C863E5"/>
    <w:rsid w:val="00C8640F"/>
    <w:rsid w:val="00C86412"/>
    <w:rsid w:val="00C86437"/>
    <w:rsid w:val="00C8644B"/>
    <w:rsid w:val="00C864F6"/>
    <w:rsid w:val="00C86579"/>
    <w:rsid w:val="00C8661F"/>
    <w:rsid w:val="00C866DB"/>
    <w:rsid w:val="00C86898"/>
    <w:rsid w:val="00C8689E"/>
    <w:rsid w:val="00C868C8"/>
    <w:rsid w:val="00C86903"/>
    <w:rsid w:val="00C869B2"/>
    <w:rsid w:val="00C86A07"/>
    <w:rsid w:val="00C86A73"/>
    <w:rsid w:val="00C86B24"/>
    <w:rsid w:val="00C86B45"/>
    <w:rsid w:val="00C86B9C"/>
    <w:rsid w:val="00C86BC6"/>
    <w:rsid w:val="00C86C2E"/>
    <w:rsid w:val="00C86C9B"/>
    <w:rsid w:val="00C86DD9"/>
    <w:rsid w:val="00C86DEE"/>
    <w:rsid w:val="00C86E73"/>
    <w:rsid w:val="00C86E78"/>
    <w:rsid w:val="00C86EE2"/>
    <w:rsid w:val="00C86EE5"/>
    <w:rsid w:val="00C86FAA"/>
    <w:rsid w:val="00C86FBA"/>
    <w:rsid w:val="00C8714E"/>
    <w:rsid w:val="00C87172"/>
    <w:rsid w:val="00C87202"/>
    <w:rsid w:val="00C8724E"/>
    <w:rsid w:val="00C872B8"/>
    <w:rsid w:val="00C87308"/>
    <w:rsid w:val="00C87375"/>
    <w:rsid w:val="00C87382"/>
    <w:rsid w:val="00C87484"/>
    <w:rsid w:val="00C874D2"/>
    <w:rsid w:val="00C87626"/>
    <w:rsid w:val="00C87635"/>
    <w:rsid w:val="00C87663"/>
    <w:rsid w:val="00C87672"/>
    <w:rsid w:val="00C87696"/>
    <w:rsid w:val="00C8774A"/>
    <w:rsid w:val="00C877BF"/>
    <w:rsid w:val="00C8783D"/>
    <w:rsid w:val="00C87896"/>
    <w:rsid w:val="00C87977"/>
    <w:rsid w:val="00C8799B"/>
    <w:rsid w:val="00C879C0"/>
    <w:rsid w:val="00C87A25"/>
    <w:rsid w:val="00C87A7F"/>
    <w:rsid w:val="00C87AB1"/>
    <w:rsid w:val="00C87AF3"/>
    <w:rsid w:val="00C87BC2"/>
    <w:rsid w:val="00C87C71"/>
    <w:rsid w:val="00C87D5E"/>
    <w:rsid w:val="00C87D9D"/>
    <w:rsid w:val="00C87ED7"/>
    <w:rsid w:val="00C87EEA"/>
    <w:rsid w:val="00C87F55"/>
    <w:rsid w:val="00C87FCF"/>
    <w:rsid w:val="00C87FE5"/>
    <w:rsid w:val="00C87FFD"/>
    <w:rsid w:val="00C90026"/>
    <w:rsid w:val="00C9005E"/>
    <w:rsid w:val="00C90093"/>
    <w:rsid w:val="00C900E7"/>
    <w:rsid w:val="00C901DC"/>
    <w:rsid w:val="00C90299"/>
    <w:rsid w:val="00C9056B"/>
    <w:rsid w:val="00C9059C"/>
    <w:rsid w:val="00C905C0"/>
    <w:rsid w:val="00C90647"/>
    <w:rsid w:val="00C906AB"/>
    <w:rsid w:val="00C906CE"/>
    <w:rsid w:val="00C906E5"/>
    <w:rsid w:val="00C90760"/>
    <w:rsid w:val="00C907BD"/>
    <w:rsid w:val="00C90983"/>
    <w:rsid w:val="00C909D8"/>
    <w:rsid w:val="00C909F1"/>
    <w:rsid w:val="00C909F5"/>
    <w:rsid w:val="00C90A90"/>
    <w:rsid w:val="00C90B29"/>
    <w:rsid w:val="00C90B39"/>
    <w:rsid w:val="00C90B5F"/>
    <w:rsid w:val="00C90BEC"/>
    <w:rsid w:val="00C90D59"/>
    <w:rsid w:val="00C90E2C"/>
    <w:rsid w:val="00C90E2F"/>
    <w:rsid w:val="00C90E48"/>
    <w:rsid w:val="00C90E5E"/>
    <w:rsid w:val="00C90E9B"/>
    <w:rsid w:val="00C90F34"/>
    <w:rsid w:val="00C90FA1"/>
    <w:rsid w:val="00C90FBD"/>
    <w:rsid w:val="00C91048"/>
    <w:rsid w:val="00C91078"/>
    <w:rsid w:val="00C9107C"/>
    <w:rsid w:val="00C91164"/>
    <w:rsid w:val="00C91172"/>
    <w:rsid w:val="00C91203"/>
    <w:rsid w:val="00C91240"/>
    <w:rsid w:val="00C91250"/>
    <w:rsid w:val="00C912AC"/>
    <w:rsid w:val="00C912DB"/>
    <w:rsid w:val="00C91316"/>
    <w:rsid w:val="00C91321"/>
    <w:rsid w:val="00C91347"/>
    <w:rsid w:val="00C91395"/>
    <w:rsid w:val="00C913C0"/>
    <w:rsid w:val="00C914EC"/>
    <w:rsid w:val="00C9155B"/>
    <w:rsid w:val="00C9155C"/>
    <w:rsid w:val="00C9159A"/>
    <w:rsid w:val="00C916A9"/>
    <w:rsid w:val="00C9175B"/>
    <w:rsid w:val="00C91768"/>
    <w:rsid w:val="00C9178E"/>
    <w:rsid w:val="00C91792"/>
    <w:rsid w:val="00C91977"/>
    <w:rsid w:val="00C919DE"/>
    <w:rsid w:val="00C919F0"/>
    <w:rsid w:val="00C91A36"/>
    <w:rsid w:val="00C91A49"/>
    <w:rsid w:val="00C91A9E"/>
    <w:rsid w:val="00C91B2C"/>
    <w:rsid w:val="00C91D7F"/>
    <w:rsid w:val="00C91E28"/>
    <w:rsid w:val="00C91E40"/>
    <w:rsid w:val="00C91E45"/>
    <w:rsid w:val="00C91EF7"/>
    <w:rsid w:val="00C91FCE"/>
    <w:rsid w:val="00C92000"/>
    <w:rsid w:val="00C92004"/>
    <w:rsid w:val="00C920C4"/>
    <w:rsid w:val="00C92167"/>
    <w:rsid w:val="00C92186"/>
    <w:rsid w:val="00C921A1"/>
    <w:rsid w:val="00C92321"/>
    <w:rsid w:val="00C92361"/>
    <w:rsid w:val="00C92388"/>
    <w:rsid w:val="00C9238B"/>
    <w:rsid w:val="00C92390"/>
    <w:rsid w:val="00C923F7"/>
    <w:rsid w:val="00C92421"/>
    <w:rsid w:val="00C92477"/>
    <w:rsid w:val="00C924CF"/>
    <w:rsid w:val="00C92545"/>
    <w:rsid w:val="00C9258B"/>
    <w:rsid w:val="00C9261F"/>
    <w:rsid w:val="00C92666"/>
    <w:rsid w:val="00C926C6"/>
    <w:rsid w:val="00C9272E"/>
    <w:rsid w:val="00C9275A"/>
    <w:rsid w:val="00C927D6"/>
    <w:rsid w:val="00C927DF"/>
    <w:rsid w:val="00C927FA"/>
    <w:rsid w:val="00C928AA"/>
    <w:rsid w:val="00C928C8"/>
    <w:rsid w:val="00C928FE"/>
    <w:rsid w:val="00C929A1"/>
    <w:rsid w:val="00C929EA"/>
    <w:rsid w:val="00C92A7E"/>
    <w:rsid w:val="00C92AC8"/>
    <w:rsid w:val="00C92ADC"/>
    <w:rsid w:val="00C92B00"/>
    <w:rsid w:val="00C92B81"/>
    <w:rsid w:val="00C92BC6"/>
    <w:rsid w:val="00C92C0F"/>
    <w:rsid w:val="00C92C91"/>
    <w:rsid w:val="00C92CD9"/>
    <w:rsid w:val="00C92CE7"/>
    <w:rsid w:val="00C92D61"/>
    <w:rsid w:val="00C92D82"/>
    <w:rsid w:val="00C92DA5"/>
    <w:rsid w:val="00C92DB2"/>
    <w:rsid w:val="00C92E58"/>
    <w:rsid w:val="00C92F09"/>
    <w:rsid w:val="00C92F6C"/>
    <w:rsid w:val="00C92F74"/>
    <w:rsid w:val="00C92F78"/>
    <w:rsid w:val="00C93052"/>
    <w:rsid w:val="00C93081"/>
    <w:rsid w:val="00C93087"/>
    <w:rsid w:val="00C93098"/>
    <w:rsid w:val="00C93100"/>
    <w:rsid w:val="00C9312F"/>
    <w:rsid w:val="00C9317C"/>
    <w:rsid w:val="00C93206"/>
    <w:rsid w:val="00C93218"/>
    <w:rsid w:val="00C93232"/>
    <w:rsid w:val="00C93342"/>
    <w:rsid w:val="00C93488"/>
    <w:rsid w:val="00C934F3"/>
    <w:rsid w:val="00C93508"/>
    <w:rsid w:val="00C9351F"/>
    <w:rsid w:val="00C9353C"/>
    <w:rsid w:val="00C935FD"/>
    <w:rsid w:val="00C93615"/>
    <w:rsid w:val="00C936AE"/>
    <w:rsid w:val="00C936D3"/>
    <w:rsid w:val="00C936EA"/>
    <w:rsid w:val="00C937C6"/>
    <w:rsid w:val="00C93843"/>
    <w:rsid w:val="00C93887"/>
    <w:rsid w:val="00C93913"/>
    <w:rsid w:val="00C9395C"/>
    <w:rsid w:val="00C93A84"/>
    <w:rsid w:val="00C93B6A"/>
    <w:rsid w:val="00C93CBF"/>
    <w:rsid w:val="00C93D68"/>
    <w:rsid w:val="00C93E86"/>
    <w:rsid w:val="00C93F77"/>
    <w:rsid w:val="00C9401B"/>
    <w:rsid w:val="00C9401F"/>
    <w:rsid w:val="00C9403D"/>
    <w:rsid w:val="00C9403E"/>
    <w:rsid w:val="00C9411B"/>
    <w:rsid w:val="00C94122"/>
    <w:rsid w:val="00C941AA"/>
    <w:rsid w:val="00C941D5"/>
    <w:rsid w:val="00C94230"/>
    <w:rsid w:val="00C94250"/>
    <w:rsid w:val="00C942B7"/>
    <w:rsid w:val="00C94373"/>
    <w:rsid w:val="00C94463"/>
    <w:rsid w:val="00C94594"/>
    <w:rsid w:val="00C945E7"/>
    <w:rsid w:val="00C94685"/>
    <w:rsid w:val="00C9474E"/>
    <w:rsid w:val="00C947A6"/>
    <w:rsid w:val="00C947CE"/>
    <w:rsid w:val="00C948A4"/>
    <w:rsid w:val="00C948E0"/>
    <w:rsid w:val="00C948F9"/>
    <w:rsid w:val="00C94916"/>
    <w:rsid w:val="00C9492A"/>
    <w:rsid w:val="00C949AF"/>
    <w:rsid w:val="00C949CE"/>
    <w:rsid w:val="00C94A1A"/>
    <w:rsid w:val="00C94A23"/>
    <w:rsid w:val="00C94ADB"/>
    <w:rsid w:val="00C94BC3"/>
    <w:rsid w:val="00C94C0A"/>
    <w:rsid w:val="00C94CBE"/>
    <w:rsid w:val="00C94D6C"/>
    <w:rsid w:val="00C94D92"/>
    <w:rsid w:val="00C94E85"/>
    <w:rsid w:val="00C94F18"/>
    <w:rsid w:val="00C94F22"/>
    <w:rsid w:val="00C94F7D"/>
    <w:rsid w:val="00C94F86"/>
    <w:rsid w:val="00C95021"/>
    <w:rsid w:val="00C95112"/>
    <w:rsid w:val="00C95130"/>
    <w:rsid w:val="00C951D9"/>
    <w:rsid w:val="00C9540F"/>
    <w:rsid w:val="00C9542E"/>
    <w:rsid w:val="00C954A5"/>
    <w:rsid w:val="00C954D5"/>
    <w:rsid w:val="00C9558A"/>
    <w:rsid w:val="00C95620"/>
    <w:rsid w:val="00C9568D"/>
    <w:rsid w:val="00C9578E"/>
    <w:rsid w:val="00C95811"/>
    <w:rsid w:val="00C9582A"/>
    <w:rsid w:val="00C95873"/>
    <w:rsid w:val="00C95879"/>
    <w:rsid w:val="00C958FA"/>
    <w:rsid w:val="00C95A00"/>
    <w:rsid w:val="00C95A07"/>
    <w:rsid w:val="00C95A46"/>
    <w:rsid w:val="00C95A72"/>
    <w:rsid w:val="00C95ABF"/>
    <w:rsid w:val="00C95AEB"/>
    <w:rsid w:val="00C95B75"/>
    <w:rsid w:val="00C95CD3"/>
    <w:rsid w:val="00C95E33"/>
    <w:rsid w:val="00C95E75"/>
    <w:rsid w:val="00C95E9D"/>
    <w:rsid w:val="00C95ED3"/>
    <w:rsid w:val="00C95FF6"/>
    <w:rsid w:val="00C9605A"/>
    <w:rsid w:val="00C960A0"/>
    <w:rsid w:val="00C960A4"/>
    <w:rsid w:val="00C960C6"/>
    <w:rsid w:val="00C960E0"/>
    <w:rsid w:val="00C960E1"/>
    <w:rsid w:val="00C960E8"/>
    <w:rsid w:val="00C96137"/>
    <w:rsid w:val="00C96188"/>
    <w:rsid w:val="00C9634F"/>
    <w:rsid w:val="00C96363"/>
    <w:rsid w:val="00C963C8"/>
    <w:rsid w:val="00C963CB"/>
    <w:rsid w:val="00C963D4"/>
    <w:rsid w:val="00C963E8"/>
    <w:rsid w:val="00C963F9"/>
    <w:rsid w:val="00C96407"/>
    <w:rsid w:val="00C9644F"/>
    <w:rsid w:val="00C964C9"/>
    <w:rsid w:val="00C96533"/>
    <w:rsid w:val="00C96546"/>
    <w:rsid w:val="00C965EC"/>
    <w:rsid w:val="00C965F4"/>
    <w:rsid w:val="00C96615"/>
    <w:rsid w:val="00C96674"/>
    <w:rsid w:val="00C966BE"/>
    <w:rsid w:val="00C966D6"/>
    <w:rsid w:val="00C968EA"/>
    <w:rsid w:val="00C9693E"/>
    <w:rsid w:val="00C969D3"/>
    <w:rsid w:val="00C96A89"/>
    <w:rsid w:val="00C96AF7"/>
    <w:rsid w:val="00C96B23"/>
    <w:rsid w:val="00C96B6B"/>
    <w:rsid w:val="00C96BDC"/>
    <w:rsid w:val="00C96C56"/>
    <w:rsid w:val="00C96C77"/>
    <w:rsid w:val="00C96D0A"/>
    <w:rsid w:val="00C96D1B"/>
    <w:rsid w:val="00C96DF8"/>
    <w:rsid w:val="00C96F21"/>
    <w:rsid w:val="00C96F45"/>
    <w:rsid w:val="00C9704A"/>
    <w:rsid w:val="00C970D3"/>
    <w:rsid w:val="00C97197"/>
    <w:rsid w:val="00C97276"/>
    <w:rsid w:val="00C9733B"/>
    <w:rsid w:val="00C97402"/>
    <w:rsid w:val="00C9742D"/>
    <w:rsid w:val="00C97645"/>
    <w:rsid w:val="00C97668"/>
    <w:rsid w:val="00C97682"/>
    <w:rsid w:val="00C976A4"/>
    <w:rsid w:val="00C976B9"/>
    <w:rsid w:val="00C976F8"/>
    <w:rsid w:val="00C9777A"/>
    <w:rsid w:val="00C9784B"/>
    <w:rsid w:val="00C978C6"/>
    <w:rsid w:val="00C978D3"/>
    <w:rsid w:val="00C978DA"/>
    <w:rsid w:val="00C978DC"/>
    <w:rsid w:val="00C978FC"/>
    <w:rsid w:val="00C97929"/>
    <w:rsid w:val="00C97B09"/>
    <w:rsid w:val="00C97B0C"/>
    <w:rsid w:val="00C97BE7"/>
    <w:rsid w:val="00C97C36"/>
    <w:rsid w:val="00C97CD2"/>
    <w:rsid w:val="00C97D3B"/>
    <w:rsid w:val="00C97D59"/>
    <w:rsid w:val="00C97D67"/>
    <w:rsid w:val="00C97E1B"/>
    <w:rsid w:val="00C97E55"/>
    <w:rsid w:val="00C97EC6"/>
    <w:rsid w:val="00CA000D"/>
    <w:rsid w:val="00CA00CE"/>
    <w:rsid w:val="00CA012E"/>
    <w:rsid w:val="00CA01AD"/>
    <w:rsid w:val="00CA02CA"/>
    <w:rsid w:val="00CA02ED"/>
    <w:rsid w:val="00CA03AD"/>
    <w:rsid w:val="00CA03B2"/>
    <w:rsid w:val="00CA03B4"/>
    <w:rsid w:val="00CA041E"/>
    <w:rsid w:val="00CA044E"/>
    <w:rsid w:val="00CA0594"/>
    <w:rsid w:val="00CA05F8"/>
    <w:rsid w:val="00CA0770"/>
    <w:rsid w:val="00CA07BD"/>
    <w:rsid w:val="00CA07D8"/>
    <w:rsid w:val="00CA07EC"/>
    <w:rsid w:val="00CA0844"/>
    <w:rsid w:val="00CA088B"/>
    <w:rsid w:val="00CA0924"/>
    <w:rsid w:val="00CA0935"/>
    <w:rsid w:val="00CA0948"/>
    <w:rsid w:val="00CA09D5"/>
    <w:rsid w:val="00CA0A4D"/>
    <w:rsid w:val="00CA0A91"/>
    <w:rsid w:val="00CA0C17"/>
    <w:rsid w:val="00CA0C51"/>
    <w:rsid w:val="00CA0D30"/>
    <w:rsid w:val="00CA0D49"/>
    <w:rsid w:val="00CA0DDE"/>
    <w:rsid w:val="00CA0E20"/>
    <w:rsid w:val="00CA0F09"/>
    <w:rsid w:val="00CA0F12"/>
    <w:rsid w:val="00CA1086"/>
    <w:rsid w:val="00CA10AB"/>
    <w:rsid w:val="00CA10AE"/>
    <w:rsid w:val="00CA11C6"/>
    <w:rsid w:val="00CA124A"/>
    <w:rsid w:val="00CA1273"/>
    <w:rsid w:val="00CA12A1"/>
    <w:rsid w:val="00CA12A2"/>
    <w:rsid w:val="00CA12B2"/>
    <w:rsid w:val="00CA135C"/>
    <w:rsid w:val="00CA136A"/>
    <w:rsid w:val="00CA1400"/>
    <w:rsid w:val="00CA142D"/>
    <w:rsid w:val="00CA1442"/>
    <w:rsid w:val="00CA1474"/>
    <w:rsid w:val="00CA1480"/>
    <w:rsid w:val="00CA1497"/>
    <w:rsid w:val="00CA17AF"/>
    <w:rsid w:val="00CA17DC"/>
    <w:rsid w:val="00CA183C"/>
    <w:rsid w:val="00CA19D0"/>
    <w:rsid w:val="00CA19E2"/>
    <w:rsid w:val="00CA1AA1"/>
    <w:rsid w:val="00CA1AD7"/>
    <w:rsid w:val="00CA1B2D"/>
    <w:rsid w:val="00CA1C1F"/>
    <w:rsid w:val="00CA1CC8"/>
    <w:rsid w:val="00CA1D69"/>
    <w:rsid w:val="00CA1D75"/>
    <w:rsid w:val="00CA1D94"/>
    <w:rsid w:val="00CA1E0D"/>
    <w:rsid w:val="00CA1F5F"/>
    <w:rsid w:val="00CA1F6B"/>
    <w:rsid w:val="00CA205E"/>
    <w:rsid w:val="00CA20D0"/>
    <w:rsid w:val="00CA20F5"/>
    <w:rsid w:val="00CA21AE"/>
    <w:rsid w:val="00CA22ED"/>
    <w:rsid w:val="00CA22F3"/>
    <w:rsid w:val="00CA23EA"/>
    <w:rsid w:val="00CA2419"/>
    <w:rsid w:val="00CA256C"/>
    <w:rsid w:val="00CA25F0"/>
    <w:rsid w:val="00CA2653"/>
    <w:rsid w:val="00CA2681"/>
    <w:rsid w:val="00CA271B"/>
    <w:rsid w:val="00CA27B3"/>
    <w:rsid w:val="00CA27BE"/>
    <w:rsid w:val="00CA27DB"/>
    <w:rsid w:val="00CA27E3"/>
    <w:rsid w:val="00CA27F2"/>
    <w:rsid w:val="00CA27FF"/>
    <w:rsid w:val="00CA286B"/>
    <w:rsid w:val="00CA28D9"/>
    <w:rsid w:val="00CA2906"/>
    <w:rsid w:val="00CA2928"/>
    <w:rsid w:val="00CA2D26"/>
    <w:rsid w:val="00CA2D4D"/>
    <w:rsid w:val="00CA2D69"/>
    <w:rsid w:val="00CA2DC4"/>
    <w:rsid w:val="00CA2DE3"/>
    <w:rsid w:val="00CA2E29"/>
    <w:rsid w:val="00CA305A"/>
    <w:rsid w:val="00CA310F"/>
    <w:rsid w:val="00CA3187"/>
    <w:rsid w:val="00CA318B"/>
    <w:rsid w:val="00CA319F"/>
    <w:rsid w:val="00CA3219"/>
    <w:rsid w:val="00CA322A"/>
    <w:rsid w:val="00CA325A"/>
    <w:rsid w:val="00CA3264"/>
    <w:rsid w:val="00CA32A5"/>
    <w:rsid w:val="00CA339D"/>
    <w:rsid w:val="00CA33E2"/>
    <w:rsid w:val="00CA33EE"/>
    <w:rsid w:val="00CA3442"/>
    <w:rsid w:val="00CA344D"/>
    <w:rsid w:val="00CA345D"/>
    <w:rsid w:val="00CA348E"/>
    <w:rsid w:val="00CA3490"/>
    <w:rsid w:val="00CA34A2"/>
    <w:rsid w:val="00CA34ED"/>
    <w:rsid w:val="00CA35BD"/>
    <w:rsid w:val="00CA35C4"/>
    <w:rsid w:val="00CA36A6"/>
    <w:rsid w:val="00CA36B7"/>
    <w:rsid w:val="00CA36E1"/>
    <w:rsid w:val="00CA372B"/>
    <w:rsid w:val="00CA375C"/>
    <w:rsid w:val="00CA37C8"/>
    <w:rsid w:val="00CA3816"/>
    <w:rsid w:val="00CA3874"/>
    <w:rsid w:val="00CA38E8"/>
    <w:rsid w:val="00CA3963"/>
    <w:rsid w:val="00CA3A00"/>
    <w:rsid w:val="00CA3A34"/>
    <w:rsid w:val="00CA3A44"/>
    <w:rsid w:val="00CA3A53"/>
    <w:rsid w:val="00CA3A9E"/>
    <w:rsid w:val="00CA3AD1"/>
    <w:rsid w:val="00CA3B0E"/>
    <w:rsid w:val="00CA3B0F"/>
    <w:rsid w:val="00CA3BA2"/>
    <w:rsid w:val="00CA3BA8"/>
    <w:rsid w:val="00CA3C25"/>
    <w:rsid w:val="00CA3C94"/>
    <w:rsid w:val="00CA3D2A"/>
    <w:rsid w:val="00CA3E1F"/>
    <w:rsid w:val="00CA3E56"/>
    <w:rsid w:val="00CA3F65"/>
    <w:rsid w:val="00CA3FC5"/>
    <w:rsid w:val="00CA409D"/>
    <w:rsid w:val="00CA40DB"/>
    <w:rsid w:val="00CA40F5"/>
    <w:rsid w:val="00CA41BD"/>
    <w:rsid w:val="00CA41C3"/>
    <w:rsid w:val="00CA41ED"/>
    <w:rsid w:val="00CA41F2"/>
    <w:rsid w:val="00CA4265"/>
    <w:rsid w:val="00CA4309"/>
    <w:rsid w:val="00CA430F"/>
    <w:rsid w:val="00CA4337"/>
    <w:rsid w:val="00CA4368"/>
    <w:rsid w:val="00CA437F"/>
    <w:rsid w:val="00CA439E"/>
    <w:rsid w:val="00CA43CE"/>
    <w:rsid w:val="00CA4464"/>
    <w:rsid w:val="00CA4589"/>
    <w:rsid w:val="00CA45E3"/>
    <w:rsid w:val="00CA467B"/>
    <w:rsid w:val="00CA46C5"/>
    <w:rsid w:val="00CA4868"/>
    <w:rsid w:val="00CA48CD"/>
    <w:rsid w:val="00CA4908"/>
    <w:rsid w:val="00CA49B8"/>
    <w:rsid w:val="00CA49E5"/>
    <w:rsid w:val="00CA4AAE"/>
    <w:rsid w:val="00CA4B41"/>
    <w:rsid w:val="00CA4B54"/>
    <w:rsid w:val="00CA4BF8"/>
    <w:rsid w:val="00CA4CB9"/>
    <w:rsid w:val="00CA4D63"/>
    <w:rsid w:val="00CA4D6B"/>
    <w:rsid w:val="00CA4E1B"/>
    <w:rsid w:val="00CA4E9A"/>
    <w:rsid w:val="00CA4EC3"/>
    <w:rsid w:val="00CA4EC5"/>
    <w:rsid w:val="00CA4F35"/>
    <w:rsid w:val="00CA4F45"/>
    <w:rsid w:val="00CA4F4A"/>
    <w:rsid w:val="00CA4FBF"/>
    <w:rsid w:val="00CA50AB"/>
    <w:rsid w:val="00CA50AE"/>
    <w:rsid w:val="00CA532E"/>
    <w:rsid w:val="00CA538B"/>
    <w:rsid w:val="00CA54DC"/>
    <w:rsid w:val="00CA5524"/>
    <w:rsid w:val="00CA5529"/>
    <w:rsid w:val="00CA555C"/>
    <w:rsid w:val="00CA55D6"/>
    <w:rsid w:val="00CA55FB"/>
    <w:rsid w:val="00CA564F"/>
    <w:rsid w:val="00CA5696"/>
    <w:rsid w:val="00CA56CB"/>
    <w:rsid w:val="00CA570C"/>
    <w:rsid w:val="00CA574E"/>
    <w:rsid w:val="00CA5851"/>
    <w:rsid w:val="00CA5894"/>
    <w:rsid w:val="00CA5897"/>
    <w:rsid w:val="00CA58CE"/>
    <w:rsid w:val="00CA58FC"/>
    <w:rsid w:val="00CA5980"/>
    <w:rsid w:val="00CA5A04"/>
    <w:rsid w:val="00CA5A0A"/>
    <w:rsid w:val="00CA5B12"/>
    <w:rsid w:val="00CA5B62"/>
    <w:rsid w:val="00CA5BD4"/>
    <w:rsid w:val="00CA5D27"/>
    <w:rsid w:val="00CA5F44"/>
    <w:rsid w:val="00CA5F52"/>
    <w:rsid w:val="00CA6117"/>
    <w:rsid w:val="00CA6178"/>
    <w:rsid w:val="00CA619B"/>
    <w:rsid w:val="00CA6257"/>
    <w:rsid w:val="00CA62CC"/>
    <w:rsid w:val="00CA6312"/>
    <w:rsid w:val="00CA6331"/>
    <w:rsid w:val="00CA6393"/>
    <w:rsid w:val="00CA63A4"/>
    <w:rsid w:val="00CA63AC"/>
    <w:rsid w:val="00CA63C3"/>
    <w:rsid w:val="00CA63D6"/>
    <w:rsid w:val="00CA6445"/>
    <w:rsid w:val="00CA6480"/>
    <w:rsid w:val="00CA6483"/>
    <w:rsid w:val="00CA64C5"/>
    <w:rsid w:val="00CA64D8"/>
    <w:rsid w:val="00CA65FD"/>
    <w:rsid w:val="00CA663E"/>
    <w:rsid w:val="00CA665F"/>
    <w:rsid w:val="00CA6667"/>
    <w:rsid w:val="00CA666D"/>
    <w:rsid w:val="00CA66CF"/>
    <w:rsid w:val="00CA66FF"/>
    <w:rsid w:val="00CA6728"/>
    <w:rsid w:val="00CA6756"/>
    <w:rsid w:val="00CA684B"/>
    <w:rsid w:val="00CA68CA"/>
    <w:rsid w:val="00CA68F6"/>
    <w:rsid w:val="00CA68FF"/>
    <w:rsid w:val="00CA69F2"/>
    <w:rsid w:val="00CA6A3E"/>
    <w:rsid w:val="00CA6B08"/>
    <w:rsid w:val="00CA6C7D"/>
    <w:rsid w:val="00CA6CE3"/>
    <w:rsid w:val="00CA6D0E"/>
    <w:rsid w:val="00CA6D1C"/>
    <w:rsid w:val="00CA6E1D"/>
    <w:rsid w:val="00CA6ECF"/>
    <w:rsid w:val="00CA6F0A"/>
    <w:rsid w:val="00CA6FF2"/>
    <w:rsid w:val="00CA728C"/>
    <w:rsid w:val="00CA72DF"/>
    <w:rsid w:val="00CA72E2"/>
    <w:rsid w:val="00CA734E"/>
    <w:rsid w:val="00CA73BA"/>
    <w:rsid w:val="00CA743C"/>
    <w:rsid w:val="00CA7456"/>
    <w:rsid w:val="00CA74FA"/>
    <w:rsid w:val="00CA757E"/>
    <w:rsid w:val="00CA7594"/>
    <w:rsid w:val="00CA7615"/>
    <w:rsid w:val="00CA7641"/>
    <w:rsid w:val="00CA76A0"/>
    <w:rsid w:val="00CA782C"/>
    <w:rsid w:val="00CA78D0"/>
    <w:rsid w:val="00CA79E8"/>
    <w:rsid w:val="00CA7A1A"/>
    <w:rsid w:val="00CA7ACA"/>
    <w:rsid w:val="00CA7AE3"/>
    <w:rsid w:val="00CA7C25"/>
    <w:rsid w:val="00CA7CA6"/>
    <w:rsid w:val="00CA7CFB"/>
    <w:rsid w:val="00CA7D5E"/>
    <w:rsid w:val="00CA7D73"/>
    <w:rsid w:val="00CA7DCA"/>
    <w:rsid w:val="00CA7EAE"/>
    <w:rsid w:val="00CA7F06"/>
    <w:rsid w:val="00CA7F52"/>
    <w:rsid w:val="00CA7F69"/>
    <w:rsid w:val="00CA7F78"/>
    <w:rsid w:val="00CB00E4"/>
    <w:rsid w:val="00CB013B"/>
    <w:rsid w:val="00CB013D"/>
    <w:rsid w:val="00CB0161"/>
    <w:rsid w:val="00CB01F5"/>
    <w:rsid w:val="00CB0215"/>
    <w:rsid w:val="00CB02BD"/>
    <w:rsid w:val="00CB0404"/>
    <w:rsid w:val="00CB0452"/>
    <w:rsid w:val="00CB04C8"/>
    <w:rsid w:val="00CB0600"/>
    <w:rsid w:val="00CB0625"/>
    <w:rsid w:val="00CB063C"/>
    <w:rsid w:val="00CB0642"/>
    <w:rsid w:val="00CB06E2"/>
    <w:rsid w:val="00CB0718"/>
    <w:rsid w:val="00CB0759"/>
    <w:rsid w:val="00CB077B"/>
    <w:rsid w:val="00CB0795"/>
    <w:rsid w:val="00CB085E"/>
    <w:rsid w:val="00CB0896"/>
    <w:rsid w:val="00CB089D"/>
    <w:rsid w:val="00CB08BB"/>
    <w:rsid w:val="00CB092A"/>
    <w:rsid w:val="00CB0932"/>
    <w:rsid w:val="00CB0B3A"/>
    <w:rsid w:val="00CB0B8B"/>
    <w:rsid w:val="00CB0B8C"/>
    <w:rsid w:val="00CB0C49"/>
    <w:rsid w:val="00CB0D61"/>
    <w:rsid w:val="00CB0D6A"/>
    <w:rsid w:val="00CB0E83"/>
    <w:rsid w:val="00CB103E"/>
    <w:rsid w:val="00CB1121"/>
    <w:rsid w:val="00CB1131"/>
    <w:rsid w:val="00CB116F"/>
    <w:rsid w:val="00CB1174"/>
    <w:rsid w:val="00CB1198"/>
    <w:rsid w:val="00CB119E"/>
    <w:rsid w:val="00CB11F4"/>
    <w:rsid w:val="00CB1222"/>
    <w:rsid w:val="00CB134C"/>
    <w:rsid w:val="00CB13AC"/>
    <w:rsid w:val="00CB14F3"/>
    <w:rsid w:val="00CB152D"/>
    <w:rsid w:val="00CB1671"/>
    <w:rsid w:val="00CB16E2"/>
    <w:rsid w:val="00CB1770"/>
    <w:rsid w:val="00CB17FC"/>
    <w:rsid w:val="00CB1854"/>
    <w:rsid w:val="00CB185A"/>
    <w:rsid w:val="00CB185C"/>
    <w:rsid w:val="00CB18E9"/>
    <w:rsid w:val="00CB1A6E"/>
    <w:rsid w:val="00CB1AAE"/>
    <w:rsid w:val="00CB1AFA"/>
    <w:rsid w:val="00CB1AFD"/>
    <w:rsid w:val="00CB1B0C"/>
    <w:rsid w:val="00CB1B42"/>
    <w:rsid w:val="00CB1B49"/>
    <w:rsid w:val="00CB1B8C"/>
    <w:rsid w:val="00CB1BFD"/>
    <w:rsid w:val="00CB1CB2"/>
    <w:rsid w:val="00CB1D06"/>
    <w:rsid w:val="00CB1D5A"/>
    <w:rsid w:val="00CB1D7E"/>
    <w:rsid w:val="00CB1E41"/>
    <w:rsid w:val="00CB1E48"/>
    <w:rsid w:val="00CB1E97"/>
    <w:rsid w:val="00CB1EB2"/>
    <w:rsid w:val="00CB1EC1"/>
    <w:rsid w:val="00CB1FC0"/>
    <w:rsid w:val="00CB1FDB"/>
    <w:rsid w:val="00CB222D"/>
    <w:rsid w:val="00CB229E"/>
    <w:rsid w:val="00CB2307"/>
    <w:rsid w:val="00CB2344"/>
    <w:rsid w:val="00CB235A"/>
    <w:rsid w:val="00CB23EF"/>
    <w:rsid w:val="00CB240A"/>
    <w:rsid w:val="00CB24F7"/>
    <w:rsid w:val="00CB254C"/>
    <w:rsid w:val="00CB257B"/>
    <w:rsid w:val="00CB2592"/>
    <w:rsid w:val="00CB25E0"/>
    <w:rsid w:val="00CB261B"/>
    <w:rsid w:val="00CB26D0"/>
    <w:rsid w:val="00CB27BD"/>
    <w:rsid w:val="00CB281F"/>
    <w:rsid w:val="00CB2935"/>
    <w:rsid w:val="00CB2937"/>
    <w:rsid w:val="00CB2984"/>
    <w:rsid w:val="00CB29E6"/>
    <w:rsid w:val="00CB29EF"/>
    <w:rsid w:val="00CB2A7E"/>
    <w:rsid w:val="00CB2AE5"/>
    <w:rsid w:val="00CB2AEB"/>
    <w:rsid w:val="00CB2B29"/>
    <w:rsid w:val="00CB2B5E"/>
    <w:rsid w:val="00CB2B93"/>
    <w:rsid w:val="00CB2BB5"/>
    <w:rsid w:val="00CB2BD9"/>
    <w:rsid w:val="00CB2C7B"/>
    <w:rsid w:val="00CB2DEB"/>
    <w:rsid w:val="00CB2E4D"/>
    <w:rsid w:val="00CB2E82"/>
    <w:rsid w:val="00CB2EB1"/>
    <w:rsid w:val="00CB2F47"/>
    <w:rsid w:val="00CB2F4B"/>
    <w:rsid w:val="00CB2F6E"/>
    <w:rsid w:val="00CB2FA2"/>
    <w:rsid w:val="00CB30FF"/>
    <w:rsid w:val="00CB3129"/>
    <w:rsid w:val="00CB3142"/>
    <w:rsid w:val="00CB3160"/>
    <w:rsid w:val="00CB328D"/>
    <w:rsid w:val="00CB32A2"/>
    <w:rsid w:val="00CB32F5"/>
    <w:rsid w:val="00CB3347"/>
    <w:rsid w:val="00CB339D"/>
    <w:rsid w:val="00CB346F"/>
    <w:rsid w:val="00CB34BF"/>
    <w:rsid w:val="00CB34EF"/>
    <w:rsid w:val="00CB3545"/>
    <w:rsid w:val="00CB35D2"/>
    <w:rsid w:val="00CB3612"/>
    <w:rsid w:val="00CB36E5"/>
    <w:rsid w:val="00CB36ED"/>
    <w:rsid w:val="00CB37AB"/>
    <w:rsid w:val="00CB37B2"/>
    <w:rsid w:val="00CB37C6"/>
    <w:rsid w:val="00CB37CE"/>
    <w:rsid w:val="00CB389B"/>
    <w:rsid w:val="00CB38A1"/>
    <w:rsid w:val="00CB38A4"/>
    <w:rsid w:val="00CB393C"/>
    <w:rsid w:val="00CB39CA"/>
    <w:rsid w:val="00CB39E5"/>
    <w:rsid w:val="00CB3B21"/>
    <w:rsid w:val="00CB3B5B"/>
    <w:rsid w:val="00CB3BDC"/>
    <w:rsid w:val="00CB3C02"/>
    <w:rsid w:val="00CB3C48"/>
    <w:rsid w:val="00CB3C75"/>
    <w:rsid w:val="00CB3CD9"/>
    <w:rsid w:val="00CB3D2D"/>
    <w:rsid w:val="00CB3E3F"/>
    <w:rsid w:val="00CB3EBE"/>
    <w:rsid w:val="00CB3EBF"/>
    <w:rsid w:val="00CB3F49"/>
    <w:rsid w:val="00CB3F87"/>
    <w:rsid w:val="00CB3F8D"/>
    <w:rsid w:val="00CB3F98"/>
    <w:rsid w:val="00CB3F9A"/>
    <w:rsid w:val="00CB3F9F"/>
    <w:rsid w:val="00CB3FA2"/>
    <w:rsid w:val="00CB4020"/>
    <w:rsid w:val="00CB4055"/>
    <w:rsid w:val="00CB4058"/>
    <w:rsid w:val="00CB40E2"/>
    <w:rsid w:val="00CB40EE"/>
    <w:rsid w:val="00CB4146"/>
    <w:rsid w:val="00CB415F"/>
    <w:rsid w:val="00CB416F"/>
    <w:rsid w:val="00CB41BE"/>
    <w:rsid w:val="00CB41ED"/>
    <w:rsid w:val="00CB4235"/>
    <w:rsid w:val="00CB42EC"/>
    <w:rsid w:val="00CB4329"/>
    <w:rsid w:val="00CB4398"/>
    <w:rsid w:val="00CB4401"/>
    <w:rsid w:val="00CB4467"/>
    <w:rsid w:val="00CB447A"/>
    <w:rsid w:val="00CB4542"/>
    <w:rsid w:val="00CB4578"/>
    <w:rsid w:val="00CB4579"/>
    <w:rsid w:val="00CB4583"/>
    <w:rsid w:val="00CB4783"/>
    <w:rsid w:val="00CB48CA"/>
    <w:rsid w:val="00CB48D6"/>
    <w:rsid w:val="00CB492E"/>
    <w:rsid w:val="00CB4A70"/>
    <w:rsid w:val="00CB4B37"/>
    <w:rsid w:val="00CB4B3D"/>
    <w:rsid w:val="00CB4B9A"/>
    <w:rsid w:val="00CB4BB6"/>
    <w:rsid w:val="00CB4CE9"/>
    <w:rsid w:val="00CB4D14"/>
    <w:rsid w:val="00CB4D1F"/>
    <w:rsid w:val="00CB4D81"/>
    <w:rsid w:val="00CB4D9B"/>
    <w:rsid w:val="00CB4DDD"/>
    <w:rsid w:val="00CB4E13"/>
    <w:rsid w:val="00CB4E69"/>
    <w:rsid w:val="00CB4E87"/>
    <w:rsid w:val="00CB4EF2"/>
    <w:rsid w:val="00CB4EF8"/>
    <w:rsid w:val="00CB4F7C"/>
    <w:rsid w:val="00CB4F7D"/>
    <w:rsid w:val="00CB506F"/>
    <w:rsid w:val="00CB5159"/>
    <w:rsid w:val="00CB51B4"/>
    <w:rsid w:val="00CB5231"/>
    <w:rsid w:val="00CB5270"/>
    <w:rsid w:val="00CB5285"/>
    <w:rsid w:val="00CB529D"/>
    <w:rsid w:val="00CB5333"/>
    <w:rsid w:val="00CB544B"/>
    <w:rsid w:val="00CB544E"/>
    <w:rsid w:val="00CB54C6"/>
    <w:rsid w:val="00CB54FA"/>
    <w:rsid w:val="00CB553B"/>
    <w:rsid w:val="00CB55F0"/>
    <w:rsid w:val="00CB561C"/>
    <w:rsid w:val="00CB565B"/>
    <w:rsid w:val="00CB5690"/>
    <w:rsid w:val="00CB569C"/>
    <w:rsid w:val="00CB5757"/>
    <w:rsid w:val="00CB5766"/>
    <w:rsid w:val="00CB57F7"/>
    <w:rsid w:val="00CB5816"/>
    <w:rsid w:val="00CB5876"/>
    <w:rsid w:val="00CB58A8"/>
    <w:rsid w:val="00CB58F1"/>
    <w:rsid w:val="00CB594A"/>
    <w:rsid w:val="00CB594B"/>
    <w:rsid w:val="00CB5954"/>
    <w:rsid w:val="00CB5965"/>
    <w:rsid w:val="00CB59C8"/>
    <w:rsid w:val="00CB59CA"/>
    <w:rsid w:val="00CB5A24"/>
    <w:rsid w:val="00CB5A3A"/>
    <w:rsid w:val="00CB5A63"/>
    <w:rsid w:val="00CB5AB2"/>
    <w:rsid w:val="00CB5AEF"/>
    <w:rsid w:val="00CB5B4B"/>
    <w:rsid w:val="00CB5B76"/>
    <w:rsid w:val="00CB5BBF"/>
    <w:rsid w:val="00CB5C71"/>
    <w:rsid w:val="00CB5C83"/>
    <w:rsid w:val="00CB5CEE"/>
    <w:rsid w:val="00CB5DB9"/>
    <w:rsid w:val="00CB5E33"/>
    <w:rsid w:val="00CB5E7F"/>
    <w:rsid w:val="00CB5EDE"/>
    <w:rsid w:val="00CB5F85"/>
    <w:rsid w:val="00CB5FA7"/>
    <w:rsid w:val="00CB5FC4"/>
    <w:rsid w:val="00CB5FEF"/>
    <w:rsid w:val="00CB6023"/>
    <w:rsid w:val="00CB602E"/>
    <w:rsid w:val="00CB605E"/>
    <w:rsid w:val="00CB60BD"/>
    <w:rsid w:val="00CB60E7"/>
    <w:rsid w:val="00CB610E"/>
    <w:rsid w:val="00CB6149"/>
    <w:rsid w:val="00CB61D3"/>
    <w:rsid w:val="00CB62EE"/>
    <w:rsid w:val="00CB6356"/>
    <w:rsid w:val="00CB6391"/>
    <w:rsid w:val="00CB63AE"/>
    <w:rsid w:val="00CB63D6"/>
    <w:rsid w:val="00CB64BB"/>
    <w:rsid w:val="00CB64D5"/>
    <w:rsid w:val="00CB6511"/>
    <w:rsid w:val="00CB656E"/>
    <w:rsid w:val="00CB65B1"/>
    <w:rsid w:val="00CB66E5"/>
    <w:rsid w:val="00CB670C"/>
    <w:rsid w:val="00CB677F"/>
    <w:rsid w:val="00CB6784"/>
    <w:rsid w:val="00CB67A0"/>
    <w:rsid w:val="00CB67F0"/>
    <w:rsid w:val="00CB6839"/>
    <w:rsid w:val="00CB688B"/>
    <w:rsid w:val="00CB68E6"/>
    <w:rsid w:val="00CB6950"/>
    <w:rsid w:val="00CB6979"/>
    <w:rsid w:val="00CB69F6"/>
    <w:rsid w:val="00CB6A5C"/>
    <w:rsid w:val="00CB6A6A"/>
    <w:rsid w:val="00CB6A89"/>
    <w:rsid w:val="00CB6AC4"/>
    <w:rsid w:val="00CB6C55"/>
    <w:rsid w:val="00CB6CC6"/>
    <w:rsid w:val="00CB6CD3"/>
    <w:rsid w:val="00CB6EE4"/>
    <w:rsid w:val="00CB6EF6"/>
    <w:rsid w:val="00CB6F2D"/>
    <w:rsid w:val="00CB6F43"/>
    <w:rsid w:val="00CB6F46"/>
    <w:rsid w:val="00CB6F8D"/>
    <w:rsid w:val="00CB6F8F"/>
    <w:rsid w:val="00CB6FB2"/>
    <w:rsid w:val="00CB6FC6"/>
    <w:rsid w:val="00CB6FF9"/>
    <w:rsid w:val="00CB70C9"/>
    <w:rsid w:val="00CB7124"/>
    <w:rsid w:val="00CB7160"/>
    <w:rsid w:val="00CB71AC"/>
    <w:rsid w:val="00CB71B4"/>
    <w:rsid w:val="00CB71C3"/>
    <w:rsid w:val="00CB72B3"/>
    <w:rsid w:val="00CB72E6"/>
    <w:rsid w:val="00CB72FA"/>
    <w:rsid w:val="00CB7326"/>
    <w:rsid w:val="00CB7350"/>
    <w:rsid w:val="00CB764F"/>
    <w:rsid w:val="00CB7693"/>
    <w:rsid w:val="00CB769D"/>
    <w:rsid w:val="00CB76AB"/>
    <w:rsid w:val="00CB7734"/>
    <w:rsid w:val="00CB7741"/>
    <w:rsid w:val="00CB77E3"/>
    <w:rsid w:val="00CB7965"/>
    <w:rsid w:val="00CB7995"/>
    <w:rsid w:val="00CB7998"/>
    <w:rsid w:val="00CB79B3"/>
    <w:rsid w:val="00CB7A40"/>
    <w:rsid w:val="00CB7A80"/>
    <w:rsid w:val="00CB7AA5"/>
    <w:rsid w:val="00CB7AE8"/>
    <w:rsid w:val="00CB7B09"/>
    <w:rsid w:val="00CB7BED"/>
    <w:rsid w:val="00CB7BFB"/>
    <w:rsid w:val="00CB7C12"/>
    <w:rsid w:val="00CB7C44"/>
    <w:rsid w:val="00CB7C81"/>
    <w:rsid w:val="00CB7CC2"/>
    <w:rsid w:val="00CB7D00"/>
    <w:rsid w:val="00CB7D94"/>
    <w:rsid w:val="00CB7DFD"/>
    <w:rsid w:val="00CB7E3B"/>
    <w:rsid w:val="00CB7EB3"/>
    <w:rsid w:val="00CB7EBC"/>
    <w:rsid w:val="00CB7F22"/>
    <w:rsid w:val="00CB7F47"/>
    <w:rsid w:val="00CC00D9"/>
    <w:rsid w:val="00CC013A"/>
    <w:rsid w:val="00CC0181"/>
    <w:rsid w:val="00CC0198"/>
    <w:rsid w:val="00CC01B7"/>
    <w:rsid w:val="00CC01BA"/>
    <w:rsid w:val="00CC020E"/>
    <w:rsid w:val="00CC02F2"/>
    <w:rsid w:val="00CC0382"/>
    <w:rsid w:val="00CC0396"/>
    <w:rsid w:val="00CC0398"/>
    <w:rsid w:val="00CC0423"/>
    <w:rsid w:val="00CC042D"/>
    <w:rsid w:val="00CC0471"/>
    <w:rsid w:val="00CC0494"/>
    <w:rsid w:val="00CC04ED"/>
    <w:rsid w:val="00CC0505"/>
    <w:rsid w:val="00CC056E"/>
    <w:rsid w:val="00CC05A4"/>
    <w:rsid w:val="00CC0646"/>
    <w:rsid w:val="00CC06C7"/>
    <w:rsid w:val="00CC07BC"/>
    <w:rsid w:val="00CC0AC7"/>
    <w:rsid w:val="00CC0ACD"/>
    <w:rsid w:val="00CC0ACF"/>
    <w:rsid w:val="00CC0B0C"/>
    <w:rsid w:val="00CC0B50"/>
    <w:rsid w:val="00CC0B6F"/>
    <w:rsid w:val="00CC0B78"/>
    <w:rsid w:val="00CC0BE4"/>
    <w:rsid w:val="00CC0C27"/>
    <w:rsid w:val="00CC0CCA"/>
    <w:rsid w:val="00CC0D98"/>
    <w:rsid w:val="00CC0DBF"/>
    <w:rsid w:val="00CC0F33"/>
    <w:rsid w:val="00CC0F4F"/>
    <w:rsid w:val="00CC0F95"/>
    <w:rsid w:val="00CC104F"/>
    <w:rsid w:val="00CC1123"/>
    <w:rsid w:val="00CC1132"/>
    <w:rsid w:val="00CC12B3"/>
    <w:rsid w:val="00CC135C"/>
    <w:rsid w:val="00CC139F"/>
    <w:rsid w:val="00CC13B5"/>
    <w:rsid w:val="00CC14E8"/>
    <w:rsid w:val="00CC15A3"/>
    <w:rsid w:val="00CC15BD"/>
    <w:rsid w:val="00CC1689"/>
    <w:rsid w:val="00CC16A9"/>
    <w:rsid w:val="00CC16EF"/>
    <w:rsid w:val="00CC1725"/>
    <w:rsid w:val="00CC17BA"/>
    <w:rsid w:val="00CC180D"/>
    <w:rsid w:val="00CC191C"/>
    <w:rsid w:val="00CC197C"/>
    <w:rsid w:val="00CC1A17"/>
    <w:rsid w:val="00CC1A2C"/>
    <w:rsid w:val="00CC1AC1"/>
    <w:rsid w:val="00CC1B36"/>
    <w:rsid w:val="00CC1BBB"/>
    <w:rsid w:val="00CC1BFB"/>
    <w:rsid w:val="00CC1CF3"/>
    <w:rsid w:val="00CC1D52"/>
    <w:rsid w:val="00CC1FC2"/>
    <w:rsid w:val="00CC201D"/>
    <w:rsid w:val="00CC203F"/>
    <w:rsid w:val="00CC2040"/>
    <w:rsid w:val="00CC2107"/>
    <w:rsid w:val="00CC2114"/>
    <w:rsid w:val="00CC217B"/>
    <w:rsid w:val="00CC21F5"/>
    <w:rsid w:val="00CC229B"/>
    <w:rsid w:val="00CC22B6"/>
    <w:rsid w:val="00CC22E8"/>
    <w:rsid w:val="00CC2316"/>
    <w:rsid w:val="00CC2385"/>
    <w:rsid w:val="00CC23A7"/>
    <w:rsid w:val="00CC249D"/>
    <w:rsid w:val="00CC24D2"/>
    <w:rsid w:val="00CC2527"/>
    <w:rsid w:val="00CC253B"/>
    <w:rsid w:val="00CC25C7"/>
    <w:rsid w:val="00CC26FD"/>
    <w:rsid w:val="00CC286E"/>
    <w:rsid w:val="00CC28B0"/>
    <w:rsid w:val="00CC2999"/>
    <w:rsid w:val="00CC2A35"/>
    <w:rsid w:val="00CC2B0C"/>
    <w:rsid w:val="00CC2C2C"/>
    <w:rsid w:val="00CC2C37"/>
    <w:rsid w:val="00CC2C7F"/>
    <w:rsid w:val="00CC2C9F"/>
    <w:rsid w:val="00CC2CB1"/>
    <w:rsid w:val="00CC2CBA"/>
    <w:rsid w:val="00CC2CD4"/>
    <w:rsid w:val="00CC2CF5"/>
    <w:rsid w:val="00CC2CFC"/>
    <w:rsid w:val="00CC2D4F"/>
    <w:rsid w:val="00CC2E2D"/>
    <w:rsid w:val="00CC2ED3"/>
    <w:rsid w:val="00CC307C"/>
    <w:rsid w:val="00CC307E"/>
    <w:rsid w:val="00CC3103"/>
    <w:rsid w:val="00CC3112"/>
    <w:rsid w:val="00CC3162"/>
    <w:rsid w:val="00CC31EA"/>
    <w:rsid w:val="00CC3214"/>
    <w:rsid w:val="00CC3422"/>
    <w:rsid w:val="00CC3485"/>
    <w:rsid w:val="00CC34D1"/>
    <w:rsid w:val="00CC34EA"/>
    <w:rsid w:val="00CC34F2"/>
    <w:rsid w:val="00CC3519"/>
    <w:rsid w:val="00CC3521"/>
    <w:rsid w:val="00CC35B7"/>
    <w:rsid w:val="00CC363B"/>
    <w:rsid w:val="00CC3672"/>
    <w:rsid w:val="00CC36C3"/>
    <w:rsid w:val="00CC370F"/>
    <w:rsid w:val="00CC37BC"/>
    <w:rsid w:val="00CC3818"/>
    <w:rsid w:val="00CC3825"/>
    <w:rsid w:val="00CC387E"/>
    <w:rsid w:val="00CC3894"/>
    <w:rsid w:val="00CC3895"/>
    <w:rsid w:val="00CC38CA"/>
    <w:rsid w:val="00CC38FF"/>
    <w:rsid w:val="00CC3985"/>
    <w:rsid w:val="00CC3986"/>
    <w:rsid w:val="00CC39F6"/>
    <w:rsid w:val="00CC3B93"/>
    <w:rsid w:val="00CC3C08"/>
    <w:rsid w:val="00CC3CE2"/>
    <w:rsid w:val="00CC3D90"/>
    <w:rsid w:val="00CC3F98"/>
    <w:rsid w:val="00CC3FD6"/>
    <w:rsid w:val="00CC3FED"/>
    <w:rsid w:val="00CC4000"/>
    <w:rsid w:val="00CC400F"/>
    <w:rsid w:val="00CC4038"/>
    <w:rsid w:val="00CC4080"/>
    <w:rsid w:val="00CC40FB"/>
    <w:rsid w:val="00CC412E"/>
    <w:rsid w:val="00CC4193"/>
    <w:rsid w:val="00CC41E5"/>
    <w:rsid w:val="00CC41FA"/>
    <w:rsid w:val="00CC4207"/>
    <w:rsid w:val="00CC429E"/>
    <w:rsid w:val="00CC42A9"/>
    <w:rsid w:val="00CC42F0"/>
    <w:rsid w:val="00CC42F2"/>
    <w:rsid w:val="00CC4317"/>
    <w:rsid w:val="00CC441F"/>
    <w:rsid w:val="00CC4473"/>
    <w:rsid w:val="00CC4522"/>
    <w:rsid w:val="00CC452B"/>
    <w:rsid w:val="00CC454D"/>
    <w:rsid w:val="00CC4678"/>
    <w:rsid w:val="00CC4940"/>
    <w:rsid w:val="00CC49DD"/>
    <w:rsid w:val="00CC4ADF"/>
    <w:rsid w:val="00CC4B59"/>
    <w:rsid w:val="00CC4B97"/>
    <w:rsid w:val="00CC4BAB"/>
    <w:rsid w:val="00CC4BD5"/>
    <w:rsid w:val="00CC4C6C"/>
    <w:rsid w:val="00CC4CCD"/>
    <w:rsid w:val="00CC4CD9"/>
    <w:rsid w:val="00CC4D59"/>
    <w:rsid w:val="00CC4D9A"/>
    <w:rsid w:val="00CC4DA2"/>
    <w:rsid w:val="00CC4DD8"/>
    <w:rsid w:val="00CC4E04"/>
    <w:rsid w:val="00CC4ED8"/>
    <w:rsid w:val="00CC4F0E"/>
    <w:rsid w:val="00CC4F96"/>
    <w:rsid w:val="00CC4FAC"/>
    <w:rsid w:val="00CC4FCE"/>
    <w:rsid w:val="00CC5002"/>
    <w:rsid w:val="00CC5023"/>
    <w:rsid w:val="00CC50A5"/>
    <w:rsid w:val="00CC50A9"/>
    <w:rsid w:val="00CC5136"/>
    <w:rsid w:val="00CC51A5"/>
    <w:rsid w:val="00CC524E"/>
    <w:rsid w:val="00CC5274"/>
    <w:rsid w:val="00CC532A"/>
    <w:rsid w:val="00CC54F5"/>
    <w:rsid w:val="00CC5521"/>
    <w:rsid w:val="00CC553A"/>
    <w:rsid w:val="00CC557C"/>
    <w:rsid w:val="00CC55E9"/>
    <w:rsid w:val="00CC571F"/>
    <w:rsid w:val="00CC5730"/>
    <w:rsid w:val="00CC5778"/>
    <w:rsid w:val="00CC581A"/>
    <w:rsid w:val="00CC583C"/>
    <w:rsid w:val="00CC5842"/>
    <w:rsid w:val="00CC595E"/>
    <w:rsid w:val="00CC596D"/>
    <w:rsid w:val="00CC59B1"/>
    <w:rsid w:val="00CC5B06"/>
    <w:rsid w:val="00CC5C84"/>
    <w:rsid w:val="00CC5C93"/>
    <w:rsid w:val="00CC5D08"/>
    <w:rsid w:val="00CC5D0D"/>
    <w:rsid w:val="00CC5DF0"/>
    <w:rsid w:val="00CC5E12"/>
    <w:rsid w:val="00CC5E8A"/>
    <w:rsid w:val="00CC5E90"/>
    <w:rsid w:val="00CC5E94"/>
    <w:rsid w:val="00CC5EAA"/>
    <w:rsid w:val="00CC5F9E"/>
    <w:rsid w:val="00CC609C"/>
    <w:rsid w:val="00CC61FB"/>
    <w:rsid w:val="00CC626B"/>
    <w:rsid w:val="00CC6306"/>
    <w:rsid w:val="00CC640B"/>
    <w:rsid w:val="00CC6428"/>
    <w:rsid w:val="00CC645F"/>
    <w:rsid w:val="00CC649E"/>
    <w:rsid w:val="00CC64C2"/>
    <w:rsid w:val="00CC65BF"/>
    <w:rsid w:val="00CC6605"/>
    <w:rsid w:val="00CC668D"/>
    <w:rsid w:val="00CC66C8"/>
    <w:rsid w:val="00CC66F3"/>
    <w:rsid w:val="00CC688A"/>
    <w:rsid w:val="00CC6A51"/>
    <w:rsid w:val="00CC6A7D"/>
    <w:rsid w:val="00CC6BA9"/>
    <w:rsid w:val="00CC6E4F"/>
    <w:rsid w:val="00CC6FC6"/>
    <w:rsid w:val="00CC6FEB"/>
    <w:rsid w:val="00CC7035"/>
    <w:rsid w:val="00CC7037"/>
    <w:rsid w:val="00CC709C"/>
    <w:rsid w:val="00CC724F"/>
    <w:rsid w:val="00CC72DE"/>
    <w:rsid w:val="00CC7365"/>
    <w:rsid w:val="00CC736B"/>
    <w:rsid w:val="00CC7385"/>
    <w:rsid w:val="00CC73FD"/>
    <w:rsid w:val="00CC749A"/>
    <w:rsid w:val="00CC7508"/>
    <w:rsid w:val="00CC757F"/>
    <w:rsid w:val="00CC7596"/>
    <w:rsid w:val="00CC75AA"/>
    <w:rsid w:val="00CC75B9"/>
    <w:rsid w:val="00CC768D"/>
    <w:rsid w:val="00CC76CD"/>
    <w:rsid w:val="00CC76E6"/>
    <w:rsid w:val="00CC76FC"/>
    <w:rsid w:val="00CC7703"/>
    <w:rsid w:val="00CC7717"/>
    <w:rsid w:val="00CC7755"/>
    <w:rsid w:val="00CC77AE"/>
    <w:rsid w:val="00CC7822"/>
    <w:rsid w:val="00CC7827"/>
    <w:rsid w:val="00CC7929"/>
    <w:rsid w:val="00CC798E"/>
    <w:rsid w:val="00CC79A5"/>
    <w:rsid w:val="00CC79C6"/>
    <w:rsid w:val="00CC79F2"/>
    <w:rsid w:val="00CC7A55"/>
    <w:rsid w:val="00CC7A5C"/>
    <w:rsid w:val="00CC7AFC"/>
    <w:rsid w:val="00CC7C0A"/>
    <w:rsid w:val="00CC7C10"/>
    <w:rsid w:val="00CC7C24"/>
    <w:rsid w:val="00CC7C60"/>
    <w:rsid w:val="00CC7CAF"/>
    <w:rsid w:val="00CC7CB4"/>
    <w:rsid w:val="00CC7D07"/>
    <w:rsid w:val="00CC7D09"/>
    <w:rsid w:val="00CC7D59"/>
    <w:rsid w:val="00CC7D7B"/>
    <w:rsid w:val="00CD0004"/>
    <w:rsid w:val="00CD0026"/>
    <w:rsid w:val="00CD003B"/>
    <w:rsid w:val="00CD008E"/>
    <w:rsid w:val="00CD00E4"/>
    <w:rsid w:val="00CD010D"/>
    <w:rsid w:val="00CD016C"/>
    <w:rsid w:val="00CD02D7"/>
    <w:rsid w:val="00CD02EC"/>
    <w:rsid w:val="00CD03A6"/>
    <w:rsid w:val="00CD03B2"/>
    <w:rsid w:val="00CD03BB"/>
    <w:rsid w:val="00CD03D4"/>
    <w:rsid w:val="00CD0418"/>
    <w:rsid w:val="00CD0487"/>
    <w:rsid w:val="00CD053A"/>
    <w:rsid w:val="00CD05C2"/>
    <w:rsid w:val="00CD05D1"/>
    <w:rsid w:val="00CD05D2"/>
    <w:rsid w:val="00CD0614"/>
    <w:rsid w:val="00CD0651"/>
    <w:rsid w:val="00CD0664"/>
    <w:rsid w:val="00CD0756"/>
    <w:rsid w:val="00CD077B"/>
    <w:rsid w:val="00CD07D6"/>
    <w:rsid w:val="00CD097A"/>
    <w:rsid w:val="00CD09A4"/>
    <w:rsid w:val="00CD09D6"/>
    <w:rsid w:val="00CD0A25"/>
    <w:rsid w:val="00CD0AD5"/>
    <w:rsid w:val="00CD0AFD"/>
    <w:rsid w:val="00CD0B6E"/>
    <w:rsid w:val="00CD0CC7"/>
    <w:rsid w:val="00CD0D3C"/>
    <w:rsid w:val="00CD0D5B"/>
    <w:rsid w:val="00CD0D6D"/>
    <w:rsid w:val="00CD0F60"/>
    <w:rsid w:val="00CD0F77"/>
    <w:rsid w:val="00CD0FEB"/>
    <w:rsid w:val="00CD1010"/>
    <w:rsid w:val="00CD101D"/>
    <w:rsid w:val="00CD1037"/>
    <w:rsid w:val="00CD1078"/>
    <w:rsid w:val="00CD10D5"/>
    <w:rsid w:val="00CD10DA"/>
    <w:rsid w:val="00CD1141"/>
    <w:rsid w:val="00CD1150"/>
    <w:rsid w:val="00CD1229"/>
    <w:rsid w:val="00CD1231"/>
    <w:rsid w:val="00CD143E"/>
    <w:rsid w:val="00CD145C"/>
    <w:rsid w:val="00CD1473"/>
    <w:rsid w:val="00CD152E"/>
    <w:rsid w:val="00CD1581"/>
    <w:rsid w:val="00CD158B"/>
    <w:rsid w:val="00CD15A5"/>
    <w:rsid w:val="00CD1667"/>
    <w:rsid w:val="00CD1691"/>
    <w:rsid w:val="00CD1736"/>
    <w:rsid w:val="00CD179A"/>
    <w:rsid w:val="00CD17C1"/>
    <w:rsid w:val="00CD1819"/>
    <w:rsid w:val="00CD186C"/>
    <w:rsid w:val="00CD18FD"/>
    <w:rsid w:val="00CD1A38"/>
    <w:rsid w:val="00CD1A4E"/>
    <w:rsid w:val="00CD1AAE"/>
    <w:rsid w:val="00CD1AAF"/>
    <w:rsid w:val="00CD1B54"/>
    <w:rsid w:val="00CD1C89"/>
    <w:rsid w:val="00CD1D12"/>
    <w:rsid w:val="00CD1D24"/>
    <w:rsid w:val="00CD1D44"/>
    <w:rsid w:val="00CD1DAA"/>
    <w:rsid w:val="00CD1E3E"/>
    <w:rsid w:val="00CD1F01"/>
    <w:rsid w:val="00CD2023"/>
    <w:rsid w:val="00CD2028"/>
    <w:rsid w:val="00CD205B"/>
    <w:rsid w:val="00CD21EA"/>
    <w:rsid w:val="00CD22F0"/>
    <w:rsid w:val="00CD22F6"/>
    <w:rsid w:val="00CD233A"/>
    <w:rsid w:val="00CD2387"/>
    <w:rsid w:val="00CD23CF"/>
    <w:rsid w:val="00CD2490"/>
    <w:rsid w:val="00CD2496"/>
    <w:rsid w:val="00CD24F1"/>
    <w:rsid w:val="00CD25F1"/>
    <w:rsid w:val="00CD25F9"/>
    <w:rsid w:val="00CD2660"/>
    <w:rsid w:val="00CD2674"/>
    <w:rsid w:val="00CD2736"/>
    <w:rsid w:val="00CD275D"/>
    <w:rsid w:val="00CD27CE"/>
    <w:rsid w:val="00CD27E8"/>
    <w:rsid w:val="00CD290C"/>
    <w:rsid w:val="00CD293F"/>
    <w:rsid w:val="00CD2949"/>
    <w:rsid w:val="00CD2990"/>
    <w:rsid w:val="00CD2A08"/>
    <w:rsid w:val="00CD2A9B"/>
    <w:rsid w:val="00CD2B12"/>
    <w:rsid w:val="00CD2B1C"/>
    <w:rsid w:val="00CD2BA2"/>
    <w:rsid w:val="00CD2C26"/>
    <w:rsid w:val="00CD2C3E"/>
    <w:rsid w:val="00CD2C81"/>
    <w:rsid w:val="00CD2C82"/>
    <w:rsid w:val="00CD2C97"/>
    <w:rsid w:val="00CD2DBA"/>
    <w:rsid w:val="00CD2EF6"/>
    <w:rsid w:val="00CD2F25"/>
    <w:rsid w:val="00CD2FC8"/>
    <w:rsid w:val="00CD30A3"/>
    <w:rsid w:val="00CD30C8"/>
    <w:rsid w:val="00CD3178"/>
    <w:rsid w:val="00CD31C8"/>
    <w:rsid w:val="00CD3222"/>
    <w:rsid w:val="00CD328A"/>
    <w:rsid w:val="00CD32E6"/>
    <w:rsid w:val="00CD3323"/>
    <w:rsid w:val="00CD33A2"/>
    <w:rsid w:val="00CD33AA"/>
    <w:rsid w:val="00CD33D7"/>
    <w:rsid w:val="00CD3425"/>
    <w:rsid w:val="00CD3512"/>
    <w:rsid w:val="00CD3533"/>
    <w:rsid w:val="00CD35E1"/>
    <w:rsid w:val="00CD365A"/>
    <w:rsid w:val="00CD36A0"/>
    <w:rsid w:val="00CD36A1"/>
    <w:rsid w:val="00CD36AB"/>
    <w:rsid w:val="00CD3743"/>
    <w:rsid w:val="00CD379A"/>
    <w:rsid w:val="00CD3806"/>
    <w:rsid w:val="00CD382D"/>
    <w:rsid w:val="00CD3879"/>
    <w:rsid w:val="00CD388D"/>
    <w:rsid w:val="00CD38DA"/>
    <w:rsid w:val="00CD3922"/>
    <w:rsid w:val="00CD3936"/>
    <w:rsid w:val="00CD3949"/>
    <w:rsid w:val="00CD39D6"/>
    <w:rsid w:val="00CD3A57"/>
    <w:rsid w:val="00CD3A68"/>
    <w:rsid w:val="00CD3A98"/>
    <w:rsid w:val="00CD3B36"/>
    <w:rsid w:val="00CD3B9F"/>
    <w:rsid w:val="00CD3C72"/>
    <w:rsid w:val="00CD3D0C"/>
    <w:rsid w:val="00CD3DD1"/>
    <w:rsid w:val="00CD3E6E"/>
    <w:rsid w:val="00CD3E76"/>
    <w:rsid w:val="00CD3EF2"/>
    <w:rsid w:val="00CD3F42"/>
    <w:rsid w:val="00CD3F5F"/>
    <w:rsid w:val="00CD3FBA"/>
    <w:rsid w:val="00CD3FC9"/>
    <w:rsid w:val="00CD3FF7"/>
    <w:rsid w:val="00CD3FF9"/>
    <w:rsid w:val="00CD40C3"/>
    <w:rsid w:val="00CD40D3"/>
    <w:rsid w:val="00CD4101"/>
    <w:rsid w:val="00CD4109"/>
    <w:rsid w:val="00CD4138"/>
    <w:rsid w:val="00CD4183"/>
    <w:rsid w:val="00CD41B2"/>
    <w:rsid w:val="00CD41D2"/>
    <w:rsid w:val="00CD4206"/>
    <w:rsid w:val="00CD421F"/>
    <w:rsid w:val="00CD4231"/>
    <w:rsid w:val="00CD42EA"/>
    <w:rsid w:val="00CD436B"/>
    <w:rsid w:val="00CD4379"/>
    <w:rsid w:val="00CD453A"/>
    <w:rsid w:val="00CD4603"/>
    <w:rsid w:val="00CD4624"/>
    <w:rsid w:val="00CD46FC"/>
    <w:rsid w:val="00CD4758"/>
    <w:rsid w:val="00CD486A"/>
    <w:rsid w:val="00CD48F4"/>
    <w:rsid w:val="00CD4929"/>
    <w:rsid w:val="00CD4942"/>
    <w:rsid w:val="00CD495D"/>
    <w:rsid w:val="00CD49C6"/>
    <w:rsid w:val="00CD4A75"/>
    <w:rsid w:val="00CD4AD1"/>
    <w:rsid w:val="00CD4B4A"/>
    <w:rsid w:val="00CD4B77"/>
    <w:rsid w:val="00CD4BA0"/>
    <w:rsid w:val="00CD4D47"/>
    <w:rsid w:val="00CD4D95"/>
    <w:rsid w:val="00CD4DEC"/>
    <w:rsid w:val="00CD4E07"/>
    <w:rsid w:val="00CD4E37"/>
    <w:rsid w:val="00CD4E38"/>
    <w:rsid w:val="00CD4FE2"/>
    <w:rsid w:val="00CD5117"/>
    <w:rsid w:val="00CD5207"/>
    <w:rsid w:val="00CD5217"/>
    <w:rsid w:val="00CD5266"/>
    <w:rsid w:val="00CD53D7"/>
    <w:rsid w:val="00CD542D"/>
    <w:rsid w:val="00CD542F"/>
    <w:rsid w:val="00CD544D"/>
    <w:rsid w:val="00CD5525"/>
    <w:rsid w:val="00CD556C"/>
    <w:rsid w:val="00CD558B"/>
    <w:rsid w:val="00CD559F"/>
    <w:rsid w:val="00CD55AB"/>
    <w:rsid w:val="00CD55AE"/>
    <w:rsid w:val="00CD5676"/>
    <w:rsid w:val="00CD5695"/>
    <w:rsid w:val="00CD569C"/>
    <w:rsid w:val="00CD56EE"/>
    <w:rsid w:val="00CD576F"/>
    <w:rsid w:val="00CD578C"/>
    <w:rsid w:val="00CD57D7"/>
    <w:rsid w:val="00CD57DE"/>
    <w:rsid w:val="00CD5827"/>
    <w:rsid w:val="00CD585E"/>
    <w:rsid w:val="00CD58B1"/>
    <w:rsid w:val="00CD58BE"/>
    <w:rsid w:val="00CD5966"/>
    <w:rsid w:val="00CD5967"/>
    <w:rsid w:val="00CD59A8"/>
    <w:rsid w:val="00CD59BF"/>
    <w:rsid w:val="00CD5A08"/>
    <w:rsid w:val="00CD5A19"/>
    <w:rsid w:val="00CD5A48"/>
    <w:rsid w:val="00CD5A88"/>
    <w:rsid w:val="00CD5B1C"/>
    <w:rsid w:val="00CD5BD0"/>
    <w:rsid w:val="00CD5BFD"/>
    <w:rsid w:val="00CD5C01"/>
    <w:rsid w:val="00CD5C05"/>
    <w:rsid w:val="00CD5C28"/>
    <w:rsid w:val="00CD5C76"/>
    <w:rsid w:val="00CD5CAD"/>
    <w:rsid w:val="00CD5D51"/>
    <w:rsid w:val="00CD5DAC"/>
    <w:rsid w:val="00CD5DC2"/>
    <w:rsid w:val="00CD5DF0"/>
    <w:rsid w:val="00CD5E50"/>
    <w:rsid w:val="00CD5E62"/>
    <w:rsid w:val="00CD5E7D"/>
    <w:rsid w:val="00CD5EDA"/>
    <w:rsid w:val="00CD5FCA"/>
    <w:rsid w:val="00CD6066"/>
    <w:rsid w:val="00CD6089"/>
    <w:rsid w:val="00CD60B5"/>
    <w:rsid w:val="00CD613C"/>
    <w:rsid w:val="00CD6170"/>
    <w:rsid w:val="00CD61A4"/>
    <w:rsid w:val="00CD628D"/>
    <w:rsid w:val="00CD62BE"/>
    <w:rsid w:val="00CD62C7"/>
    <w:rsid w:val="00CD633B"/>
    <w:rsid w:val="00CD641F"/>
    <w:rsid w:val="00CD65C7"/>
    <w:rsid w:val="00CD65E4"/>
    <w:rsid w:val="00CD664F"/>
    <w:rsid w:val="00CD665B"/>
    <w:rsid w:val="00CD6670"/>
    <w:rsid w:val="00CD6715"/>
    <w:rsid w:val="00CD6729"/>
    <w:rsid w:val="00CD6773"/>
    <w:rsid w:val="00CD6778"/>
    <w:rsid w:val="00CD679E"/>
    <w:rsid w:val="00CD67B8"/>
    <w:rsid w:val="00CD67F7"/>
    <w:rsid w:val="00CD6805"/>
    <w:rsid w:val="00CD6898"/>
    <w:rsid w:val="00CD68B8"/>
    <w:rsid w:val="00CD6906"/>
    <w:rsid w:val="00CD693C"/>
    <w:rsid w:val="00CD698C"/>
    <w:rsid w:val="00CD6A51"/>
    <w:rsid w:val="00CD6AC0"/>
    <w:rsid w:val="00CD6C37"/>
    <w:rsid w:val="00CD6C5D"/>
    <w:rsid w:val="00CD6C6B"/>
    <w:rsid w:val="00CD6CA8"/>
    <w:rsid w:val="00CD6CD9"/>
    <w:rsid w:val="00CD6CDD"/>
    <w:rsid w:val="00CD6D3A"/>
    <w:rsid w:val="00CD6D6C"/>
    <w:rsid w:val="00CD6E11"/>
    <w:rsid w:val="00CD6E29"/>
    <w:rsid w:val="00CD6E4E"/>
    <w:rsid w:val="00CD6E95"/>
    <w:rsid w:val="00CD6F1E"/>
    <w:rsid w:val="00CD6F37"/>
    <w:rsid w:val="00CD6FF6"/>
    <w:rsid w:val="00CD7024"/>
    <w:rsid w:val="00CD7077"/>
    <w:rsid w:val="00CD70E2"/>
    <w:rsid w:val="00CD70FD"/>
    <w:rsid w:val="00CD7103"/>
    <w:rsid w:val="00CD717E"/>
    <w:rsid w:val="00CD720A"/>
    <w:rsid w:val="00CD72A8"/>
    <w:rsid w:val="00CD72CE"/>
    <w:rsid w:val="00CD7498"/>
    <w:rsid w:val="00CD74E7"/>
    <w:rsid w:val="00CD7507"/>
    <w:rsid w:val="00CD75C7"/>
    <w:rsid w:val="00CD7614"/>
    <w:rsid w:val="00CD7726"/>
    <w:rsid w:val="00CD7791"/>
    <w:rsid w:val="00CD77D7"/>
    <w:rsid w:val="00CD7849"/>
    <w:rsid w:val="00CD789E"/>
    <w:rsid w:val="00CD7954"/>
    <w:rsid w:val="00CD7964"/>
    <w:rsid w:val="00CD79CE"/>
    <w:rsid w:val="00CD7A2D"/>
    <w:rsid w:val="00CD7A79"/>
    <w:rsid w:val="00CD7B8B"/>
    <w:rsid w:val="00CD7C23"/>
    <w:rsid w:val="00CD7C6D"/>
    <w:rsid w:val="00CD7D40"/>
    <w:rsid w:val="00CD7DA2"/>
    <w:rsid w:val="00CD7EFE"/>
    <w:rsid w:val="00CD7F0E"/>
    <w:rsid w:val="00CD7F16"/>
    <w:rsid w:val="00CD7F80"/>
    <w:rsid w:val="00CE004A"/>
    <w:rsid w:val="00CE0058"/>
    <w:rsid w:val="00CE0183"/>
    <w:rsid w:val="00CE01E1"/>
    <w:rsid w:val="00CE024D"/>
    <w:rsid w:val="00CE028F"/>
    <w:rsid w:val="00CE02D3"/>
    <w:rsid w:val="00CE02E3"/>
    <w:rsid w:val="00CE0304"/>
    <w:rsid w:val="00CE037C"/>
    <w:rsid w:val="00CE0405"/>
    <w:rsid w:val="00CE0445"/>
    <w:rsid w:val="00CE0507"/>
    <w:rsid w:val="00CE0621"/>
    <w:rsid w:val="00CE0686"/>
    <w:rsid w:val="00CE071B"/>
    <w:rsid w:val="00CE07D0"/>
    <w:rsid w:val="00CE083C"/>
    <w:rsid w:val="00CE0954"/>
    <w:rsid w:val="00CE09BF"/>
    <w:rsid w:val="00CE0B3C"/>
    <w:rsid w:val="00CE0BBF"/>
    <w:rsid w:val="00CE0C22"/>
    <w:rsid w:val="00CE0C3C"/>
    <w:rsid w:val="00CE0C44"/>
    <w:rsid w:val="00CE0D9E"/>
    <w:rsid w:val="00CE0E1C"/>
    <w:rsid w:val="00CE0E61"/>
    <w:rsid w:val="00CE0E6E"/>
    <w:rsid w:val="00CE0E86"/>
    <w:rsid w:val="00CE0EB8"/>
    <w:rsid w:val="00CE0EDA"/>
    <w:rsid w:val="00CE0EF9"/>
    <w:rsid w:val="00CE0F40"/>
    <w:rsid w:val="00CE0F75"/>
    <w:rsid w:val="00CE0F90"/>
    <w:rsid w:val="00CE0FC2"/>
    <w:rsid w:val="00CE1092"/>
    <w:rsid w:val="00CE10E9"/>
    <w:rsid w:val="00CE111A"/>
    <w:rsid w:val="00CE1201"/>
    <w:rsid w:val="00CE12A3"/>
    <w:rsid w:val="00CE1324"/>
    <w:rsid w:val="00CE1356"/>
    <w:rsid w:val="00CE136E"/>
    <w:rsid w:val="00CE1482"/>
    <w:rsid w:val="00CE1571"/>
    <w:rsid w:val="00CE15AC"/>
    <w:rsid w:val="00CE165D"/>
    <w:rsid w:val="00CE16BB"/>
    <w:rsid w:val="00CE175F"/>
    <w:rsid w:val="00CE1761"/>
    <w:rsid w:val="00CE17F0"/>
    <w:rsid w:val="00CE196E"/>
    <w:rsid w:val="00CE1997"/>
    <w:rsid w:val="00CE1AA1"/>
    <w:rsid w:val="00CE1B23"/>
    <w:rsid w:val="00CE1BB8"/>
    <w:rsid w:val="00CE1BF4"/>
    <w:rsid w:val="00CE1C8E"/>
    <w:rsid w:val="00CE1DCA"/>
    <w:rsid w:val="00CE1E07"/>
    <w:rsid w:val="00CE1E2B"/>
    <w:rsid w:val="00CE1E3C"/>
    <w:rsid w:val="00CE1EC8"/>
    <w:rsid w:val="00CE1EF6"/>
    <w:rsid w:val="00CE1F79"/>
    <w:rsid w:val="00CE1F82"/>
    <w:rsid w:val="00CE20A3"/>
    <w:rsid w:val="00CE2142"/>
    <w:rsid w:val="00CE228F"/>
    <w:rsid w:val="00CE23A6"/>
    <w:rsid w:val="00CE23B2"/>
    <w:rsid w:val="00CE2413"/>
    <w:rsid w:val="00CE24DE"/>
    <w:rsid w:val="00CE2523"/>
    <w:rsid w:val="00CE252B"/>
    <w:rsid w:val="00CE2575"/>
    <w:rsid w:val="00CE25F1"/>
    <w:rsid w:val="00CE2627"/>
    <w:rsid w:val="00CE2652"/>
    <w:rsid w:val="00CE2669"/>
    <w:rsid w:val="00CE2725"/>
    <w:rsid w:val="00CE2746"/>
    <w:rsid w:val="00CE2787"/>
    <w:rsid w:val="00CE28D9"/>
    <w:rsid w:val="00CE2B19"/>
    <w:rsid w:val="00CE2B4D"/>
    <w:rsid w:val="00CE2E0B"/>
    <w:rsid w:val="00CE2E12"/>
    <w:rsid w:val="00CE2E68"/>
    <w:rsid w:val="00CE2F55"/>
    <w:rsid w:val="00CE309E"/>
    <w:rsid w:val="00CE30ED"/>
    <w:rsid w:val="00CE3147"/>
    <w:rsid w:val="00CE3221"/>
    <w:rsid w:val="00CE322B"/>
    <w:rsid w:val="00CE32CA"/>
    <w:rsid w:val="00CE32F5"/>
    <w:rsid w:val="00CE33D0"/>
    <w:rsid w:val="00CE33D4"/>
    <w:rsid w:val="00CE345B"/>
    <w:rsid w:val="00CE3474"/>
    <w:rsid w:val="00CE3492"/>
    <w:rsid w:val="00CE34CA"/>
    <w:rsid w:val="00CE35DA"/>
    <w:rsid w:val="00CE365B"/>
    <w:rsid w:val="00CE3674"/>
    <w:rsid w:val="00CE36B0"/>
    <w:rsid w:val="00CE36D1"/>
    <w:rsid w:val="00CE36F5"/>
    <w:rsid w:val="00CE3787"/>
    <w:rsid w:val="00CE37CC"/>
    <w:rsid w:val="00CE37CF"/>
    <w:rsid w:val="00CE37F0"/>
    <w:rsid w:val="00CE37F3"/>
    <w:rsid w:val="00CE37F8"/>
    <w:rsid w:val="00CE3867"/>
    <w:rsid w:val="00CE386E"/>
    <w:rsid w:val="00CE38AE"/>
    <w:rsid w:val="00CE38B3"/>
    <w:rsid w:val="00CE38DF"/>
    <w:rsid w:val="00CE392C"/>
    <w:rsid w:val="00CE3959"/>
    <w:rsid w:val="00CE3986"/>
    <w:rsid w:val="00CE39A7"/>
    <w:rsid w:val="00CE39D1"/>
    <w:rsid w:val="00CE3A52"/>
    <w:rsid w:val="00CE3B6A"/>
    <w:rsid w:val="00CE3C46"/>
    <w:rsid w:val="00CE3CB2"/>
    <w:rsid w:val="00CE3D59"/>
    <w:rsid w:val="00CE3DB4"/>
    <w:rsid w:val="00CE3F00"/>
    <w:rsid w:val="00CE3F6C"/>
    <w:rsid w:val="00CE401C"/>
    <w:rsid w:val="00CE4063"/>
    <w:rsid w:val="00CE406A"/>
    <w:rsid w:val="00CE40FB"/>
    <w:rsid w:val="00CE4149"/>
    <w:rsid w:val="00CE4150"/>
    <w:rsid w:val="00CE41F6"/>
    <w:rsid w:val="00CE41FA"/>
    <w:rsid w:val="00CE421F"/>
    <w:rsid w:val="00CE42C8"/>
    <w:rsid w:val="00CE42D7"/>
    <w:rsid w:val="00CE432C"/>
    <w:rsid w:val="00CE4361"/>
    <w:rsid w:val="00CE4429"/>
    <w:rsid w:val="00CE452D"/>
    <w:rsid w:val="00CE454C"/>
    <w:rsid w:val="00CE458E"/>
    <w:rsid w:val="00CE459B"/>
    <w:rsid w:val="00CE459D"/>
    <w:rsid w:val="00CE4744"/>
    <w:rsid w:val="00CE476E"/>
    <w:rsid w:val="00CE4781"/>
    <w:rsid w:val="00CE47A5"/>
    <w:rsid w:val="00CE48E0"/>
    <w:rsid w:val="00CE498B"/>
    <w:rsid w:val="00CE4A32"/>
    <w:rsid w:val="00CE4A94"/>
    <w:rsid w:val="00CE4B21"/>
    <w:rsid w:val="00CE4B35"/>
    <w:rsid w:val="00CE4B3A"/>
    <w:rsid w:val="00CE4B8E"/>
    <w:rsid w:val="00CE4B91"/>
    <w:rsid w:val="00CE4BE4"/>
    <w:rsid w:val="00CE4CE2"/>
    <w:rsid w:val="00CE4D08"/>
    <w:rsid w:val="00CE4D56"/>
    <w:rsid w:val="00CE4DAE"/>
    <w:rsid w:val="00CE4E28"/>
    <w:rsid w:val="00CE4E33"/>
    <w:rsid w:val="00CE4E69"/>
    <w:rsid w:val="00CE502F"/>
    <w:rsid w:val="00CE5214"/>
    <w:rsid w:val="00CE52A6"/>
    <w:rsid w:val="00CE5336"/>
    <w:rsid w:val="00CE5366"/>
    <w:rsid w:val="00CE537C"/>
    <w:rsid w:val="00CE537E"/>
    <w:rsid w:val="00CE53B8"/>
    <w:rsid w:val="00CE53D6"/>
    <w:rsid w:val="00CE53F0"/>
    <w:rsid w:val="00CE5429"/>
    <w:rsid w:val="00CE544C"/>
    <w:rsid w:val="00CE54C4"/>
    <w:rsid w:val="00CE5569"/>
    <w:rsid w:val="00CE55AD"/>
    <w:rsid w:val="00CE567B"/>
    <w:rsid w:val="00CE5739"/>
    <w:rsid w:val="00CE574F"/>
    <w:rsid w:val="00CE577C"/>
    <w:rsid w:val="00CE578A"/>
    <w:rsid w:val="00CE5798"/>
    <w:rsid w:val="00CE579C"/>
    <w:rsid w:val="00CE57C8"/>
    <w:rsid w:val="00CE5800"/>
    <w:rsid w:val="00CE5938"/>
    <w:rsid w:val="00CE5975"/>
    <w:rsid w:val="00CE59A3"/>
    <w:rsid w:val="00CE59AC"/>
    <w:rsid w:val="00CE59B0"/>
    <w:rsid w:val="00CE59F8"/>
    <w:rsid w:val="00CE5ACD"/>
    <w:rsid w:val="00CE5AD4"/>
    <w:rsid w:val="00CE5B61"/>
    <w:rsid w:val="00CE5BC3"/>
    <w:rsid w:val="00CE5C05"/>
    <w:rsid w:val="00CE5C1B"/>
    <w:rsid w:val="00CE5CDF"/>
    <w:rsid w:val="00CE5D28"/>
    <w:rsid w:val="00CE5D99"/>
    <w:rsid w:val="00CE5DBD"/>
    <w:rsid w:val="00CE5DF2"/>
    <w:rsid w:val="00CE5E68"/>
    <w:rsid w:val="00CE5EB0"/>
    <w:rsid w:val="00CE5F01"/>
    <w:rsid w:val="00CE5F15"/>
    <w:rsid w:val="00CE5F83"/>
    <w:rsid w:val="00CE5FD7"/>
    <w:rsid w:val="00CE6026"/>
    <w:rsid w:val="00CE6044"/>
    <w:rsid w:val="00CE6067"/>
    <w:rsid w:val="00CE60C5"/>
    <w:rsid w:val="00CE61AB"/>
    <w:rsid w:val="00CE6200"/>
    <w:rsid w:val="00CE626C"/>
    <w:rsid w:val="00CE62D2"/>
    <w:rsid w:val="00CE6333"/>
    <w:rsid w:val="00CE63B4"/>
    <w:rsid w:val="00CE63D8"/>
    <w:rsid w:val="00CE63DA"/>
    <w:rsid w:val="00CE63E3"/>
    <w:rsid w:val="00CE63F2"/>
    <w:rsid w:val="00CE642B"/>
    <w:rsid w:val="00CE6450"/>
    <w:rsid w:val="00CE6508"/>
    <w:rsid w:val="00CE65B0"/>
    <w:rsid w:val="00CE65BD"/>
    <w:rsid w:val="00CE6649"/>
    <w:rsid w:val="00CE66AA"/>
    <w:rsid w:val="00CE6702"/>
    <w:rsid w:val="00CE670E"/>
    <w:rsid w:val="00CE6751"/>
    <w:rsid w:val="00CE676A"/>
    <w:rsid w:val="00CE67C9"/>
    <w:rsid w:val="00CE6834"/>
    <w:rsid w:val="00CE6844"/>
    <w:rsid w:val="00CE6888"/>
    <w:rsid w:val="00CE689A"/>
    <w:rsid w:val="00CE68C8"/>
    <w:rsid w:val="00CE6938"/>
    <w:rsid w:val="00CE6946"/>
    <w:rsid w:val="00CE697B"/>
    <w:rsid w:val="00CE6991"/>
    <w:rsid w:val="00CE6A07"/>
    <w:rsid w:val="00CE6A4A"/>
    <w:rsid w:val="00CE6A82"/>
    <w:rsid w:val="00CE6AE0"/>
    <w:rsid w:val="00CE6AF0"/>
    <w:rsid w:val="00CE6B94"/>
    <w:rsid w:val="00CE6C73"/>
    <w:rsid w:val="00CE6CDF"/>
    <w:rsid w:val="00CE6D39"/>
    <w:rsid w:val="00CE6D7A"/>
    <w:rsid w:val="00CE6E5F"/>
    <w:rsid w:val="00CE6F89"/>
    <w:rsid w:val="00CE6FCA"/>
    <w:rsid w:val="00CE700E"/>
    <w:rsid w:val="00CE7072"/>
    <w:rsid w:val="00CE7075"/>
    <w:rsid w:val="00CE70CB"/>
    <w:rsid w:val="00CE70E7"/>
    <w:rsid w:val="00CE7126"/>
    <w:rsid w:val="00CE71F8"/>
    <w:rsid w:val="00CE7296"/>
    <w:rsid w:val="00CE736C"/>
    <w:rsid w:val="00CE7374"/>
    <w:rsid w:val="00CE73F7"/>
    <w:rsid w:val="00CE742C"/>
    <w:rsid w:val="00CE749C"/>
    <w:rsid w:val="00CE74AC"/>
    <w:rsid w:val="00CE74B5"/>
    <w:rsid w:val="00CE74BB"/>
    <w:rsid w:val="00CE74C6"/>
    <w:rsid w:val="00CE752E"/>
    <w:rsid w:val="00CE7534"/>
    <w:rsid w:val="00CE754F"/>
    <w:rsid w:val="00CE756E"/>
    <w:rsid w:val="00CE7580"/>
    <w:rsid w:val="00CE7634"/>
    <w:rsid w:val="00CE763F"/>
    <w:rsid w:val="00CE778F"/>
    <w:rsid w:val="00CE7833"/>
    <w:rsid w:val="00CE7873"/>
    <w:rsid w:val="00CE78FF"/>
    <w:rsid w:val="00CE7964"/>
    <w:rsid w:val="00CE79D2"/>
    <w:rsid w:val="00CE79E2"/>
    <w:rsid w:val="00CE7A0A"/>
    <w:rsid w:val="00CE7A92"/>
    <w:rsid w:val="00CE7AB6"/>
    <w:rsid w:val="00CE7ADE"/>
    <w:rsid w:val="00CE7B52"/>
    <w:rsid w:val="00CE7C66"/>
    <w:rsid w:val="00CE7CA1"/>
    <w:rsid w:val="00CE7CD3"/>
    <w:rsid w:val="00CE7D2C"/>
    <w:rsid w:val="00CE7D8C"/>
    <w:rsid w:val="00CE7DE6"/>
    <w:rsid w:val="00CE7F12"/>
    <w:rsid w:val="00CE7F6F"/>
    <w:rsid w:val="00CE7F79"/>
    <w:rsid w:val="00CE7F8E"/>
    <w:rsid w:val="00CE7FE4"/>
    <w:rsid w:val="00CF0058"/>
    <w:rsid w:val="00CF007F"/>
    <w:rsid w:val="00CF00A7"/>
    <w:rsid w:val="00CF020A"/>
    <w:rsid w:val="00CF0270"/>
    <w:rsid w:val="00CF027F"/>
    <w:rsid w:val="00CF0321"/>
    <w:rsid w:val="00CF03A0"/>
    <w:rsid w:val="00CF03C2"/>
    <w:rsid w:val="00CF03CA"/>
    <w:rsid w:val="00CF03D5"/>
    <w:rsid w:val="00CF04D0"/>
    <w:rsid w:val="00CF04E2"/>
    <w:rsid w:val="00CF0594"/>
    <w:rsid w:val="00CF0676"/>
    <w:rsid w:val="00CF069C"/>
    <w:rsid w:val="00CF071F"/>
    <w:rsid w:val="00CF07BB"/>
    <w:rsid w:val="00CF07EC"/>
    <w:rsid w:val="00CF07F5"/>
    <w:rsid w:val="00CF07FA"/>
    <w:rsid w:val="00CF0928"/>
    <w:rsid w:val="00CF097D"/>
    <w:rsid w:val="00CF099F"/>
    <w:rsid w:val="00CF0A21"/>
    <w:rsid w:val="00CF0A40"/>
    <w:rsid w:val="00CF0A64"/>
    <w:rsid w:val="00CF0A87"/>
    <w:rsid w:val="00CF0B07"/>
    <w:rsid w:val="00CF0B50"/>
    <w:rsid w:val="00CF0BB6"/>
    <w:rsid w:val="00CF0BCB"/>
    <w:rsid w:val="00CF0C5C"/>
    <w:rsid w:val="00CF0CAB"/>
    <w:rsid w:val="00CF0D1B"/>
    <w:rsid w:val="00CF0D35"/>
    <w:rsid w:val="00CF0D85"/>
    <w:rsid w:val="00CF0E3D"/>
    <w:rsid w:val="00CF0E74"/>
    <w:rsid w:val="00CF0EAF"/>
    <w:rsid w:val="00CF1022"/>
    <w:rsid w:val="00CF117A"/>
    <w:rsid w:val="00CF119A"/>
    <w:rsid w:val="00CF11C0"/>
    <w:rsid w:val="00CF121B"/>
    <w:rsid w:val="00CF1229"/>
    <w:rsid w:val="00CF1245"/>
    <w:rsid w:val="00CF12A2"/>
    <w:rsid w:val="00CF12CD"/>
    <w:rsid w:val="00CF1387"/>
    <w:rsid w:val="00CF1396"/>
    <w:rsid w:val="00CF13DC"/>
    <w:rsid w:val="00CF149C"/>
    <w:rsid w:val="00CF1513"/>
    <w:rsid w:val="00CF1523"/>
    <w:rsid w:val="00CF154B"/>
    <w:rsid w:val="00CF160A"/>
    <w:rsid w:val="00CF1643"/>
    <w:rsid w:val="00CF1719"/>
    <w:rsid w:val="00CF1733"/>
    <w:rsid w:val="00CF177F"/>
    <w:rsid w:val="00CF17B1"/>
    <w:rsid w:val="00CF17D2"/>
    <w:rsid w:val="00CF190D"/>
    <w:rsid w:val="00CF1964"/>
    <w:rsid w:val="00CF1A9E"/>
    <w:rsid w:val="00CF1AC3"/>
    <w:rsid w:val="00CF1B75"/>
    <w:rsid w:val="00CF1BAA"/>
    <w:rsid w:val="00CF1C38"/>
    <w:rsid w:val="00CF1C4D"/>
    <w:rsid w:val="00CF1C64"/>
    <w:rsid w:val="00CF1D11"/>
    <w:rsid w:val="00CF1D26"/>
    <w:rsid w:val="00CF1D64"/>
    <w:rsid w:val="00CF1D8E"/>
    <w:rsid w:val="00CF1F16"/>
    <w:rsid w:val="00CF1FC0"/>
    <w:rsid w:val="00CF2026"/>
    <w:rsid w:val="00CF20DB"/>
    <w:rsid w:val="00CF212D"/>
    <w:rsid w:val="00CF2130"/>
    <w:rsid w:val="00CF2153"/>
    <w:rsid w:val="00CF223D"/>
    <w:rsid w:val="00CF22E1"/>
    <w:rsid w:val="00CF230B"/>
    <w:rsid w:val="00CF2314"/>
    <w:rsid w:val="00CF2350"/>
    <w:rsid w:val="00CF2454"/>
    <w:rsid w:val="00CF2491"/>
    <w:rsid w:val="00CF24F8"/>
    <w:rsid w:val="00CF2522"/>
    <w:rsid w:val="00CF2523"/>
    <w:rsid w:val="00CF252F"/>
    <w:rsid w:val="00CF2681"/>
    <w:rsid w:val="00CF26D5"/>
    <w:rsid w:val="00CF279A"/>
    <w:rsid w:val="00CF27BC"/>
    <w:rsid w:val="00CF27F0"/>
    <w:rsid w:val="00CF287B"/>
    <w:rsid w:val="00CF299A"/>
    <w:rsid w:val="00CF29A7"/>
    <w:rsid w:val="00CF29D4"/>
    <w:rsid w:val="00CF2ACF"/>
    <w:rsid w:val="00CF2B14"/>
    <w:rsid w:val="00CF2B32"/>
    <w:rsid w:val="00CF2B4C"/>
    <w:rsid w:val="00CF2B6C"/>
    <w:rsid w:val="00CF2B8F"/>
    <w:rsid w:val="00CF2BA9"/>
    <w:rsid w:val="00CF2CB9"/>
    <w:rsid w:val="00CF2CC6"/>
    <w:rsid w:val="00CF2D38"/>
    <w:rsid w:val="00CF2D63"/>
    <w:rsid w:val="00CF2DA1"/>
    <w:rsid w:val="00CF2DAB"/>
    <w:rsid w:val="00CF2DAF"/>
    <w:rsid w:val="00CF2E24"/>
    <w:rsid w:val="00CF2E26"/>
    <w:rsid w:val="00CF2E54"/>
    <w:rsid w:val="00CF2E89"/>
    <w:rsid w:val="00CF2EC7"/>
    <w:rsid w:val="00CF2ED2"/>
    <w:rsid w:val="00CF2F3D"/>
    <w:rsid w:val="00CF2F53"/>
    <w:rsid w:val="00CF2FA3"/>
    <w:rsid w:val="00CF2FEE"/>
    <w:rsid w:val="00CF2FFF"/>
    <w:rsid w:val="00CF30AB"/>
    <w:rsid w:val="00CF3162"/>
    <w:rsid w:val="00CF323E"/>
    <w:rsid w:val="00CF3282"/>
    <w:rsid w:val="00CF32A2"/>
    <w:rsid w:val="00CF32BD"/>
    <w:rsid w:val="00CF3339"/>
    <w:rsid w:val="00CF334D"/>
    <w:rsid w:val="00CF3359"/>
    <w:rsid w:val="00CF3361"/>
    <w:rsid w:val="00CF33CA"/>
    <w:rsid w:val="00CF33FF"/>
    <w:rsid w:val="00CF34B3"/>
    <w:rsid w:val="00CF34D0"/>
    <w:rsid w:val="00CF3519"/>
    <w:rsid w:val="00CF3531"/>
    <w:rsid w:val="00CF354E"/>
    <w:rsid w:val="00CF35C7"/>
    <w:rsid w:val="00CF3707"/>
    <w:rsid w:val="00CF3715"/>
    <w:rsid w:val="00CF371E"/>
    <w:rsid w:val="00CF3744"/>
    <w:rsid w:val="00CF380E"/>
    <w:rsid w:val="00CF3813"/>
    <w:rsid w:val="00CF3872"/>
    <w:rsid w:val="00CF39A6"/>
    <w:rsid w:val="00CF39AC"/>
    <w:rsid w:val="00CF3AA4"/>
    <w:rsid w:val="00CF3ACB"/>
    <w:rsid w:val="00CF3B30"/>
    <w:rsid w:val="00CF3BE8"/>
    <w:rsid w:val="00CF3C3F"/>
    <w:rsid w:val="00CF3C45"/>
    <w:rsid w:val="00CF3D95"/>
    <w:rsid w:val="00CF3E07"/>
    <w:rsid w:val="00CF3E73"/>
    <w:rsid w:val="00CF3F75"/>
    <w:rsid w:val="00CF3FAB"/>
    <w:rsid w:val="00CF4048"/>
    <w:rsid w:val="00CF406F"/>
    <w:rsid w:val="00CF4190"/>
    <w:rsid w:val="00CF4197"/>
    <w:rsid w:val="00CF419B"/>
    <w:rsid w:val="00CF4231"/>
    <w:rsid w:val="00CF42AA"/>
    <w:rsid w:val="00CF432D"/>
    <w:rsid w:val="00CF43C5"/>
    <w:rsid w:val="00CF43F0"/>
    <w:rsid w:val="00CF44AC"/>
    <w:rsid w:val="00CF44F3"/>
    <w:rsid w:val="00CF4613"/>
    <w:rsid w:val="00CF4632"/>
    <w:rsid w:val="00CF4650"/>
    <w:rsid w:val="00CF4722"/>
    <w:rsid w:val="00CF476F"/>
    <w:rsid w:val="00CF4782"/>
    <w:rsid w:val="00CF47BF"/>
    <w:rsid w:val="00CF4840"/>
    <w:rsid w:val="00CF48CF"/>
    <w:rsid w:val="00CF4976"/>
    <w:rsid w:val="00CF4998"/>
    <w:rsid w:val="00CF4AB5"/>
    <w:rsid w:val="00CF4AB9"/>
    <w:rsid w:val="00CF4BCF"/>
    <w:rsid w:val="00CF4CF3"/>
    <w:rsid w:val="00CF4D0F"/>
    <w:rsid w:val="00CF4D1E"/>
    <w:rsid w:val="00CF4D54"/>
    <w:rsid w:val="00CF4EF1"/>
    <w:rsid w:val="00CF4EF4"/>
    <w:rsid w:val="00CF4FAC"/>
    <w:rsid w:val="00CF5071"/>
    <w:rsid w:val="00CF508C"/>
    <w:rsid w:val="00CF50CA"/>
    <w:rsid w:val="00CF50CD"/>
    <w:rsid w:val="00CF518B"/>
    <w:rsid w:val="00CF51B1"/>
    <w:rsid w:val="00CF5213"/>
    <w:rsid w:val="00CF5217"/>
    <w:rsid w:val="00CF5239"/>
    <w:rsid w:val="00CF52CE"/>
    <w:rsid w:val="00CF534D"/>
    <w:rsid w:val="00CF53AE"/>
    <w:rsid w:val="00CF5491"/>
    <w:rsid w:val="00CF54E0"/>
    <w:rsid w:val="00CF54E6"/>
    <w:rsid w:val="00CF54F7"/>
    <w:rsid w:val="00CF5513"/>
    <w:rsid w:val="00CF555E"/>
    <w:rsid w:val="00CF56A1"/>
    <w:rsid w:val="00CF56A2"/>
    <w:rsid w:val="00CF57D9"/>
    <w:rsid w:val="00CF5807"/>
    <w:rsid w:val="00CF5854"/>
    <w:rsid w:val="00CF58CD"/>
    <w:rsid w:val="00CF58D0"/>
    <w:rsid w:val="00CF5918"/>
    <w:rsid w:val="00CF5977"/>
    <w:rsid w:val="00CF59A0"/>
    <w:rsid w:val="00CF59B6"/>
    <w:rsid w:val="00CF59EC"/>
    <w:rsid w:val="00CF5A2B"/>
    <w:rsid w:val="00CF5A63"/>
    <w:rsid w:val="00CF5A98"/>
    <w:rsid w:val="00CF5B4A"/>
    <w:rsid w:val="00CF5B80"/>
    <w:rsid w:val="00CF5B87"/>
    <w:rsid w:val="00CF5B8D"/>
    <w:rsid w:val="00CF5C64"/>
    <w:rsid w:val="00CF5CB6"/>
    <w:rsid w:val="00CF5D71"/>
    <w:rsid w:val="00CF5E1E"/>
    <w:rsid w:val="00CF5E67"/>
    <w:rsid w:val="00CF5F1A"/>
    <w:rsid w:val="00CF5FAB"/>
    <w:rsid w:val="00CF5FD7"/>
    <w:rsid w:val="00CF5FDE"/>
    <w:rsid w:val="00CF6065"/>
    <w:rsid w:val="00CF606B"/>
    <w:rsid w:val="00CF60F7"/>
    <w:rsid w:val="00CF6130"/>
    <w:rsid w:val="00CF6163"/>
    <w:rsid w:val="00CF61E1"/>
    <w:rsid w:val="00CF6216"/>
    <w:rsid w:val="00CF6255"/>
    <w:rsid w:val="00CF628A"/>
    <w:rsid w:val="00CF62AC"/>
    <w:rsid w:val="00CF62BB"/>
    <w:rsid w:val="00CF6326"/>
    <w:rsid w:val="00CF6342"/>
    <w:rsid w:val="00CF63AB"/>
    <w:rsid w:val="00CF63CC"/>
    <w:rsid w:val="00CF6428"/>
    <w:rsid w:val="00CF6447"/>
    <w:rsid w:val="00CF64B8"/>
    <w:rsid w:val="00CF651B"/>
    <w:rsid w:val="00CF6527"/>
    <w:rsid w:val="00CF6606"/>
    <w:rsid w:val="00CF6650"/>
    <w:rsid w:val="00CF6728"/>
    <w:rsid w:val="00CF6757"/>
    <w:rsid w:val="00CF6788"/>
    <w:rsid w:val="00CF67F6"/>
    <w:rsid w:val="00CF6855"/>
    <w:rsid w:val="00CF6942"/>
    <w:rsid w:val="00CF69B4"/>
    <w:rsid w:val="00CF6A2C"/>
    <w:rsid w:val="00CF6A2F"/>
    <w:rsid w:val="00CF6A96"/>
    <w:rsid w:val="00CF6A9D"/>
    <w:rsid w:val="00CF6B13"/>
    <w:rsid w:val="00CF6B14"/>
    <w:rsid w:val="00CF6BCF"/>
    <w:rsid w:val="00CF6BEB"/>
    <w:rsid w:val="00CF6BFD"/>
    <w:rsid w:val="00CF6C3F"/>
    <w:rsid w:val="00CF6C40"/>
    <w:rsid w:val="00CF6C83"/>
    <w:rsid w:val="00CF6CA2"/>
    <w:rsid w:val="00CF6DDA"/>
    <w:rsid w:val="00CF6F57"/>
    <w:rsid w:val="00CF7063"/>
    <w:rsid w:val="00CF70C6"/>
    <w:rsid w:val="00CF70FB"/>
    <w:rsid w:val="00CF71F7"/>
    <w:rsid w:val="00CF723E"/>
    <w:rsid w:val="00CF72A8"/>
    <w:rsid w:val="00CF72B2"/>
    <w:rsid w:val="00CF73CF"/>
    <w:rsid w:val="00CF75CC"/>
    <w:rsid w:val="00CF75FF"/>
    <w:rsid w:val="00CF7621"/>
    <w:rsid w:val="00CF768F"/>
    <w:rsid w:val="00CF76BA"/>
    <w:rsid w:val="00CF7701"/>
    <w:rsid w:val="00CF77C4"/>
    <w:rsid w:val="00CF77F6"/>
    <w:rsid w:val="00CF784B"/>
    <w:rsid w:val="00CF786B"/>
    <w:rsid w:val="00CF78AF"/>
    <w:rsid w:val="00CF78EB"/>
    <w:rsid w:val="00CF795C"/>
    <w:rsid w:val="00CF79C5"/>
    <w:rsid w:val="00CF79F4"/>
    <w:rsid w:val="00CF79FA"/>
    <w:rsid w:val="00CF7AD7"/>
    <w:rsid w:val="00CF7B32"/>
    <w:rsid w:val="00CF7B34"/>
    <w:rsid w:val="00CF7BB5"/>
    <w:rsid w:val="00CF7BE3"/>
    <w:rsid w:val="00CF7C4D"/>
    <w:rsid w:val="00CF7C71"/>
    <w:rsid w:val="00CF7CB5"/>
    <w:rsid w:val="00CF7CC1"/>
    <w:rsid w:val="00CF7DA3"/>
    <w:rsid w:val="00CF7DAC"/>
    <w:rsid w:val="00CF7DC8"/>
    <w:rsid w:val="00CF7DD9"/>
    <w:rsid w:val="00CF7F05"/>
    <w:rsid w:val="00CF7FEE"/>
    <w:rsid w:val="00D0005C"/>
    <w:rsid w:val="00D000D6"/>
    <w:rsid w:val="00D0014C"/>
    <w:rsid w:val="00D001E0"/>
    <w:rsid w:val="00D00219"/>
    <w:rsid w:val="00D00235"/>
    <w:rsid w:val="00D002AA"/>
    <w:rsid w:val="00D002D7"/>
    <w:rsid w:val="00D0034F"/>
    <w:rsid w:val="00D00352"/>
    <w:rsid w:val="00D003BC"/>
    <w:rsid w:val="00D004B7"/>
    <w:rsid w:val="00D0055C"/>
    <w:rsid w:val="00D0063C"/>
    <w:rsid w:val="00D00654"/>
    <w:rsid w:val="00D0068B"/>
    <w:rsid w:val="00D00859"/>
    <w:rsid w:val="00D0088E"/>
    <w:rsid w:val="00D008E0"/>
    <w:rsid w:val="00D0090A"/>
    <w:rsid w:val="00D00951"/>
    <w:rsid w:val="00D00991"/>
    <w:rsid w:val="00D00997"/>
    <w:rsid w:val="00D009C3"/>
    <w:rsid w:val="00D00A65"/>
    <w:rsid w:val="00D00AAA"/>
    <w:rsid w:val="00D00B3F"/>
    <w:rsid w:val="00D00B51"/>
    <w:rsid w:val="00D00BF0"/>
    <w:rsid w:val="00D00CE0"/>
    <w:rsid w:val="00D00CFA"/>
    <w:rsid w:val="00D00E10"/>
    <w:rsid w:val="00D00E82"/>
    <w:rsid w:val="00D00FB1"/>
    <w:rsid w:val="00D00FE3"/>
    <w:rsid w:val="00D0104A"/>
    <w:rsid w:val="00D010CB"/>
    <w:rsid w:val="00D010F1"/>
    <w:rsid w:val="00D010F4"/>
    <w:rsid w:val="00D01130"/>
    <w:rsid w:val="00D0121C"/>
    <w:rsid w:val="00D0126B"/>
    <w:rsid w:val="00D012C8"/>
    <w:rsid w:val="00D015C1"/>
    <w:rsid w:val="00D015CD"/>
    <w:rsid w:val="00D01637"/>
    <w:rsid w:val="00D0166C"/>
    <w:rsid w:val="00D0168B"/>
    <w:rsid w:val="00D0170A"/>
    <w:rsid w:val="00D017D3"/>
    <w:rsid w:val="00D017E2"/>
    <w:rsid w:val="00D0181D"/>
    <w:rsid w:val="00D0183E"/>
    <w:rsid w:val="00D01948"/>
    <w:rsid w:val="00D01A4E"/>
    <w:rsid w:val="00D01A65"/>
    <w:rsid w:val="00D01A7F"/>
    <w:rsid w:val="00D01A82"/>
    <w:rsid w:val="00D01A97"/>
    <w:rsid w:val="00D01AD6"/>
    <w:rsid w:val="00D01B7B"/>
    <w:rsid w:val="00D01BDD"/>
    <w:rsid w:val="00D01C1C"/>
    <w:rsid w:val="00D01C24"/>
    <w:rsid w:val="00D01D0A"/>
    <w:rsid w:val="00D01D4A"/>
    <w:rsid w:val="00D01D50"/>
    <w:rsid w:val="00D01EC2"/>
    <w:rsid w:val="00D01F0A"/>
    <w:rsid w:val="00D01F51"/>
    <w:rsid w:val="00D020AA"/>
    <w:rsid w:val="00D02105"/>
    <w:rsid w:val="00D02208"/>
    <w:rsid w:val="00D02234"/>
    <w:rsid w:val="00D022D6"/>
    <w:rsid w:val="00D02394"/>
    <w:rsid w:val="00D023AA"/>
    <w:rsid w:val="00D023D5"/>
    <w:rsid w:val="00D0259B"/>
    <w:rsid w:val="00D0259D"/>
    <w:rsid w:val="00D0260A"/>
    <w:rsid w:val="00D0266D"/>
    <w:rsid w:val="00D02758"/>
    <w:rsid w:val="00D02835"/>
    <w:rsid w:val="00D02898"/>
    <w:rsid w:val="00D02915"/>
    <w:rsid w:val="00D0292D"/>
    <w:rsid w:val="00D029F6"/>
    <w:rsid w:val="00D02AFE"/>
    <w:rsid w:val="00D02B7A"/>
    <w:rsid w:val="00D02BA5"/>
    <w:rsid w:val="00D02C16"/>
    <w:rsid w:val="00D02C59"/>
    <w:rsid w:val="00D02D89"/>
    <w:rsid w:val="00D02DDE"/>
    <w:rsid w:val="00D02DFA"/>
    <w:rsid w:val="00D02E05"/>
    <w:rsid w:val="00D02EA2"/>
    <w:rsid w:val="00D02EEF"/>
    <w:rsid w:val="00D02F24"/>
    <w:rsid w:val="00D02F72"/>
    <w:rsid w:val="00D02FBF"/>
    <w:rsid w:val="00D02FE4"/>
    <w:rsid w:val="00D0306C"/>
    <w:rsid w:val="00D03074"/>
    <w:rsid w:val="00D0317F"/>
    <w:rsid w:val="00D03246"/>
    <w:rsid w:val="00D032A7"/>
    <w:rsid w:val="00D0337F"/>
    <w:rsid w:val="00D033EA"/>
    <w:rsid w:val="00D0347A"/>
    <w:rsid w:val="00D0348C"/>
    <w:rsid w:val="00D034E2"/>
    <w:rsid w:val="00D03502"/>
    <w:rsid w:val="00D0359C"/>
    <w:rsid w:val="00D03603"/>
    <w:rsid w:val="00D03657"/>
    <w:rsid w:val="00D036FA"/>
    <w:rsid w:val="00D0371D"/>
    <w:rsid w:val="00D0371E"/>
    <w:rsid w:val="00D038A9"/>
    <w:rsid w:val="00D038AA"/>
    <w:rsid w:val="00D038AF"/>
    <w:rsid w:val="00D0392B"/>
    <w:rsid w:val="00D03947"/>
    <w:rsid w:val="00D03962"/>
    <w:rsid w:val="00D039B8"/>
    <w:rsid w:val="00D03A4D"/>
    <w:rsid w:val="00D03A69"/>
    <w:rsid w:val="00D03ACB"/>
    <w:rsid w:val="00D03BBF"/>
    <w:rsid w:val="00D03C2A"/>
    <w:rsid w:val="00D03C77"/>
    <w:rsid w:val="00D03C93"/>
    <w:rsid w:val="00D03CFE"/>
    <w:rsid w:val="00D03DE0"/>
    <w:rsid w:val="00D03E15"/>
    <w:rsid w:val="00D03E6F"/>
    <w:rsid w:val="00D03EA4"/>
    <w:rsid w:val="00D03F1D"/>
    <w:rsid w:val="00D03F75"/>
    <w:rsid w:val="00D04036"/>
    <w:rsid w:val="00D04122"/>
    <w:rsid w:val="00D041C8"/>
    <w:rsid w:val="00D0428D"/>
    <w:rsid w:val="00D04296"/>
    <w:rsid w:val="00D042D9"/>
    <w:rsid w:val="00D04359"/>
    <w:rsid w:val="00D0437C"/>
    <w:rsid w:val="00D0438F"/>
    <w:rsid w:val="00D043D4"/>
    <w:rsid w:val="00D04420"/>
    <w:rsid w:val="00D0444A"/>
    <w:rsid w:val="00D0446D"/>
    <w:rsid w:val="00D044AF"/>
    <w:rsid w:val="00D04501"/>
    <w:rsid w:val="00D0460D"/>
    <w:rsid w:val="00D0462B"/>
    <w:rsid w:val="00D0468F"/>
    <w:rsid w:val="00D046D1"/>
    <w:rsid w:val="00D04736"/>
    <w:rsid w:val="00D047B1"/>
    <w:rsid w:val="00D04830"/>
    <w:rsid w:val="00D04849"/>
    <w:rsid w:val="00D0485D"/>
    <w:rsid w:val="00D0486E"/>
    <w:rsid w:val="00D04933"/>
    <w:rsid w:val="00D0493F"/>
    <w:rsid w:val="00D04984"/>
    <w:rsid w:val="00D04995"/>
    <w:rsid w:val="00D049BD"/>
    <w:rsid w:val="00D04A2D"/>
    <w:rsid w:val="00D04A7C"/>
    <w:rsid w:val="00D04A81"/>
    <w:rsid w:val="00D04AB9"/>
    <w:rsid w:val="00D04AF3"/>
    <w:rsid w:val="00D04AFB"/>
    <w:rsid w:val="00D04B0A"/>
    <w:rsid w:val="00D04B14"/>
    <w:rsid w:val="00D04B5B"/>
    <w:rsid w:val="00D04C06"/>
    <w:rsid w:val="00D04C7F"/>
    <w:rsid w:val="00D04C95"/>
    <w:rsid w:val="00D04DB3"/>
    <w:rsid w:val="00D04DBD"/>
    <w:rsid w:val="00D04EC9"/>
    <w:rsid w:val="00D04ED0"/>
    <w:rsid w:val="00D04FAD"/>
    <w:rsid w:val="00D050DF"/>
    <w:rsid w:val="00D051A8"/>
    <w:rsid w:val="00D051BA"/>
    <w:rsid w:val="00D0521E"/>
    <w:rsid w:val="00D0525E"/>
    <w:rsid w:val="00D05276"/>
    <w:rsid w:val="00D0542F"/>
    <w:rsid w:val="00D05449"/>
    <w:rsid w:val="00D05465"/>
    <w:rsid w:val="00D054FC"/>
    <w:rsid w:val="00D0550B"/>
    <w:rsid w:val="00D0551F"/>
    <w:rsid w:val="00D0558D"/>
    <w:rsid w:val="00D055B3"/>
    <w:rsid w:val="00D05614"/>
    <w:rsid w:val="00D0563B"/>
    <w:rsid w:val="00D05655"/>
    <w:rsid w:val="00D05686"/>
    <w:rsid w:val="00D05746"/>
    <w:rsid w:val="00D05793"/>
    <w:rsid w:val="00D057AB"/>
    <w:rsid w:val="00D058B2"/>
    <w:rsid w:val="00D0593D"/>
    <w:rsid w:val="00D05948"/>
    <w:rsid w:val="00D0596B"/>
    <w:rsid w:val="00D05987"/>
    <w:rsid w:val="00D0598D"/>
    <w:rsid w:val="00D059B1"/>
    <w:rsid w:val="00D059D2"/>
    <w:rsid w:val="00D05B1D"/>
    <w:rsid w:val="00D05B24"/>
    <w:rsid w:val="00D05B58"/>
    <w:rsid w:val="00D05B7F"/>
    <w:rsid w:val="00D05C09"/>
    <w:rsid w:val="00D05D1D"/>
    <w:rsid w:val="00D05D29"/>
    <w:rsid w:val="00D05D86"/>
    <w:rsid w:val="00D05E02"/>
    <w:rsid w:val="00D05F4D"/>
    <w:rsid w:val="00D05F74"/>
    <w:rsid w:val="00D0600A"/>
    <w:rsid w:val="00D06056"/>
    <w:rsid w:val="00D06064"/>
    <w:rsid w:val="00D06090"/>
    <w:rsid w:val="00D060B3"/>
    <w:rsid w:val="00D060DD"/>
    <w:rsid w:val="00D060FE"/>
    <w:rsid w:val="00D06117"/>
    <w:rsid w:val="00D0621D"/>
    <w:rsid w:val="00D0625D"/>
    <w:rsid w:val="00D062FB"/>
    <w:rsid w:val="00D06438"/>
    <w:rsid w:val="00D064A0"/>
    <w:rsid w:val="00D064AF"/>
    <w:rsid w:val="00D06599"/>
    <w:rsid w:val="00D065D5"/>
    <w:rsid w:val="00D065D8"/>
    <w:rsid w:val="00D0662D"/>
    <w:rsid w:val="00D06656"/>
    <w:rsid w:val="00D0668F"/>
    <w:rsid w:val="00D066CA"/>
    <w:rsid w:val="00D06709"/>
    <w:rsid w:val="00D0671C"/>
    <w:rsid w:val="00D06769"/>
    <w:rsid w:val="00D067C5"/>
    <w:rsid w:val="00D067D1"/>
    <w:rsid w:val="00D06823"/>
    <w:rsid w:val="00D0683E"/>
    <w:rsid w:val="00D0688C"/>
    <w:rsid w:val="00D068BD"/>
    <w:rsid w:val="00D068D1"/>
    <w:rsid w:val="00D06921"/>
    <w:rsid w:val="00D0694B"/>
    <w:rsid w:val="00D06A29"/>
    <w:rsid w:val="00D06AFF"/>
    <w:rsid w:val="00D06B29"/>
    <w:rsid w:val="00D06B84"/>
    <w:rsid w:val="00D06C3F"/>
    <w:rsid w:val="00D06CE2"/>
    <w:rsid w:val="00D06D41"/>
    <w:rsid w:val="00D06DB7"/>
    <w:rsid w:val="00D06DD6"/>
    <w:rsid w:val="00D06E67"/>
    <w:rsid w:val="00D06EA9"/>
    <w:rsid w:val="00D06F5B"/>
    <w:rsid w:val="00D070E0"/>
    <w:rsid w:val="00D0712D"/>
    <w:rsid w:val="00D07165"/>
    <w:rsid w:val="00D071FF"/>
    <w:rsid w:val="00D0726B"/>
    <w:rsid w:val="00D0733B"/>
    <w:rsid w:val="00D07363"/>
    <w:rsid w:val="00D073B2"/>
    <w:rsid w:val="00D0748C"/>
    <w:rsid w:val="00D07634"/>
    <w:rsid w:val="00D07659"/>
    <w:rsid w:val="00D076A4"/>
    <w:rsid w:val="00D076D4"/>
    <w:rsid w:val="00D0778C"/>
    <w:rsid w:val="00D0786B"/>
    <w:rsid w:val="00D0792C"/>
    <w:rsid w:val="00D0799F"/>
    <w:rsid w:val="00D079C8"/>
    <w:rsid w:val="00D07A1B"/>
    <w:rsid w:val="00D07A1C"/>
    <w:rsid w:val="00D07A89"/>
    <w:rsid w:val="00D07ACB"/>
    <w:rsid w:val="00D07AEF"/>
    <w:rsid w:val="00D07B1A"/>
    <w:rsid w:val="00D07BE6"/>
    <w:rsid w:val="00D07C1A"/>
    <w:rsid w:val="00D07C3C"/>
    <w:rsid w:val="00D07C9D"/>
    <w:rsid w:val="00D07D05"/>
    <w:rsid w:val="00D07D70"/>
    <w:rsid w:val="00D07D73"/>
    <w:rsid w:val="00D07DDF"/>
    <w:rsid w:val="00D07E21"/>
    <w:rsid w:val="00D07E78"/>
    <w:rsid w:val="00D07EF9"/>
    <w:rsid w:val="00D07EFD"/>
    <w:rsid w:val="00D07F09"/>
    <w:rsid w:val="00D10008"/>
    <w:rsid w:val="00D10019"/>
    <w:rsid w:val="00D1002D"/>
    <w:rsid w:val="00D1007F"/>
    <w:rsid w:val="00D100C6"/>
    <w:rsid w:val="00D101F2"/>
    <w:rsid w:val="00D10215"/>
    <w:rsid w:val="00D102A7"/>
    <w:rsid w:val="00D10322"/>
    <w:rsid w:val="00D1032B"/>
    <w:rsid w:val="00D103D1"/>
    <w:rsid w:val="00D1047A"/>
    <w:rsid w:val="00D104D4"/>
    <w:rsid w:val="00D105C6"/>
    <w:rsid w:val="00D1064D"/>
    <w:rsid w:val="00D10781"/>
    <w:rsid w:val="00D107C2"/>
    <w:rsid w:val="00D1081F"/>
    <w:rsid w:val="00D1087D"/>
    <w:rsid w:val="00D108BB"/>
    <w:rsid w:val="00D10925"/>
    <w:rsid w:val="00D1092F"/>
    <w:rsid w:val="00D109FD"/>
    <w:rsid w:val="00D10A16"/>
    <w:rsid w:val="00D10A55"/>
    <w:rsid w:val="00D10A71"/>
    <w:rsid w:val="00D10B03"/>
    <w:rsid w:val="00D10B48"/>
    <w:rsid w:val="00D10B5C"/>
    <w:rsid w:val="00D10BA7"/>
    <w:rsid w:val="00D10BE1"/>
    <w:rsid w:val="00D10CFF"/>
    <w:rsid w:val="00D10E3C"/>
    <w:rsid w:val="00D10E60"/>
    <w:rsid w:val="00D10EC7"/>
    <w:rsid w:val="00D10EDB"/>
    <w:rsid w:val="00D10F02"/>
    <w:rsid w:val="00D11060"/>
    <w:rsid w:val="00D11094"/>
    <w:rsid w:val="00D110C7"/>
    <w:rsid w:val="00D11355"/>
    <w:rsid w:val="00D11395"/>
    <w:rsid w:val="00D113D4"/>
    <w:rsid w:val="00D113DC"/>
    <w:rsid w:val="00D113F6"/>
    <w:rsid w:val="00D1148C"/>
    <w:rsid w:val="00D114A5"/>
    <w:rsid w:val="00D114C8"/>
    <w:rsid w:val="00D1153F"/>
    <w:rsid w:val="00D1161D"/>
    <w:rsid w:val="00D1162B"/>
    <w:rsid w:val="00D11642"/>
    <w:rsid w:val="00D11667"/>
    <w:rsid w:val="00D1169D"/>
    <w:rsid w:val="00D117A8"/>
    <w:rsid w:val="00D1181A"/>
    <w:rsid w:val="00D11A05"/>
    <w:rsid w:val="00D11A6D"/>
    <w:rsid w:val="00D11C11"/>
    <w:rsid w:val="00D11C25"/>
    <w:rsid w:val="00D11C2A"/>
    <w:rsid w:val="00D11D07"/>
    <w:rsid w:val="00D11D71"/>
    <w:rsid w:val="00D11E16"/>
    <w:rsid w:val="00D11E89"/>
    <w:rsid w:val="00D11F7B"/>
    <w:rsid w:val="00D11FC1"/>
    <w:rsid w:val="00D120F6"/>
    <w:rsid w:val="00D121AC"/>
    <w:rsid w:val="00D12216"/>
    <w:rsid w:val="00D12254"/>
    <w:rsid w:val="00D1237C"/>
    <w:rsid w:val="00D1237F"/>
    <w:rsid w:val="00D123B2"/>
    <w:rsid w:val="00D12557"/>
    <w:rsid w:val="00D125AC"/>
    <w:rsid w:val="00D12687"/>
    <w:rsid w:val="00D126B8"/>
    <w:rsid w:val="00D12713"/>
    <w:rsid w:val="00D1272E"/>
    <w:rsid w:val="00D12768"/>
    <w:rsid w:val="00D1279A"/>
    <w:rsid w:val="00D12868"/>
    <w:rsid w:val="00D12886"/>
    <w:rsid w:val="00D1289E"/>
    <w:rsid w:val="00D128A9"/>
    <w:rsid w:val="00D128E7"/>
    <w:rsid w:val="00D128F2"/>
    <w:rsid w:val="00D1293E"/>
    <w:rsid w:val="00D12950"/>
    <w:rsid w:val="00D129C2"/>
    <w:rsid w:val="00D12B38"/>
    <w:rsid w:val="00D12B67"/>
    <w:rsid w:val="00D12B92"/>
    <w:rsid w:val="00D12BA7"/>
    <w:rsid w:val="00D12BB8"/>
    <w:rsid w:val="00D12C9C"/>
    <w:rsid w:val="00D12CA9"/>
    <w:rsid w:val="00D12D09"/>
    <w:rsid w:val="00D12DB5"/>
    <w:rsid w:val="00D12DF3"/>
    <w:rsid w:val="00D12E01"/>
    <w:rsid w:val="00D12F0F"/>
    <w:rsid w:val="00D12FDB"/>
    <w:rsid w:val="00D1307C"/>
    <w:rsid w:val="00D1312D"/>
    <w:rsid w:val="00D13264"/>
    <w:rsid w:val="00D132FB"/>
    <w:rsid w:val="00D133A4"/>
    <w:rsid w:val="00D13477"/>
    <w:rsid w:val="00D13479"/>
    <w:rsid w:val="00D134F4"/>
    <w:rsid w:val="00D13568"/>
    <w:rsid w:val="00D13597"/>
    <w:rsid w:val="00D13639"/>
    <w:rsid w:val="00D13672"/>
    <w:rsid w:val="00D13689"/>
    <w:rsid w:val="00D136AF"/>
    <w:rsid w:val="00D137FA"/>
    <w:rsid w:val="00D13841"/>
    <w:rsid w:val="00D13890"/>
    <w:rsid w:val="00D138E4"/>
    <w:rsid w:val="00D13951"/>
    <w:rsid w:val="00D13A52"/>
    <w:rsid w:val="00D13B13"/>
    <w:rsid w:val="00D13B1B"/>
    <w:rsid w:val="00D13B39"/>
    <w:rsid w:val="00D13B67"/>
    <w:rsid w:val="00D13BC6"/>
    <w:rsid w:val="00D13C0E"/>
    <w:rsid w:val="00D13CAA"/>
    <w:rsid w:val="00D13D08"/>
    <w:rsid w:val="00D13D0B"/>
    <w:rsid w:val="00D13D19"/>
    <w:rsid w:val="00D13E54"/>
    <w:rsid w:val="00D13E82"/>
    <w:rsid w:val="00D13E9E"/>
    <w:rsid w:val="00D13FB7"/>
    <w:rsid w:val="00D13FCE"/>
    <w:rsid w:val="00D14032"/>
    <w:rsid w:val="00D14037"/>
    <w:rsid w:val="00D14049"/>
    <w:rsid w:val="00D14085"/>
    <w:rsid w:val="00D140CA"/>
    <w:rsid w:val="00D14222"/>
    <w:rsid w:val="00D14363"/>
    <w:rsid w:val="00D14372"/>
    <w:rsid w:val="00D1441A"/>
    <w:rsid w:val="00D14486"/>
    <w:rsid w:val="00D1448B"/>
    <w:rsid w:val="00D144E8"/>
    <w:rsid w:val="00D144F3"/>
    <w:rsid w:val="00D14501"/>
    <w:rsid w:val="00D1452A"/>
    <w:rsid w:val="00D1453D"/>
    <w:rsid w:val="00D14565"/>
    <w:rsid w:val="00D145D2"/>
    <w:rsid w:val="00D146E7"/>
    <w:rsid w:val="00D14786"/>
    <w:rsid w:val="00D14798"/>
    <w:rsid w:val="00D147DC"/>
    <w:rsid w:val="00D14830"/>
    <w:rsid w:val="00D1487A"/>
    <w:rsid w:val="00D148B8"/>
    <w:rsid w:val="00D148CC"/>
    <w:rsid w:val="00D14B2E"/>
    <w:rsid w:val="00D14BB8"/>
    <w:rsid w:val="00D14BCF"/>
    <w:rsid w:val="00D14BFC"/>
    <w:rsid w:val="00D14C88"/>
    <w:rsid w:val="00D14D22"/>
    <w:rsid w:val="00D14E13"/>
    <w:rsid w:val="00D14E41"/>
    <w:rsid w:val="00D14EC5"/>
    <w:rsid w:val="00D14EDD"/>
    <w:rsid w:val="00D14F13"/>
    <w:rsid w:val="00D1516F"/>
    <w:rsid w:val="00D1524E"/>
    <w:rsid w:val="00D152AC"/>
    <w:rsid w:val="00D152B2"/>
    <w:rsid w:val="00D152E7"/>
    <w:rsid w:val="00D15320"/>
    <w:rsid w:val="00D15336"/>
    <w:rsid w:val="00D153B1"/>
    <w:rsid w:val="00D153E5"/>
    <w:rsid w:val="00D15422"/>
    <w:rsid w:val="00D154B2"/>
    <w:rsid w:val="00D1559C"/>
    <w:rsid w:val="00D15602"/>
    <w:rsid w:val="00D15614"/>
    <w:rsid w:val="00D1562B"/>
    <w:rsid w:val="00D1572C"/>
    <w:rsid w:val="00D157A6"/>
    <w:rsid w:val="00D15899"/>
    <w:rsid w:val="00D158B8"/>
    <w:rsid w:val="00D158C9"/>
    <w:rsid w:val="00D158D0"/>
    <w:rsid w:val="00D1598D"/>
    <w:rsid w:val="00D1599E"/>
    <w:rsid w:val="00D159F1"/>
    <w:rsid w:val="00D159F4"/>
    <w:rsid w:val="00D15AE7"/>
    <w:rsid w:val="00D15B97"/>
    <w:rsid w:val="00D15BB9"/>
    <w:rsid w:val="00D15C78"/>
    <w:rsid w:val="00D15CA3"/>
    <w:rsid w:val="00D15CA8"/>
    <w:rsid w:val="00D15D5B"/>
    <w:rsid w:val="00D15D64"/>
    <w:rsid w:val="00D15D7A"/>
    <w:rsid w:val="00D15D83"/>
    <w:rsid w:val="00D15DAC"/>
    <w:rsid w:val="00D15E45"/>
    <w:rsid w:val="00D15E9D"/>
    <w:rsid w:val="00D15EEF"/>
    <w:rsid w:val="00D16031"/>
    <w:rsid w:val="00D1606D"/>
    <w:rsid w:val="00D160E3"/>
    <w:rsid w:val="00D160F4"/>
    <w:rsid w:val="00D161C2"/>
    <w:rsid w:val="00D1639A"/>
    <w:rsid w:val="00D163C5"/>
    <w:rsid w:val="00D16402"/>
    <w:rsid w:val="00D16424"/>
    <w:rsid w:val="00D16471"/>
    <w:rsid w:val="00D164AA"/>
    <w:rsid w:val="00D16517"/>
    <w:rsid w:val="00D1662A"/>
    <w:rsid w:val="00D166B8"/>
    <w:rsid w:val="00D1674E"/>
    <w:rsid w:val="00D1682C"/>
    <w:rsid w:val="00D1686C"/>
    <w:rsid w:val="00D16880"/>
    <w:rsid w:val="00D168AC"/>
    <w:rsid w:val="00D168CF"/>
    <w:rsid w:val="00D168DF"/>
    <w:rsid w:val="00D16981"/>
    <w:rsid w:val="00D169AC"/>
    <w:rsid w:val="00D169FA"/>
    <w:rsid w:val="00D16A21"/>
    <w:rsid w:val="00D16A5E"/>
    <w:rsid w:val="00D16A87"/>
    <w:rsid w:val="00D16A89"/>
    <w:rsid w:val="00D16A8E"/>
    <w:rsid w:val="00D16AA4"/>
    <w:rsid w:val="00D16ACA"/>
    <w:rsid w:val="00D16B1A"/>
    <w:rsid w:val="00D16BE4"/>
    <w:rsid w:val="00D16BEF"/>
    <w:rsid w:val="00D16C7E"/>
    <w:rsid w:val="00D16C9D"/>
    <w:rsid w:val="00D16CC6"/>
    <w:rsid w:val="00D16CF1"/>
    <w:rsid w:val="00D16D1E"/>
    <w:rsid w:val="00D16F29"/>
    <w:rsid w:val="00D16F72"/>
    <w:rsid w:val="00D16FB6"/>
    <w:rsid w:val="00D17002"/>
    <w:rsid w:val="00D17009"/>
    <w:rsid w:val="00D1701E"/>
    <w:rsid w:val="00D1701F"/>
    <w:rsid w:val="00D17082"/>
    <w:rsid w:val="00D170E8"/>
    <w:rsid w:val="00D17121"/>
    <w:rsid w:val="00D171AC"/>
    <w:rsid w:val="00D171D5"/>
    <w:rsid w:val="00D171FC"/>
    <w:rsid w:val="00D1729A"/>
    <w:rsid w:val="00D172C8"/>
    <w:rsid w:val="00D172F6"/>
    <w:rsid w:val="00D1741D"/>
    <w:rsid w:val="00D1744D"/>
    <w:rsid w:val="00D17482"/>
    <w:rsid w:val="00D174F7"/>
    <w:rsid w:val="00D17532"/>
    <w:rsid w:val="00D175EB"/>
    <w:rsid w:val="00D1761D"/>
    <w:rsid w:val="00D1767F"/>
    <w:rsid w:val="00D176FD"/>
    <w:rsid w:val="00D17725"/>
    <w:rsid w:val="00D1773E"/>
    <w:rsid w:val="00D17755"/>
    <w:rsid w:val="00D1775C"/>
    <w:rsid w:val="00D17864"/>
    <w:rsid w:val="00D17892"/>
    <w:rsid w:val="00D1795A"/>
    <w:rsid w:val="00D17964"/>
    <w:rsid w:val="00D1796B"/>
    <w:rsid w:val="00D17977"/>
    <w:rsid w:val="00D17980"/>
    <w:rsid w:val="00D179C9"/>
    <w:rsid w:val="00D179FA"/>
    <w:rsid w:val="00D17A10"/>
    <w:rsid w:val="00D17A48"/>
    <w:rsid w:val="00D17A52"/>
    <w:rsid w:val="00D17AFA"/>
    <w:rsid w:val="00D17B0C"/>
    <w:rsid w:val="00D17B44"/>
    <w:rsid w:val="00D17BBC"/>
    <w:rsid w:val="00D17BD1"/>
    <w:rsid w:val="00D17C86"/>
    <w:rsid w:val="00D17DCC"/>
    <w:rsid w:val="00D17DDE"/>
    <w:rsid w:val="00D17DE7"/>
    <w:rsid w:val="00D17ED1"/>
    <w:rsid w:val="00D17FB3"/>
    <w:rsid w:val="00D17FDD"/>
    <w:rsid w:val="00D20036"/>
    <w:rsid w:val="00D20108"/>
    <w:rsid w:val="00D20130"/>
    <w:rsid w:val="00D2017C"/>
    <w:rsid w:val="00D201E7"/>
    <w:rsid w:val="00D20413"/>
    <w:rsid w:val="00D2042A"/>
    <w:rsid w:val="00D20443"/>
    <w:rsid w:val="00D204E4"/>
    <w:rsid w:val="00D20509"/>
    <w:rsid w:val="00D20538"/>
    <w:rsid w:val="00D2054E"/>
    <w:rsid w:val="00D20570"/>
    <w:rsid w:val="00D2059A"/>
    <w:rsid w:val="00D205AD"/>
    <w:rsid w:val="00D205B1"/>
    <w:rsid w:val="00D20672"/>
    <w:rsid w:val="00D206F0"/>
    <w:rsid w:val="00D20702"/>
    <w:rsid w:val="00D2076D"/>
    <w:rsid w:val="00D2078B"/>
    <w:rsid w:val="00D207A5"/>
    <w:rsid w:val="00D207CB"/>
    <w:rsid w:val="00D207DF"/>
    <w:rsid w:val="00D207F4"/>
    <w:rsid w:val="00D20828"/>
    <w:rsid w:val="00D20954"/>
    <w:rsid w:val="00D2097F"/>
    <w:rsid w:val="00D20984"/>
    <w:rsid w:val="00D209C9"/>
    <w:rsid w:val="00D20A29"/>
    <w:rsid w:val="00D20A44"/>
    <w:rsid w:val="00D20AA1"/>
    <w:rsid w:val="00D20B74"/>
    <w:rsid w:val="00D20BD9"/>
    <w:rsid w:val="00D20C11"/>
    <w:rsid w:val="00D20C78"/>
    <w:rsid w:val="00D20CB1"/>
    <w:rsid w:val="00D20D4B"/>
    <w:rsid w:val="00D20D8F"/>
    <w:rsid w:val="00D20E11"/>
    <w:rsid w:val="00D20ECE"/>
    <w:rsid w:val="00D20F48"/>
    <w:rsid w:val="00D210B8"/>
    <w:rsid w:val="00D210C1"/>
    <w:rsid w:val="00D211D1"/>
    <w:rsid w:val="00D212B7"/>
    <w:rsid w:val="00D213EB"/>
    <w:rsid w:val="00D21436"/>
    <w:rsid w:val="00D21468"/>
    <w:rsid w:val="00D21583"/>
    <w:rsid w:val="00D215C0"/>
    <w:rsid w:val="00D215F2"/>
    <w:rsid w:val="00D215F4"/>
    <w:rsid w:val="00D2171F"/>
    <w:rsid w:val="00D21731"/>
    <w:rsid w:val="00D217C2"/>
    <w:rsid w:val="00D21820"/>
    <w:rsid w:val="00D2189E"/>
    <w:rsid w:val="00D21908"/>
    <w:rsid w:val="00D2195F"/>
    <w:rsid w:val="00D219B8"/>
    <w:rsid w:val="00D21A68"/>
    <w:rsid w:val="00D21B4B"/>
    <w:rsid w:val="00D21B87"/>
    <w:rsid w:val="00D21BE7"/>
    <w:rsid w:val="00D21E9C"/>
    <w:rsid w:val="00D21F48"/>
    <w:rsid w:val="00D21FA7"/>
    <w:rsid w:val="00D21FAF"/>
    <w:rsid w:val="00D21FCA"/>
    <w:rsid w:val="00D21FE6"/>
    <w:rsid w:val="00D2202B"/>
    <w:rsid w:val="00D220B3"/>
    <w:rsid w:val="00D2210C"/>
    <w:rsid w:val="00D22110"/>
    <w:rsid w:val="00D22150"/>
    <w:rsid w:val="00D22190"/>
    <w:rsid w:val="00D2219F"/>
    <w:rsid w:val="00D221C8"/>
    <w:rsid w:val="00D22208"/>
    <w:rsid w:val="00D22285"/>
    <w:rsid w:val="00D2234C"/>
    <w:rsid w:val="00D22423"/>
    <w:rsid w:val="00D22425"/>
    <w:rsid w:val="00D224DA"/>
    <w:rsid w:val="00D22514"/>
    <w:rsid w:val="00D22585"/>
    <w:rsid w:val="00D22663"/>
    <w:rsid w:val="00D2269F"/>
    <w:rsid w:val="00D226AA"/>
    <w:rsid w:val="00D226C9"/>
    <w:rsid w:val="00D226D3"/>
    <w:rsid w:val="00D227B7"/>
    <w:rsid w:val="00D227C4"/>
    <w:rsid w:val="00D2294F"/>
    <w:rsid w:val="00D22951"/>
    <w:rsid w:val="00D22993"/>
    <w:rsid w:val="00D229B3"/>
    <w:rsid w:val="00D229B9"/>
    <w:rsid w:val="00D229F6"/>
    <w:rsid w:val="00D22A1B"/>
    <w:rsid w:val="00D22A42"/>
    <w:rsid w:val="00D22AE2"/>
    <w:rsid w:val="00D22B22"/>
    <w:rsid w:val="00D22B43"/>
    <w:rsid w:val="00D22B97"/>
    <w:rsid w:val="00D22C18"/>
    <w:rsid w:val="00D22C7B"/>
    <w:rsid w:val="00D22C7C"/>
    <w:rsid w:val="00D22D59"/>
    <w:rsid w:val="00D22E3B"/>
    <w:rsid w:val="00D22EBA"/>
    <w:rsid w:val="00D22F0B"/>
    <w:rsid w:val="00D23012"/>
    <w:rsid w:val="00D23075"/>
    <w:rsid w:val="00D2307B"/>
    <w:rsid w:val="00D230D8"/>
    <w:rsid w:val="00D230EC"/>
    <w:rsid w:val="00D23108"/>
    <w:rsid w:val="00D23180"/>
    <w:rsid w:val="00D231D3"/>
    <w:rsid w:val="00D231E5"/>
    <w:rsid w:val="00D23255"/>
    <w:rsid w:val="00D23359"/>
    <w:rsid w:val="00D2338C"/>
    <w:rsid w:val="00D2339A"/>
    <w:rsid w:val="00D234BA"/>
    <w:rsid w:val="00D234F2"/>
    <w:rsid w:val="00D2353B"/>
    <w:rsid w:val="00D23555"/>
    <w:rsid w:val="00D235B1"/>
    <w:rsid w:val="00D235E5"/>
    <w:rsid w:val="00D23605"/>
    <w:rsid w:val="00D23624"/>
    <w:rsid w:val="00D236ED"/>
    <w:rsid w:val="00D237BB"/>
    <w:rsid w:val="00D23808"/>
    <w:rsid w:val="00D2386B"/>
    <w:rsid w:val="00D238BB"/>
    <w:rsid w:val="00D2390D"/>
    <w:rsid w:val="00D23932"/>
    <w:rsid w:val="00D23A1B"/>
    <w:rsid w:val="00D23A5A"/>
    <w:rsid w:val="00D23BB3"/>
    <w:rsid w:val="00D23C4B"/>
    <w:rsid w:val="00D23C7B"/>
    <w:rsid w:val="00D23C91"/>
    <w:rsid w:val="00D23DDB"/>
    <w:rsid w:val="00D23DF4"/>
    <w:rsid w:val="00D23E0F"/>
    <w:rsid w:val="00D23E8B"/>
    <w:rsid w:val="00D23F2B"/>
    <w:rsid w:val="00D23F60"/>
    <w:rsid w:val="00D23FD7"/>
    <w:rsid w:val="00D23FF4"/>
    <w:rsid w:val="00D24107"/>
    <w:rsid w:val="00D2414A"/>
    <w:rsid w:val="00D24215"/>
    <w:rsid w:val="00D24276"/>
    <w:rsid w:val="00D2427D"/>
    <w:rsid w:val="00D242F1"/>
    <w:rsid w:val="00D24325"/>
    <w:rsid w:val="00D24333"/>
    <w:rsid w:val="00D24382"/>
    <w:rsid w:val="00D24385"/>
    <w:rsid w:val="00D243DC"/>
    <w:rsid w:val="00D24440"/>
    <w:rsid w:val="00D2448A"/>
    <w:rsid w:val="00D24490"/>
    <w:rsid w:val="00D24584"/>
    <w:rsid w:val="00D2459F"/>
    <w:rsid w:val="00D2461C"/>
    <w:rsid w:val="00D24623"/>
    <w:rsid w:val="00D246A4"/>
    <w:rsid w:val="00D246EE"/>
    <w:rsid w:val="00D2472A"/>
    <w:rsid w:val="00D247A3"/>
    <w:rsid w:val="00D247D5"/>
    <w:rsid w:val="00D2480F"/>
    <w:rsid w:val="00D24847"/>
    <w:rsid w:val="00D248A1"/>
    <w:rsid w:val="00D248B4"/>
    <w:rsid w:val="00D2490D"/>
    <w:rsid w:val="00D24924"/>
    <w:rsid w:val="00D24A22"/>
    <w:rsid w:val="00D24ADF"/>
    <w:rsid w:val="00D24B33"/>
    <w:rsid w:val="00D24B9D"/>
    <w:rsid w:val="00D24D1F"/>
    <w:rsid w:val="00D24D22"/>
    <w:rsid w:val="00D24DD8"/>
    <w:rsid w:val="00D24EB6"/>
    <w:rsid w:val="00D24EEC"/>
    <w:rsid w:val="00D24FA7"/>
    <w:rsid w:val="00D24FA9"/>
    <w:rsid w:val="00D25066"/>
    <w:rsid w:val="00D2506E"/>
    <w:rsid w:val="00D250D8"/>
    <w:rsid w:val="00D250EC"/>
    <w:rsid w:val="00D25102"/>
    <w:rsid w:val="00D25193"/>
    <w:rsid w:val="00D25269"/>
    <w:rsid w:val="00D25281"/>
    <w:rsid w:val="00D2528D"/>
    <w:rsid w:val="00D252A2"/>
    <w:rsid w:val="00D252B0"/>
    <w:rsid w:val="00D252B5"/>
    <w:rsid w:val="00D2539B"/>
    <w:rsid w:val="00D25416"/>
    <w:rsid w:val="00D2548F"/>
    <w:rsid w:val="00D25522"/>
    <w:rsid w:val="00D2553E"/>
    <w:rsid w:val="00D255B2"/>
    <w:rsid w:val="00D255C1"/>
    <w:rsid w:val="00D256C2"/>
    <w:rsid w:val="00D256E8"/>
    <w:rsid w:val="00D25713"/>
    <w:rsid w:val="00D25734"/>
    <w:rsid w:val="00D25922"/>
    <w:rsid w:val="00D2599C"/>
    <w:rsid w:val="00D259E7"/>
    <w:rsid w:val="00D25A0D"/>
    <w:rsid w:val="00D25A37"/>
    <w:rsid w:val="00D25A82"/>
    <w:rsid w:val="00D25A9A"/>
    <w:rsid w:val="00D25BD4"/>
    <w:rsid w:val="00D25BD8"/>
    <w:rsid w:val="00D25DB3"/>
    <w:rsid w:val="00D25DD0"/>
    <w:rsid w:val="00D25E1B"/>
    <w:rsid w:val="00D25E7B"/>
    <w:rsid w:val="00D25E8D"/>
    <w:rsid w:val="00D26004"/>
    <w:rsid w:val="00D26047"/>
    <w:rsid w:val="00D2608F"/>
    <w:rsid w:val="00D2612F"/>
    <w:rsid w:val="00D2615E"/>
    <w:rsid w:val="00D26182"/>
    <w:rsid w:val="00D2618E"/>
    <w:rsid w:val="00D261BC"/>
    <w:rsid w:val="00D2629B"/>
    <w:rsid w:val="00D262E5"/>
    <w:rsid w:val="00D2632B"/>
    <w:rsid w:val="00D2634D"/>
    <w:rsid w:val="00D263D1"/>
    <w:rsid w:val="00D2641B"/>
    <w:rsid w:val="00D2654B"/>
    <w:rsid w:val="00D2675A"/>
    <w:rsid w:val="00D267D1"/>
    <w:rsid w:val="00D2683C"/>
    <w:rsid w:val="00D26879"/>
    <w:rsid w:val="00D268AA"/>
    <w:rsid w:val="00D268CE"/>
    <w:rsid w:val="00D268EB"/>
    <w:rsid w:val="00D268ED"/>
    <w:rsid w:val="00D26922"/>
    <w:rsid w:val="00D26A22"/>
    <w:rsid w:val="00D26B18"/>
    <w:rsid w:val="00D26BB7"/>
    <w:rsid w:val="00D26C85"/>
    <w:rsid w:val="00D26D54"/>
    <w:rsid w:val="00D26DA9"/>
    <w:rsid w:val="00D26DF8"/>
    <w:rsid w:val="00D26E40"/>
    <w:rsid w:val="00D26E45"/>
    <w:rsid w:val="00D26E67"/>
    <w:rsid w:val="00D26E7D"/>
    <w:rsid w:val="00D26EAB"/>
    <w:rsid w:val="00D26EDE"/>
    <w:rsid w:val="00D26EF8"/>
    <w:rsid w:val="00D26FAA"/>
    <w:rsid w:val="00D2704E"/>
    <w:rsid w:val="00D27079"/>
    <w:rsid w:val="00D270B9"/>
    <w:rsid w:val="00D270BB"/>
    <w:rsid w:val="00D2713D"/>
    <w:rsid w:val="00D27192"/>
    <w:rsid w:val="00D271E4"/>
    <w:rsid w:val="00D27246"/>
    <w:rsid w:val="00D272A8"/>
    <w:rsid w:val="00D272AF"/>
    <w:rsid w:val="00D272CF"/>
    <w:rsid w:val="00D273CB"/>
    <w:rsid w:val="00D273E9"/>
    <w:rsid w:val="00D273F0"/>
    <w:rsid w:val="00D27406"/>
    <w:rsid w:val="00D274BE"/>
    <w:rsid w:val="00D274FC"/>
    <w:rsid w:val="00D2753A"/>
    <w:rsid w:val="00D2753D"/>
    <w:rsid w:val="00D275F0"/>
    <w:rsid w:val="00D27682"/>
    <w:rsid w:val="00D2776C"/>
    <w:rsid w:val="00D27775"/>
    <w:rsid w:val="00D27901"/>
    <w:rsid w:val="00D27965"/>
    <w:rsid w:val="00D27B2E"/>
    <w:rsid w:val="00D27B84"/>
    <w:rsid w:val="00D27BD3"/>
    <w:rsid w:val="00D27BEC"/>
    <w:rsid w:val="00D27C3E"/>
    <w:rsid w:val="00D27CE5"/>
    <w:rsid w:val="00D27DCD"/>
    <w:rsid w:val="00D27E08"/>
    <w:rsid w:val="00D27E8E"/>
    <w:rsid w:val="00D27EB1"/>
    <w:rsid w:val="00D27F58"/>
    <w:rsid w:val="00D300BD"/>
    <w:rsid w:val="00D300DE"/>
    <w:rsid w:val="00D3019F"/>
    <w:rsid w:val="00D301DC"/>
    <w:rsid w:val="00D301F9"/>
    <w:rsid w:val="00D303AF"/>
    <w:rsid w:val="00D30490"/>
    <w:rsid w:val="00D304B3"/>
    <w:rsid w:val="00D304CA"/>
    <w:rsid w:val="00D3056D"/>
    <w:rsid w:val="00D305A5"/>
    <w:rsid w:val="00D3064E"/>
    <w:rsid w:val="00D306E1"/>
    <w:rsid w:val="00D306F7"/>
    <w:rsid w:val="00D306F9"/>
    <w:rsid w:val="00D30818"/>
    <w:rsid w:val="00D308FD"/>
    <w:rsid w:val="00D30931"/>
    <w:rsid w:val="00D30A98"/>
    <w:rsid w:val="00D30AB8"/>
    <w:rsid w:val="00D30B73"/>
    <w:rsid w:val="00D30C68"/>
    <w:rsid w:val="00D30C6F"/>
    <w:rsid w:val="00D30CC4"/>
    <w:rsid w:val="00D30D04"/>
    <w:rsid w:val="00D30D1C"/>
    <w:rsid w:val="00D30DC0"/>
    <w:rsid w:val="00D30F3A"/>
    <w:rsid w:val="00D30F57"/>
    <w:rsid w:val="00D30F8A"/>
    <w:rsid w:val="00D31143"/>
    <w:rsid w:val="00D31173"/>
    <w:rsid w:val="00D311A3"/>
    <w:rsid w:val="00D311C5"/>
    <w:rsid w:val="00D31252"/>
    <w:rsid w:val="00D31265"/>
    <w:rsid w:val="00D312A0"/>
    <w:rsid w:val="00D312A1"/>
    <w:rsid w:val="00D312B8"/>
    <w:rsid w:val="00D312BF"/>
    <w:rsid w:val="00D31442"/>
    <w:rsid w:val="00D3149B"/>
    <w:rsid w:val="00D314D8"/>
    <w:rsid w:val="00D3151E"/>
    <w:rsid w:val="00D31521"/>
    <w:rsid w:val="00D3153A"/>
    <w:rsid w:val="00D3154C"/>
    <w:rsid w:val="00D315EE"/>
    <w:rsid w:val="00D315F4"/>
    <w:rsid w:val="00D3161E"/>
    <w:rsid w:val="00D31674"/>
    <w:rsid w:val="00D317E4"/>
    <w:rsid w:val="00D31835"/>
    <w:rsid w:val="00D31883"/>
    <w:rsid w:val="00D318EA"/>
    <w:rsid w:val="00D318FE"/>
    <w:rsid w:val="00D31922"/>
    <w:rsid w:val="00D31953"/>
    <w:rsid w:val="00D3195A"/>
    <w:rsid w:val="00D31A3E"/>
    <w:rsid w:val="00D31AF1"/>
    <w:rsid w:val="00D31B8D"/>
    <w:rsid w:val="00D31BC8"/>
    <w:rsid w:val="00D31BE9"/>
    <w:rsid w:val="00D31C2A"/>
    <w:rsid w:val="00D31C39"/>
    <w:rsid w:val="00D31CBE"/>
    <w:rsid w:val="00D31CDA"/>
    <w:rsid w:val="00D31D06"/>
    <w:rsid w:val="00D31D2C"/>
    <w:rsid w:val="00D31D3C"/>
    <w:rsid w:val="00D31E53"/>
    <w:rsid w:val="00D31EB2"/>
    <w:rsid w:val="00D31F72"/>
    <w:rsid w:val="00D31FD4"/>
    <w:rsid w:val="00D3204A"/>
    <w:rsid w:val="00D32091"/>
    <w:rsid w:val="00D320DF"/>
    <w:rsid w:val="00D320E8"/>
    <w:rsid w:val="00D32169"/>
    <w:rsid w:val="00D321D1"/>
    <w:rsid w:val="00D321DA"/>
    <w:rsid w:val="00D3220D"/>
    <w:rsid w:val="00D322F6"/>
    <w:rsid w:val="00D3231D"/>
    <w:rsid w:val="00D32335"/>
    <w:rsid w:val="00D3241D"/>
    <w:rsid w:val="00D3245C"/>
    <w:rsid w:val="00D3264B"/>
    <w:rsid w:val="00D326E8"/>
    <w:rsid w:val="00D326F4"/>
    <w:rsid w:val="00D326F7"/>
    <w:rsid w:val="00D327EC"/>
    <w:rsid w:val="00D32811"/>
    <w:rsid w:val="00D32884"/>
    <w:rsid w:val="00D328E0"/>
    <w:rsid w:val="00D32932"/>
    <w:rsid w:val="00D32A45"/>
    <w:rsid w:val="00D32A78"/>
    <w:rsid w:val="00D32AE3"/>
    <w:rsid w:val="00D32BA6"/>
    <w:rsid w:val="00D32C97"/>
    <w:rsid w:val="00D32CB1"/>
    <w:rsid w:val="00D32CFB"/>
    <w:rsid w:val="00D32CFE"/>
    <w:rsid w:val="00D32D8F"/>
    <w:rsid w:val="00D32E48"/>
    <w:rsid w:val="00D32E76"/>
    <w:rsid w:val="00D32E7D"/>
    <w:rsid w:val="00D32F09"/>
    <w:rsid w:val="00D32F2E"/>
    <w:rsid w:val="00D32FE4"/>
    <w:rsid w:val="00D3300D"/>
    <w:rsid w:val="00D33082"/>
    <w:rsid w:val="00D330B2"/>
    <w:rsid w:val="00D33156"/>
    <w:rsid w:val="00D331B8"/>
    <w:rsid w:val="00D3322D"/>
    <w:rsid w:val="00D33266"/>
    <w:rsid w:val="00D3327E"/>
    <w:rsid w:val="00D332C8"/>
    <w:rsid w:val="00D33331"/>
    <w:rsid w:val="00D33407"/>
    <w:rsid w:val="00D33458"/>
    <w:rsid w:val="00D335B2"/>
    <w:rsid w:val="00D3364E"/>
    <w:rsid w:val="00D3377B"/>
    <w:rsid w:val="00D3387A"/>
    <w:rsid w:val="00D338AF"/>
    <w:rsid w:val="00D338D1"/>
    <w:rsid w:val="00D338FB"/>
    <w:rsid w:val="00D33A2F"/>
    <w:rsid w:val="00D33AB2"/>
    <w:rsid w:val="00D33B0D"/>
    <w:rsid w:val="00D33CB0"/>
    <w:rsid w:val="00D33D5F"/>
    <w:rsid w:val="00D33DD1"/>
    <w:rsid w:val="00D33DDF"/>
    <w:rsid w:val="00D33EBD"/>
    <w:rsid w:val="00D33ED7"/>
    <w:rsid w:val="00D33FC8"/>
    <w:rsid w:val="00D34067"/>
    <w:rsid w:val="00D340C1"/>
    <w:rsid w:val="00D340DA"/>
    <w:rsid w:val="00D3414F"/>
    <w:rsid w:val="00D34245"/>
    <w:rsid w:val="00D3425F"/>
    <w:rsid w:val="00D3433C"/>
    <w:rsid w:val="00D34354"/>
    <w:rsid w:val="00D3439A"/>
    <w:rsid w:val="00D34403"/>
    <w:rsid w:val="00D3444E"/>
    <w:rsid w:val="00D344B1"/>
    <w:rsid w:val="00D3459B"/>
    <w:rsid w:val="00D34644"/>
    <w:rsid w:val="00D347E9"/>
    <w:rsid w:val="00D347F9"/>
    <w:rsid w:val="00D347FB"/>
    <w:rsid w:val="00D34817"/>
    <w:rsid w:val="00D34834"/>
    <w:rsid w:val="00D34843"/>
    <w:rsid w:val="00D34859"/>
    <w:rsid w:val="00D3486A"/>
    <w:rsid w:val="00D34881"/>
    <w:rsid w:val="00D3489B"/>
    <w:rsid w:val="00D348BD"/>
    <w:rsid w:val="00D348D9"/>
    <w:rsid w:val="00D349F7"/>
    <w:rsid w:val="00D349FB"/>
    <w:rsid w:val="00D34B65"/>
    <w:rsid w:val="00D34CC9"/>
    <w:rsid w:val="00D34CDB"/>
    <w:rsid w:val="00D34CFA"/>
    <w:rsid w:val="00D34D20"/>
    <w:rsid w:val="00D34E25"/>
    <w:rsid w:val="00D34E84"/>
    <w:rsid w:val="00D34E9E"/>
    <w:rsid w:val="00D34EF1"/>
    <w:rsid w:val="00D34F0D"/>
    <w:rsid w:val="00D34F7E"/>
    <w:rsid w:val="00D35015"/>
    <w:rsid w:val="00D35049"/>
    <w:rsid w:val="00D35109"/>
    <w:rsid w:val="00D35209"/>
    <w:rsid w:val="00D3528D"/>
    <w:rsid w:val="00D353D0"/>
    <w:rsid w:val="00D3540C"/>
    <w:rsid w:val="00D35487"/>
    <w:rsid w:val="00D35514"/>
    <w:rsid w:val="00D355C7"/>
    <w:rsid w:val="00D35699"/>
    <w:rsid w:val="00D356C7"/>
    <w:rsid w:val="00D35760"/>
    <w:rsid w:val="00D3576C"/>
    <w:rsid w:val="00D35773"/>
    <w:rsid w:val="00D35797"/>
    <w:rsid w:val="00D357BD"/>
    <w:rsid w:val="00D358A7"/>
    <w:rsid w:val="00D358AB"/>
    <w:rsid w:val="00D358B0"/>
    <w:rsid w:val="00D358C2"/>
    <w:rsid w:val="00D358DF"/>
    <w:rsid w:val="00D358E0"/>
    <w:rsid w:val="00D358EE"/>
    <w:rsid w:val="00D35915"/>
    <w:rsid w:val="00D35947"/>
    <w:rsid w:val="00D35960"/>
    <w:rsid w:val="00D35997"/>
    <w:rsid w:val="00D35A4B"/>
    <w:rsid w:val="00D35A85"/>
    <w:rsid w:val="00D35CAC"/>
    <w:rsid w:val="00D35D29"/>
    <w:rsid w:val="00D35D7B"/>
    <w:rsid w:val="00D35DC4"/>
    <w:rsid w:val="00D35E00"/>
    <w:rsid w:val="00D35E83"/>
    <w:rsid w:val="00D35F14"/>
    <w:rsid w:val="00D35F60"/>
    <w:rsid w:val="00D3602C"/>
    <w:rsid w:val="00D3607F"/>
    <w:rsid w:val="00D36162"/>
    <w:rsid w:val="00D361D1"/>
    <w:rsid w:val="00D361D3"/>
    <w:rsid w:val="00D361DB"/>
    <w:rsid w:val="00D3622A"/>
    <w:rsid w:val="00D3625A"/>
    <w:rsid w:val="00D36276"/>
    <w:rsid w:val="00D36278"/>
    <w:rsid w:val="00D362F2"/>
    <w:rsid w:val="00D363A8"/>
    <w:rsid w:val="00D36422"/>
    <w:rsid w:val="00D36476"/>
    <w:rsid w:val="00D36489"/>
    <w:rsid w:val="00D36534"/>
    <w:rsid w:val="00D365B6"/>
    <w:rsid w:val="00D365C7"/>
    <w:rsid w:val="00D366EF"/>
    <w:rsid w:val="00D36707"/>
    <w:rsid w:val="00D36713"/>
    <w:rsid w:val="00D36784"/>
    <w:rsid w:val="00D367F4"/>
    <w:rsid w:val="00D368A0"/>
    <w:rsid w:val="00D368C0"/>
    <w:rsid w:val="00D36955"/>
    <w:rsid w:val="00D36976"/>
    <w:rsid w:val="00D369D3"/>
    <w:rsid w:val="00D36A60"/>
    <w:rsid w:val="00D36A76"/>
    <w:rsid w:val="00D36ADB"/>
    <w:rsid w:val="00D36B05"/>
    <w:rsid w:val="00D36B12"/>
    <w:rsid w:val="00D36B6E"/>
    <w:rsid w:val="00D36B91"/>
    <w:rsid w:val="00D36BEA"/>
    <w:rsid w:val="00D36C04"/>
    <w:rsid w:val="00D36CDD"/>
    <w:rsid w:val="00D36E24"/>
    <w:rsid w:val="00D36EB9"/>
    <w:rsid w:val="00D36EC3"/>
    <w:rsid w:val="00D36F0F"/>
    <w:rsid w:val="00D37094"/>
    <w:rsid w:val="00D370E1"/>
    <w:rsid w:val="00D371CE"/>
    <w:rsid w:val="00D371DB"/>
    <w:rsid w:val="00D371F6"/>
    <w:rsid w:val="00D3724F"/>
    <w:rsid w:val="00D37316"/>
    <w:rsid w:val="00D3737E"/>
    <w:rsid w:val="00D37387"/>
    <w:rsid w:val="00D3745B"/>
    <w:rsid w:val="00D3749D"/>
    <w:rsid w:val="00D374E5"/>
    <w:rsid w:val="00D374E9"/>
    <w:rsid w:val="00D374FC"/>
    <w:rsid w:val="00D3755B"/>
    <w:rsid w:val="00D37564"/>
    <w:rsid w:val="00D3761F"/>
    <w:rsid w:val="00D37650"/>
    <w:rsid w:val="00D376B6"/>
    <w:rsid w:val="00D37705"/>
    <w:rsid w:val="00D3778C"/>
    <w:rsid w:val="00D37794"/>
    <w:rsid w:val="00D3779A"/>
    <w:rsid w:val="00D377A0"/>
    <w:rsid w:val="00D37861"/>
    <w:rsid w:val="00D37991"/>
    <w:rsid w:val="00D3799D"/>
    <w:rsid w:val="00D379B6"/>
    <w:rsid w:val="00D37A42"/>
    <w:rsid w:val="00D37B0E"/>
    <w:rsid w:val="00D37C07"/>
    <w:rsid w:val="00D37C20"/>
    <w:rsid w:val="00D37DA5"/>
    <w:rsid w:val="00D37F24"/>
    <w:rsid w:val="00D37F40"/>
    <w:rsid w:val="00D37F48"/>
    <w:rsid w:val="00D40066"/>
    <w:rsid w:val="00D400D0"/>
    <w:rsid w:val="00D40162"/>
    <w:rsid w:val="00D40211"/>
    <w:rsid w:val="00D40251"/>
    <w:rsid w:val="00D4040C"/>
    <w:rsid w:val="00D4044D"/>
    <w:rsid w:val="00D404B5"/>
    <w:rsid w:val="00D4054F"/>
    <w:rsid w:val="00D405C3"/>
    <w:rsid w:val="00D405E2"/>
    <w:rsid w:val="00D405F7"/>
    <w:rsid w:val="00D40613"/>
    <w:rsid w:val="00D406BC"/>
    <w:rsid w:val="00D40702"/>
    <w:rsid w:val="00D4078B"/>
    <w:rsid w:val="00D4078E"/>
    <w:rsid w:val="00D407D7"/>
    <w:rsid w:val="00D4084E"/>
    <w:rsid w:val="00D40859"/>
    <w:rsid w:val="00D408CF"/>
    <w:rsid w:val="00D408EB"/>
    <w:rsid w:val="00D40906"/>
    <w:rsid w:val="00D40996"/>
    <w:rsid w:val="00D409DE"/>
    <w:rsid w:val="00D40A2D"/>
    <w:rsid w:val="00D40A45"/>
    <w:rsid w:val="00D40A6C"/>
    <w:rsid w:val="00D40A75"/>
    <w:rsid w:val="00D40AFE"/>
    <w:rsid w:val="00D40B5C"/>
    <w:rsid w:val="00D40B6F"/>
    <w:rsid w:val="00D40B80"/>
    <w:rsid w:val="00D40C8B"/>
    <w:rsid w:val="00D40C98"/>
    <w:rsid w:val="00D40CEF"/>
    <w:rsid w:val="00D40D1C"/>
    <w:rsid w:val="00D40D8F"/>
    <w:rsid w:val="00D40E44"/>
    <w:rsid w:val="00D40F93"/>
    <w:rsid w:val="00D41011"/>
    <w:rsid w:val="00D41156"/>
    <w:rsid w:val="00D41165"/>
    <w:rsid w:val="00D41224"/>
    <w:rsid w:val="00D4123E"/>
    <w:rsid w:val="00D41263"/>
    <w:rsid w:val="00D412EC"/>
    <w:rsid w:val="00D41351"/>
    <w:rsid w:val="00D41388"/>
    <w:rsid w:val="00D413C8"/>
    <w:rsid w:val="00D413EF"/>
    <w:rsid w:val="00D4141E"/>
    <w:rsid w:val="00D41496"/>
    <w:rsid w:val="00D4149A"/>
    <w:rsid w:val="00D414D5"/>
    <w:rsid w:val="00D414F8"/>
    <w:rsid w:val="00D41536"/>
    <w:rsid w:val="00D4156A"/>
    <w:rsid w:val="00D41590"/>
    <w:rsid w:val="00D41680"/>
    <w:rsid w:val="00D416B1"/>
    <w:rsid w:val="00D416C1"/>
    <w:rsid w:val="00D416D1"/>
    <w:rsid w:val="00D41717"/>
    <w:rsid w:val="00D417E7"/>
    <w:rsid w:val="00D4180A"/>
    <w:rsid w:val="00D4184F"/>
    <w:rsid w:val="00D4187F"/>
    <w:rsid w:val="00D419E2"/>
    <w:rsid w:val="00D41A75"/>
    <w:rsid w:val="00D41A80"/>
    <w:rsid w:val="00D41A89"/>
    <w:rsid w:val="00D41ABB"/>
    <w:rsid w:val="00D41B02"/>
    <w:rsid w:val="00D41B97"/>
    <w:rsid w:val="00D41C0A"/>
    <w:rsid w:val="00D41C4B"/>
    <w:rsid w:val="00D41C92"/>
    <w:rsid w:val="00D41CA2"/>
    <w:rsid w:val="00D41DBB"/>
    <w:rsid w:val="00D41E4B"/>
    <w:rsid w:val="00D420A4"/>
    <w:rsid w:val="00D42174"/>
    <w:rsid w:val="00D421B6"/>
    <w:rsid w:val="00D42201"/>
    <w:rsid w:val="00D42353"/>
    <w:rsid w:val="00D423EB"/>
    <w:rsid w:val="00D423FD"/>
    <w:rsid w:val="00D42424"/>
    <w:rsid w:val="00D424CE"/>
    <w:rsid w:val="00D42514"/>
    <w:rsid w:val="00D42521"/>
    <w:rsid w:val="00D42548"/>
    <w:rsid w:val="00D4257A"/>
    <w:rsid w:val="00D425AA"/>
    <w:rsid w:val="00D425F0"/>
    <w:rsid w:val="00D42657"/>
    <w:rsid w:val="00D42718"/>
    <w:rsid w:val="00D42799"/>
    <w:rsid w:val="00D427C2"/>
    <w:rsid w:val="00D42841"/>
    <w:rsid w:val="00D428B7"/>
    <w:rsid w:val="00D428D4"/>
    <w:rsid w:val="00D4290E"/>
    <w:rsid w:val="00D42914"/>
    <w:rsid w:val="00D42983"/>
    <w:rsid w:val="00D42986"/>
    <w:rsid w:val="00D429DE"/>
    <w:rsid w:val="00D42A12"/>
    <w:rsid w:val="00D42A88"/>
    <w:rsid w:val="00D42AD7"/>
    <w:rsid w:val="00D42B59"/>
    <w:rsid w:val="00D42BAC"/>
    <w:rsid w:val="00D42BD6"/>
    <w:rsid w:val="00D42BF1"/>
    <w:rsid w:val="00D42C1E"/>
    <w:rsid w:val="00D42C5A"/>
    <w:rsid w:val="00D42D78"/>
    <w:rsid w:val="00D42F06"/>
    <w:rsid w:val="00D42F3D"/>
    <w:rsid w:val="00D4300D"/>
    <w:rsid w:val="00D43020"/>
    <w:rsid w:val="00D430D3"/>
    <w:rsid w:val="00D430D6"/>
    <w:rsid w:val="00D431F2"/>
    <w:rsid w:val="00D43253"/>
    <w:rsid w:val="00D432B5"/>
    <w:rsid w:val="00D432DC"/>
    <w:rsid w:val="00D432EF"/>
    <w:rsid w:val="00D4335F"/>
    <w:rsid w:val="00D433E9"/>
    <w:rsid w:val="00D43424"/>
    <w:rsid w:val="00D43436"/>
    <w:rsid w:val="00D434A1"/>
    <w:rsid w:val="00D434C6"/>
    <w:rsid w:val="00D4358F"/>
    <w:rsid w:val="00D435D2"/>
    <w:rsid w:val="00D437B4"/>
    <w:rsid w:val="00D437D1"/>
    <w:rsid w:val="00D43811"/>
    <w:rsid w:val="00D43875"/>
    <w:rsid w:val="00D4391A"/>
    <w:rsid w:val="00D43965"/>
    <w:rsid w:val="00D439AC"/>
    <w:rsid w:val="00D439FE"/>
    <w:rsid w:val="00D43A28"/>
    <w:rsid w:val="00D43A7D"/>
    <w:rsid w:val="00D43A86"/>
    <w:rsid w:val="00D43AD1"/>
    <w:rsid w:val="00D43B10"/>
    <w:rsid w:val="00D43B46"/>
    <w:rsid w:val="00D43B9E"/>
    <w:rsid w:val="00D43C03"/>
    <w:rsid w:val="00D43CBC"/>
    <w:rsid w:val="00D43CCF"/>
    <w:rsid w:val="00D43D25"/>
    <w:rsid w:val="00D43D49"/>
    <w:rsid w:val="00D43DE1"/>
    <w:rsid w:val="00D43E91"/>
    <w:rsid w:val="00D43F4B"/>
    <w:rsid w:val="00D43FE0"/>
    <w:rsid w:val="00D44018"/>
    <w:rsid w:val="00D440D2"/>
    <w:rsid w:val="00D44116"/>
    <w:rsid w:val="00D441E6"/>
    <w:rsid w:val="00D4423B"/>
    <w:rsid w:val="00D44246"/>
    <w:rsid w:val="00D442DB"/>
    <w:rsid w:val="00D442E5"/>
    <w:rsid w:val="00D444E7"/>
    <w:rsid w:val="00D444EE"/>
    <w:rsid w:val="00D4456B"/>
    <w:rsid w:val="00D4469A"/>
    <w:rsid w:val="00D446CB"/>
    <w:rsid w:val="00D44833"/>
    <w:rsid w:val="00D4488B"/>
    <w:rsid w:val="00D448FC"/>
    <w:rsid w:val="00D44B3F"/>
    <w:rsid w:val="00D44B64"/>
    <w:rsid w:val="00D44BEB"/>
    <w:rsid w:val="00D44D9D"/>
    <w:rsid w:val="00D44DE0"/>
    <w:rsid w:val="00D44E20"/>
    <w:rsid w:val="00D44E28"/>
    <w:rsid w:val="00D44E59"/>
    <w:rsid w:val="00D44E67"/>
    <w:rsid w:val="00D44EDD"/>
    <w:rsid w:val="00D44F5F"/>
    <w:rsid w:val="00D44FD0"/>
    <w:rsid w:val="00D450C5"/>
    <w:rsid w:val="00D450D1"/>
    <w:rsid w:val="00D45123"/>
    <w:rsid w:val="00D45151"/>
    <w:rsid w:val="00D45249"/>
    <w:rsid w:val="00D4526C"/>
    <w:rsid w:val="00D45284"/>
    <w:rsid w:val="00D4529E"/>
    <w:rsid w:val="00D453CB"/>
    <w:rsid w:val="00D4546F"/>
    <w:rsid w:val="00D454AC"/>
    <w:rsid w:val="00D4553E"/>
    <w:rsid w:val="00D455AF"/>
    <w:rsid w:val="00D455C4"/>
    <w:rsid w:val="00D45624"/>
    <w:rsid w:val="00D45660"/>
    <w:rsid w:val="00D45670"/>
    <w:rsid w:val="00D45734"/>
    <w:rsid w:val="00D457B9"/>
    <w:rsid w:val="00D457D8"/>
    <w:rsid w:val="00D45800"/>
    <w:rsid w:val="00D45852"/>
    <w:rsid w:val="00D458E1"/>
    <w:rsid w:val="00D458F6"/>
    <w:rsid w:val="00D459EB"/>
    <w:rsid w:val="00D459FC"/>
    <w:rsid w:val="00D45A13"/>
    <w:rsid w:val="00D45CAF"/>
    <w:rsid w:val="00D45CE8"/>
    <w:rsid w:val="00D45D0D"/>
    <w:rsid w:val="00D45D6F"/>
    <w:rsid w:val="00D45DCA"/>
    <w:rsid w:val="00D45ECB"/>
    <w:rsid w:val="00D45F16"/>
    <w:rsid w:val="00D45F1A"/>
    <w:rsid w:val="00D46055"/>
    <w:rsid w:val="00D4607C"/>
    <w:rsid w:val="00D460A5"/>
    <w:rsid w:val="00D4613E"/>
    <w:rsid w:val="00D46161"/>
    <w:rsid w:val="00D461C8"/>
    <w:rsid w:val="00D46226"/>
    <w:rsid w:val="00D46292"/>
    <w:rsid w:val="00D463DE"/>
    <w:rsid w:val="00D463EE"/>
    <w:rsid w:val="00D46469"/>
    <w:rsid w:val="00D46479"/>
    <w:rsid w:val="00D464A2"/>
    <w:rsid w:val="00D464CB"/>
    <w:rsid w:val="00D464E7"/>
    <w:rsid w:val="00D464F6"/>
    <w:rsid w:val="00D46513"/>
    <w:rsid w:val="00D46547"/>
    <w:rsid w:val="00D465AA"/>
    <w:rsid w:val="00D465C2"/>
    <w:rsid w:val="00D465F4"/>
    <w:rsid w:val="00D466F5"/>
    <w:rsid w:val="00D466FD"/>
    <w:rsid w:val="00D46839"/>
    <w:rsid w:val="00D4688A"/>
    <w:rsid w:val="00D4698F"/>
    <w:rsid w:val="00D469B3"/>
    <w:rsid w:val="00D469F5"/>
    <w:rsid w:val="00D46A1A"/>
    <w:rsid w:val="00D46A8F"/>
    <w:rsid w:val="00D46AA8"/>
    <w:rsid w:val="00D46AEA"/>
    <w:rsid w:val="00D46AF4"/>
    <w:rsid w:val="00D46B3F"/>
    <w:rsid w:val="00D46B4D"/>
    <w:rsid w:val="00D46B8D"/>
    <w:rsid w:val="00D46C02"/>
    <w:rsid w:val="00D46C46"/>
    <w:rsid w:val="00D46C6F"/>
    <w:rsid w:val="00D46D6F"/>
    <w:rsid w:val="00D46DBE"/>
    <w:rsid w:val="00D46DCC"/>
    <w:rsid w:val="00D46E21"/>
    <w:rsid w:val="00D46E53"/>
    <w:rsid w:val="00D46E6C"/>
    <w:rsid w:val="00D46EF5"/>
    <w:rsid w:val="00D46EFE"/>
    <w:rsid w:val="00D46F43"/>
    <w:rsid w:val="00D4701E"/>
    <w:rsid w:val="00D47130"/>
    <w:rsid w:val="00D4714C"/>
    <w:rsid w:val="00D471E6"/>
    <w:rsid w:val="00D4723C"/>
    <w:rsid w:val="00D47418"/>
    <w:rsid w:val="00D47425"/>
    <w:rsid w:val="00D474BA"/>
    <w:rsid w:val="00D475CD"/>
    <w:rsid w:val="00D4762A"/>
    <w:rsid w:val="00D476E0"/>
    <w:rsid w:val="00D476E2"/>
    <w:rsid w:val="00D47761"/>
    <w:rsid w:val="00D47835"/>
    <w:rsid w:val="00D47873"/>
    <w:rsid w:val="00D4790C"/>
    <w:rsid w:val="00D47929"/>
    <w:rsid w:val="00D4793C"/>
    <w:rsid w:val="00D47952"/>
    <w:rsid w:val="00D4795D"/>
    <w:rsid w:val="00D47A3A"/>
    <w:rsid w:val="00D47A3B"/>
    <w:rsid w:val="00D47A5C"/>
    <w:rsid w:val="00D47AA1"/>
    <w:rsid w:val="00D47ACF"/>
    <w:rsid w:val="00D47ADD"/>
    <w:rsid w:val="00D47B42"/>
    <w:rsid w:val="00D47B60"/>
    <w:rsid w:val="00D47B62"/>
    <w:rsid w:val="00D47B75"/>
    <w:rsid w:val="00D47B78"/>
    <w:rsid w:val="00D47CC4"/>
    <w:rsid w:val="00D47D09"/>
    <w:rsid w:val="00D47D6F"/>
    <w:rsid w:val="00D47D83"/>
    <w:rsid w:val="00D47DD3"/>
    <w:rsid w:val="00D47E3D"/>
    <w:rsid w:val="00D47E5C"/>
    <w:rsid w:val="00D47F6F"/>
    <w:rsid w:val="00D500C1"/>
    <w:rsid w:val="00D50109"/>
    <w:rsid w:val="00D50149"/>
    <w:rsid w:val="00D501AE"/>
    <w:rsid w:val="00D50243"/>
    <w:rsid w:val="00D502AD"/>
    <w:rsid w:val="00D502DA"/>
    <w:rsid w:val="00D50408"/>
    <w:rsid w:val="00D5042F"/>
    <w:rsid w:val="00D50498"/>
    <w:rsid w:val="00D504D0"/>
    <w:rsid w:val="00D50512"/>
    <w:rsid w:val="00D50583"/>
    <w:rsid w:val="00D50589"/>
    <w:rsid w:val="00D5062A"/>
    <w:rsid w:val="00D50761"/>
    <w:rsid w:val="00D5079D"/>
    <w:rsid w:val="00D5083F"/>
    <w:rsid w:val="00D50840"/>
    <w:rsid w:val="00D5084E"/>
    <w:rsid w:val="00D5085D"/>
    <w:rsid w:val="00D509AE"/>
    <w:rsid w:val="00D50A7D"/>
    <w:rsid w:val="00D50AD4"/>
    <w:rsid w:val="00D50BD2"/>
    <w:rsid w:val="00D50C02"/>
    <w:rsid w:val="00D50C4B"/>
    <w:rsid w:val="00D50C78"/>
    <w:rsid w:val="00D50C81"/>
    <w:rsid w:val="00D50CB4"/>
    <w:rsid w:val="00D50CFA"/>
    <w:rsid w:val="00D50DCF"/>
    <w:rsid w:val="00D50DEC"/>
    <w:rsid w:val="00D50E5C"/>
    <w:rsid w:val="00D50F61"/>
    <w:rsid w:val="00D51092"/>
    <w:rsid w:val="00D510AA"/>
    <w:rsid w:val="00D510CA"/>
    <w:rsid w:val="00D511C3"/>
    <w:rsid w:val="00D511CB"/>
    <w:rsid w:val="00D511F1"/>
    <w:rsid w:val="00D5128A"/>
    <w:rsid w:val="00D512B8"/>
    <w:rsid w:val="00D512E7"/>
    <w:rsid w:val="00D512F6"/>
    <w:rsid w:val="00D51379"/>
    <w:rsid w:val="00D513B8"/>
    <w:rsid w:val="00D513CD"/>
    <w:rsid w:val="00D513F8"/>
    <w:rsid w:val="00D5146B"/>
    <w:rsid w:val="00D5154A"/>
    <w:rsid w:val="00D51555"/>
    <w:rsid w:val="00D51576"/>
    <w:rsid w:val="00D5159E"/>
    <w:rsid w:val="00D515DE"/>
    <w:rsid w:val="00D515F4"/>
    <w:rsid w:val="00D5163B"/>
    <w:rsid w:val="00D5167C"/>
    <w:rsid w:val="00D51682"/>
    <w:rsid w:val="00D5168A"/>
    <w:rsid w:val="00D516C1"/>
    <w:rsid w:val="00D516D0"/>
    <w:rsid w:val="00D5182D"/>
    <w:rsid w:val="00D518A2"/>
    <w:rsid w:val="00D518CF"/>
    <w:rsid w:val="00D518E0"/>
    <w:rsid w:val="00D518E9"/>
    <w:rsid w:val="00D51922"/>
    <w:rsid w:val="00D519D0"/>
    <w:rsid w:val="00D51A0F"/>
    <w:rsid w:val="00D51A27"/>
    <w:rsid w:val="00D51A4D"/>
    <w:rsid w:val="00D51A5A"/>
    <w:rsid w:val="00D51A84"/>
    <w:rsid w:val="00D51A9D"/>
    <w:rsid w:val="00D51AED"/>
    <w:rsid w:val="00D51B47"/>
    <w:rsid w:val="00D51BBD"/>
    <w:rsid w:val="00D51C25"/>
    <w:rsid w:val="00D51C42"/>
    <w:rsid w:val="00D51C5B"/>
    <w:rsid w:val="00D51D67"/>
    <w:rsid w:val="00D51E29"/>
    <w:rsid w:val="00D51E88"/>
    <w:rsid w:val="00D51F37"/>
    <w:rsid w:val="00D51F6B"/>
    <w:rsid w:val="00D5200C"/>
    <w:rsid w:val="00D52038"/>
    <w:rsid w:val="00D520F4"/>
    <w:rsid w:val="00D52273"/>
    <w:rsid w:val="00D522CD"/>
    <w:rsid w:val="00D5234F"/>
    <w:rsid w:val="00D52380"/>
    <w:rsid w:val="00D52385"/>
    <w:rsid w:val="00D523DB"/>
    <w:rsid w:val="00D52440"/>
    <w:rsid w:val="00D52498"/>
    <w:rsid w:val="00D524AC"/>
    <w:rsid w:val="00D5253E"/>
    <w:rsid w:val="00D5257E"/>
    <w:rsid w:val="00D52625"/>
    <w:rsid w:val="00D52728"/>
    <w:rsid w:val="00D52824"/>
    <w:rsid w:val="00D528AC"/>
    <w:rsid w:val="00D5294C"/>
    <w:rsid w:val="00D529FF"/>
    <w:rsid w:val="00D52A05"/>
    <w:rsid w:val="00D52A66"/>
    <w:rsid w:val="00D52AA5"/>
    <w:rsid w:val="00D52B1B"/>
    <w:rsid w:val="00D52C83"/>
    <w:rsid w:val="00D52CA0"/>
    <w:rsid w:val="00D52CBC"/>
    <w:rsid w:val="00D52D1E"/>
    <w:rsid w:val="00D52D2B"/>
    <w:rsid w:val="00D52D2C"/>
    <w:rsid w:val="00D52D9B"/>
    <w:rsid w:val="00D52E78"/>
    <w:rsid w:val="00D52E7B"/>
    <w:rsid w:val="00D52E84"/>
    <w:rsid w:val="00D52EAF"/>
    <w:rsid w:val="00D52F81"/>
    <w:rsid w:val="00D52FDD"/>
    <w:rsid w:val="00D53017"/>
    <w:rsid w:val="00D5313D"/>
    <w:rsid w:val="00D531A1"/>
    <w:rsid w:val="00D532B9"/>
    <w:rsid w:val="00D532C0"/>
    <w:rsid w:val="00D532EC"/>
    <w:rsid w:val="00D533B5"/>
    <w:rsid w:val="00D533FD"/>
    <w:rsid w:val="00D53563"/>
    <w:rsid w:val="00D53650"/>
    <w:rsid w:val="00D5367A"/>
    <w:rsid w:val="00D53765"/>
    <w:rsid w:val="00D5376D"/>
    <w:rsid w:val="00D537F6"/>
    <w:rsid w:val="00D53801"/>
    <w:rsid w:val="00D53810"/>
    <w:rsid w:val="00D538F9"/>
    <w:rsid w:val="00D5393F"/>
    <w:rsid w:val="00D53999"/>
    <w:rsid w:val="00D539BD"/>
    <w:rsid w:val="00D53A23"/>
    <w:rsid w:val="00D53A44"/>
    <w:rsid w:val="00D53B68"/>
    <w:rsid w:val="00D53BFC"/>
    <w:rsid w:val="00D53C0A"/>
    <w:rsid w:val="00D53CB8"/>
    <w:rsid w:val="00D53DDA"/>
    <w:rsid w:val="00D53DEE"/>
    <w:rsid w:val="00D53E1D"/>
    <w:rsid w:val="00D53EC0"/>
    <w:rsid w:val="00D53ED1"/>
    <w:rsid w:val="00D53EEE"/>
    <w:rsid w:val="00D53FF2"/>
    <w:rsid w:val="00D54021"/>
    <w:rsid w:val="00D54155"/>
    <w:rsid w:val="00D54198"/>
    <w:rsid w:val="00D541DD"/>
    <w:rsid w:val="00D5421E"/>
    <w:rsid w:val="00D5422D"/>
    <w:rsid w:val="00D54365"/>
    <w:rsid w:val="00D5439E"/>
    <w:rsid w:val="00D5442D"/>
    <w:rsid w:val="00D54430"/>
    <w:rsid w:val="00D54477"/>
    <w:rsid w:val="00D54681"/>
    <w:rsid w:val="00D5468D"/>
    <w:rsid w:val="00D5468E"/>
    <w:rsid w:val="00D5469F"/>
    <w:rsid w:val="00D546E9"/>
    <w:rsid w:val="00D546F0"/>
    <w:rsid w:val="00D54710"/>
    <w:rsid w:val="00D54739"/>
    <w:rsid w:val="00D5480D"/>
    <w:rsid w:val="00D54854"/>
    <w:rsid w:val="00D548DF"/>
    <w:rsid w:val="00D5493C"/>
    <w:rsid w:val="00D54985"/>
    <w:rsid w:val="00D549BA"/>
    <w:rsid w:val="00D54A26"/>
    <w:rsid w:val="00D54A54"/>
    <w:rsid w:val="00D54B40"/>
    <w:rsid w:val="00D54B93"/>
    <w:rsid w:val="00D54BFC"/>
    <w:rsid w:val="00D54C07"/>
    <w:rsid w:val="00D54C6A"/>
    <w:rsid w:val="00D54CA6"/>
    <w:rsid w:val="00D54CDC"/>
    <w:rsid w:val="00D54CF8"/>
    <w:rsid w:val="00D54D10"/>
    <w:rsid w:val="00D54D43"/>
    <w:rsid w:val="00D54D45"/>
    <w:rsid w:val="00D54D5C"/>
    <w:rsid w:val="00D54DA9"/>
    <w:rsid w:val="00D54DED"/>
    <w:rsid w:val="00D54DFE"/>
    <w:rsid w:val="00D54E5D"/>
    <w:rsid w:val="00D54E61"/>
    <w:rsid w:val="00D54EAD"/>
    <w:rsid w:val="00D54EAF"/>
    <w:rsid w:val="00D54FDD"/>
    <w:rsid w:val="00D54FF2"/>
    <w:rsid w:val="00D54FF6"/>
    <w:rsid w:val="00D5506E"/>
    <w:rsid w:val="00D5506F"/>
    <w:rsid w:val="00D550D7"/>
    <w:rsid w:val="00D55179"/>
    <w:rsid w:val="00D55236"/>
    <w:rsid w:val="00D55245"/>
    <w:rsid w:val="00D552D0"/>
    <w:rsid w:val="00D5537A"/>
    <w:rsid w:val="00D553BD"/>
    <w:rsid w:val="00D55537"/>
    <w:rsid w:val="00D55599"/>
    <w:rsid w:val="00D55623"/>
    <w:rsid w:val="00D556A2"/>
    <w:rsid w:val="00D556F6"/>
    <w:rsid w:val="00D55732"/>
    <w:rsid w:val="00D557E2"/>
    <w:rsid w:val="00D5583F"/>
    <w:rsid w:val="00D558EE"/>
    <w:rsid w:val="00D5597C"/>
    <w:rsid w:val="00D559AB"/>
    <w:rsid w:val="00D55A07"/>
    <w:rsid w:val="00D55A10"/>
    <w:rsid w:val="00D55A3E"/>
    <w:rsid w:val="00D55AEF"/>
    <w:rsid w:val="00D55B17"/>
    <w:rsid w:val="00D55C05"/>
    <w:rsid w:val="00D55C30"/>
    <w:rsid w:val="00D55C4C"/>
    <w:rsid w:val="00D55C90"/>
    <w:rsid w:val="00D55CD9"/>
    <w:rsid w:val="00D55CDC"/>
    <w:rsid w:val="00D55DB0"/>
    <w:rsid w:val="00D55DDB"/>
    <w:rsid w:val="00D55DEB"/>
    <w:rsid w:val="00D55E21"/>
    <w:rsid w:val="00D55E58"/>
    <w:rsid w:val="00D55EAB"/>
    <w:rsid w:val="00D55ED6"/>
    <w:rsid w:val="00D55EDC"/>
    <w:rsid w:val="00D55FA6"/>
    <w:rsid w:val="00D55FDB"/>
    <w:rsid w:val="00D55FF0"/>
    <w:rsid w:val="00D56000"/>
    <w:rsid w:val="00D56098"/>
    <w:rsid w:val="00D5609F"/>
    <w:rsid w:val="00D560AB"/>
    <w:rsid w:val="00D560C8"/>
    <w:rsid w:val="00D5621A"/>
    <w:rsid w:val="00D56264"/>
    <w:rsid w:val="00D56278"/>
    <w:rsid w:val="00D562D7"/>
    <w:rsid w:val="00D564EA"/>
    <w:rsid w:val="00D56521"/>
    <w:rsid w:val="00D56593"/>
    <w:rsid w:val="00D566AA"/>
    <w:rsid w:val="00D56709"/>
    <w:rsid w:val="00D567BB"/>
    <w:rsid w:val="00D567E2"/>
    <w:rsid w:val="00D568AC"/>
    <w:rsid w:val="00D568B3"/>
    <w:rsid w:val="00D568C7"/>
    <w:rsid w:val="00D569C2"/>
    <w:rsid w:val="00D569FF"/>
    <w:rsid w:val="00D56A34"/>
    <w:rsid w:val="00D56B99"/>
    <w:rsid w:val="00D56BAC"/>
    <w:rsid w:val="00D56CAB"/>
    <w:rsid w:val="00D56D2C"/>
    <w:rsid w:val="00D56DD2"/>
    <w:rsid w:val="00D56ED8"/>
    <w:rsid w:val="00D56F24"/>
    <w:rsid w:val="00D56FA4"/>
    <w:rsid w:val="00D56FE6"/>
    <w:rsid w:val="00D57004"/>
    <w:rsid w:val="00D57074"/>
    <w:rsid w:val="00D570A8"/>
    <w:rsid w:val="00D57178"/>
    <w:rsid w:val="00D572C3"/>
    <w:rsid w:val="00D57303"/>
    <w:rsid w:val="00D57371"/>
    <w:rsid w:val="00D57398"/>
    <w:rsid w:val="00D57411"/>
    <w:rsid w:val="00D5752B"/>
    <w:rsid w:val="00D575F3"/>
    <w:rsid w:val="00D576C9"/>
    <w:rsid w:val="00D57772"/>
    <w:rsid w:val="00D57910"/>
    <w:rsid w:val="00D5791F"/>
    <w:rsid w:val="00D57A0D"/>
    <w:rsid w:val="00D57A44"/>
    <w:rsid w:val="00D57A4D"/>
    <w:rsid w:val="00D57BD3"/>
    <w:rsid w:val="00D57C9F"/>
    <w:rsid w:val="00D57CC1"/>
    <w:rsid w:val="00D57CE4"/>
    <w:rsid w:val="00D57D34"/>
    <w:rsid w:val="00D57D68"/>
    <w:rsid w:val="00D57DB9"/>
    <w:rsid w:val="00D57E35"/>
    <w:rsid w:val="00D57ECA"/>
    <w:rsid w:val="00D57F05"/>
    <w:rsid w:val="00D57F6C"/>
    <w:rsid w:val="00D57FC9"/>
    <w:rsid w:val="00D6010B"/>
    <w:rsid w:val="00D6019B"/>
    <w:rsid w:val="00D601CE"/>
    <w:rsid w:val="00D601FF"/>
    <w:rsid w:val="00D60334"/>
    <w:rsid w:val="00D60388"/>
    <w:rsid w:val="00D6038F"/>
    <w:rsid w:val="00D60407"/>
    <w:rsid w:val="00D6044F"/>
    <w:rsid w:val="00D60485"/>
    <w:rsid w:val="00D60537"/>
    <w:rsid w:val="00D60548"/>
    <w:rsid w:val="00D6057A"/>
    <w:rsid w:val="00D60595"/>
    <w:rsid w:val="00D605C7"/>
    <w:rsid w:val="00D6063F"/>
    <w:rsid w:val="00D6066D"/>
    <w:rsid w:val="00D607B5"/>
    <w:rsid w:val="00D60805"/>
    <w:rsid w:val="00D608EC"/>
    <w:rsid w:val="00D60A87"/>
    <w:rsid w:val="00D60B91"/>
    <w:rsid w:val="00D60C64"/>
    <w:rsid w:val="00D60C8F"/>
    <w:rsid w:val="00D60C94"/>
    <w:rsid w:val="00D60DD2"/>
    <w:rsid w:val="00D60E19"/>
    <w:rsid w:val="00D60E63"/>
    <w:rsid w:val="00D60E89"/>
    <w:rsid w:val="00D60E90"/>
    <w:rsid w:val="00D60EC4"/>
    <w:rsid w:val="00D60ED4"/>
    <w:rsid w:val="00D60F16"/>
    <w:rsid w:val="00D60F2E"/>
    <w:rsid w:val="00D60F57"/>
    <w:rsid w:val="00D60F6C"/>
    <w:rsid w:val="00D60F7E"/>
    <w:rsid w:val="00D60FA4"/>
    <w:rsid w:val="00D61136"/>
    <w:rsid w:val="00D61162"/>
    <w:rsid w:val="00D612E5"/>
    <w:rsid w:val="00D613A2"/>
    <w:rsid w:val="00D613F2"/>
    <w:rsid w:val="00D6140B"/>
    <w:rsid w:val="00D61447"/>
    <w:rsid w:val="00D61500"/>
    <w:rsid w:val="00D61501"/>
    <w:rsid w:val="00D615AB"/>
    <w:rsid w:val="00D615E9"/>
    <w:rsid w:val="00D61607"/>
    <w:rsid w:val="00D6162B"/>
    <w:rsid w:val="00D6162C"/>
    <w:rsid w:val="00D61632"/>
    <w:rsid w:val="00D6168A"/>
    <w:rsid w:val="00D61698"/>
    <w:rsid w:val="00D61702"/>
    <w:rsid w:val="00D61710"/>
    <w:rsid w:val="00D61729"/>
    <w:rsid w:val="00D61758"/>
    <w:rsid w:val="00D617F4"/>
    <w:rsid w:val="00D618AE"/>
    <w:rsid w:val="00D6190A"/>
    <w:rsid w:val="00D61958"/>
    <w:rsid w:val="00D61992"/>
    <w:rsid w:val="00D619D6"/>
    <w:rsid w:val="00D619ED"/>
    <w:rsid w:val="00D619F5"/>
    <w:rsid w:val="00D61A35"/>
    <w:rsid w:val="00D61BE9"/>
    <w:rsid w:val="00D61BFA"/>
    <w:rsid w:val="00D61C10"/>
    <w:rsid w:val="00D61C29"/>
    <w:rsid w:val="00D61C37"/>
    <w:rsid w:val="00D61C7B"/>
    <w:rsid w:val="00D61C7C"/>
    <w:rsid w:val="00D61C8A"/>
    <w:rsid w:val="00D61C9B"/>
    <w:rsid w:val="00D61D39"/>
    <w:rsid w:val="00D61D8B"/>
    <w:rsid w:val="00D61DC4"/>
    <w:rsid w:val="00D61EBB"/>
    <w:rsid w:val="00D61F2D"/>
    <w:rsid w:val="00D61F35"/>
    <w:rsid w:val="00D61F51"/>
    <w:rsid w:val="00D61FC1"/>
    <w:rsid w:val="00D62041"/>
    <w:rsid w:val="00D62132"/>
    <w:rsid w:val="00D6219E"/>
    <w:rsid w:val="00D621BF"/>
    <w:rsid w:val="00D622B6"/>
    <w:rsid w:val="00D62429"/>
    <w:rsid w:val="00D62450"/>
    <w:rsid w:val="00D62471"/>
    <w:rsid w:val="00D625AD"/>
    <w:rsid w:val="00D6261B"/>
    <w:rsid w:val="00D6264A"/>
    <w:rsid w:val="00D62665"/>
    <w:rsid w:val="00D626B6"/>
    <w:rsid w:val="00D62714"/>
    <w:rsid w:val="00D62746"/>
    <w:rsid w:val="00D62755"/>
    <w:rsid w:val="00D627B9"/>
    <w:rsid w:val="00D628DC"/>
    <w:rsid w:val="00D6293D"/>
    <w:rsid w:val="00D62993"/>
    <w:rsid w:val="00D62A06"/>
    <w:rsid w:val="00D62A68"/>
    <w:rsid w:val="00D62A9B"/>
    <w:rsid w:val="00D62AF8"/>
    <w:rsid w:val="00D62B17"/>
    <w:rsid w:val="00D62B41"/>
    <w:rsid w:val="00D62C73"/>
    <w:rsid w:val="00D62C79"/>
    <w:rsid w:val="00D62D83"/>
    <w:rsid w:val="00D62DA4"/>
    <w:rsid w:val="00D62DC3"/>
    <w:rsid w:val="00D62F00"/>
    <w:rsid w:val="00D62F2A"/>
    <w:rsid w:val="00D62F98"/>
    <w:rsid w:val="00D62FF6"/>
    <w:rsid w:val="00D63018"/>
    <w:rsid w:val="00D6310D"/>
    <w:rsid w:val="00D63162"/>
    <w:rsid w:val="00D63187"/>
    <w:rsid w:val="00D631B4"/>
    <w:rsid w:val="00D63270"/>
    <w:rsid w:val="00D632E9"/>
    <w:rsid w:val="00D63411"/>
    <w:rsid w:val="00D63428"/>
    <w:rsid w:val="00D6343A"/>
    <w:rsid w:val="00D63458"/>
    <w:rsid w:val="00D6349D"/>
    <w:rsid w:val="00D634B3"/>
    <w:rsid w:val="00D634D7"/>
    <w:rsid w:val="00D635D6"/>
    <w:rsid w:val="00D6361B"/>
    <w:rsid w:val="00D636E8"/>
    <w:rsid w:val="00D63706"/>
    <w:rsid w:val="00D63733"/>
    <w:rsid w:val="00D63769"/>
    <w:rsid w:val="00D6376C"/>
    <w:rsid w:val="00D63997"/>
    <w:rsid w:val="00D639B4"/>
    <w:rsid w:val="00D63A36"/>
    <w:rsid w:val="00D63A52"/>
    <w:rsid w:val="00D63A65"/>
    <w:rsid w:val="00D63A73"/>
    <w:rsid w:val="00D63A79"/>
    <w:rsid w:val="00D63AC0"/>
    <w:rsid w:val="00D63BEE"/>
    <w:rsid w:val="00D63BFD"/>
    <w:rsid w:val="00D63C5C"/>
    <w:rsid w:val="00D63C69"/>
    <w:rsid w:val="00D63D46"/>
    <w:rsid w:val="00D63DBF"/>
    <w:rsid w:val="00D63DEC"/>
    <w:rsid w:val="00D63E09"/>
    <w:rsid w:val="00D63E97"/>
    <w:rsid w:val="00D63EE8"/>
    <w:rsid w:val="00D63FD4"/>
    <w:rsid w:val="00D640DE"/>
    <w:rsid w:val="00D640E7"/>
    <w:rsid w:val="00D64130"/>
    <w:rsid w:val="00D64147"/>
    <w:rsid w:val="00D6423D"/>
    <w:rsid w:val="00D6424A"/>
    <w:rsid w:val="00D642CF"/>
    <w:rsid w:val="00D6430B"/>
    <w:rsid w:val="00D64357"/>
    <w:rsid w:val="00D64393"/>
    <w:rsid w:val="00D643F0"/>
    <w:rsid w:val="00D6448F"/>
    <w:rsid w:val="00D644E5"/>
    <w:rsid w:val="00D64546"/>
    <w:rsid w:val="00D645AE"/>
    <w:rsid w:val="00D646B9"/>
    <w:rsid w:val="00D6476E"/>
    <w:rsid w:val="00D64834"/>
    <w:rsid w:val="00D64867"/>
    <w:rsid w:val="00D648A0"/>
    <w:rsid w:val="00D6492F"/>
    <w:rsid w:val="00D64955"/>
    <w:rsid w:val="00D6495E"/>
    <w:rsid w:val="00D64995"/>
    <w:rsid w:val="00D649E9"/>
    <w:rsid w:val="00D649FC"/>
    <w:rsid w:val="00D64A1E"/>
    <w:rsid w:val="00D64A63"/>
    <w:rsid w:val="00D64A76"/>
    <w:rsid w:val="00D64AA5"/>
    <w:rsid w:val="00D64ABB"/>
    <w:rsid w:val="00D64ADE"/>
    <w:rsid w:val="00D64AF5"/>
    <w:rsid w:val="00D64B3A"/>
    <w:rsid w:val="00D64BCD"/>
    <w:rsid w:val="00D64C22"/>
    <w:rsid w:val="00D64C61"/>
    <w:rsid w:val="00D64C81"/>
    <w:rsid w:val="00D64EE9"/>
    <w:rsid w:val="00D65015"/>
    <w:rsid w:val="00D6504F"/>
    <w:rsid w:val="00D650A6"/>
    <w:rsid w:val="00D650D8"/>
    <w:rsid w:val="00D65132"/>
    <w:rsid w:val="00D6517E"/>
    <w:rsid w:val="00D65206"/>
    <w:rsid w:val="00D65252"/>
    <w:rsid w:val="00D65253"/>
    <w:rsid w:val="00D65376"/>
    <w:rsid w:val="00D65389"/>
    <w:rsid w:val="00D6539C"/>
    <w:rsid w:val="00D653A9"/>
    <w:rsid w:val="00D653F2"/>
    <w:rsid w:val="00D65519"/>
    <w:rsid w:val="00D65554"/>
    <w:rsid w:val="00D65592"/>
    <w:rsid w:val="00D6561D"/>
    <w:rsid w:val="00D6564F"/>
    <w:rsid w:val="00D6576F"/>
    <w:rsid w:val="00D65833"/>
    <w:rsid w:val="00D658B3"/>
    <w:rsid w:val="00D65915"/>
    <w:rsid w:val="00D65AAF"/>
    <w:rsid w:val="00D65B0B"/>
    <w:rsid w:val="00D65B1F"/>
    <w:rsid w:val="00D65BD9"/>
    <w:rsid w:val="00D65BFE"/>
    <w:rsid w:val="00D65C4A"/>
    <w:rsid w:val="00D65C6E"/>
    <w:rsid w:val="00D65C74"/>
    <w:rsid w:val="00D65CAF"/>
    <w:rsid w:val="00D65D1A"/>
    <w:rsid w:val="00D65D28"/>
    <w:rsid w:val="00D65DFF"/>
    <w:rsid w:val="00D65E14"/>
    <w:rsid w:val="00D65E4F"/>
    <w:rsid w:val="00D65E93"/>
    <w:rsid w:val="00D66113"/>
    <w:rsid w:val="00D66138"/>
    <w:rsid w:val="00D6616B"/>
    <w:rsid w:val="00D6619A"/>
    <w:rsid w:val="00D6636A"/>
    <w:rsid w:val="00D6643E"/>
    <w:rsid w:val="00D66494"/>
    <w:rsid w:val="00D66571"/>
    <w:rsid w:val="00D6669A"/>
    <w:rsid w:val="00D666E4"/>
    <w:rsid w:val="00D6676F"/>
    <w:rsid w:val="00D6694F"/>
    <w:rsid w:val="00D66991"/>
    <w:rsid w:val="00D66A79"/>
    <w:rsid w:val="00D66A83"/>
    <w:rsid w:val="00D66C2F"/>
    <w:rsid w:val="00D66C53"/>
    <w:rsid w:val="00D66C84"/>
    <w:rsid w:val="00D66CE6"/>
    <w:rsid w:val="00D66CEB"/>
    <w:rsid w:val="00D66D5F"/>
    <w:rsid w:val="00D66D79"/>
    <w:rsid w:val="00D66D7C"/>
    <w:rsid w:val="00D66DA7"/>
    <w:rsid w:val="00D66DA9"/>
    <w:rsid w:val="00D66DFF"/>
    <w:rsid w:val="00D66E50"/>
    <w:rsid w:val="00D66E69"/>
    <w:rsid w:val="00D66E82"/>
    <w:rsid w:val="00D66E9E"/>
    <w:rsid w:val="00D66EC9"/>
    <w:rsid w:val="00D66F1F"/>
    <w:rsid w:val="00D66F6B"/>
    <w:rsid w:val="00D66F72"/>
    <w:rsid w:val="00D66F9F"/>
    <w:rsid w:val="00D6707D"/>
    <w:rsid w:val="00D67130"/>
    <w:rsid w:val="00D67218"/>
    <w:rsid w:val="00D6737F"/>
    <w:rsid w:val="00D673A0"/>
    <w:rsid w:val="00D673D8"/>
    <w:rsid w:val="00D674ED"/>
    <w:rsid w:val="00D67511"/>
    <w:rsid w:val="00D67547"/>
    <w:rsid w:val="00D6755E"/>
    <w:rsid w:val="00D67575"/>
    <w:rsid w:val="00D675E3"/>
    <w:rsid w:val="00D67624"/>
    <w:rsid w:val="00D6765B"/>
    <w:rsid w:val="00D67662"/>
    <w:rsid w:val="00D67669"/>
    <w:rsid w:val="00D6766F"/>
    <w:rsid w:val="00D67699"/>
    <w:rsid w:val="00D676E6"/>
    <w:rsid w:val="00D67714"/>
    <w:rsid w:val="00D6771B"/>
    <w:rsid w:val="00D67744"/>
    <w:rsid w:val="00D6782D"/>
    <w:rsid w:val="00D6795B"/>
    <w:rsid w:val="00D6798E"/>
    <w:rsid w:val="00D67992"/>
    <w:rsid w:val="00D679E3"/>
    <w:rsid w:val="00D679F8"/>
    <w:rsid w:val="00D67A92"/>
    <w:rsid w:val="00D67ACA"/>
    <w:rsid w:val="00D67B31"/>
    <w:rsid w:val="00D67B65"/>
    <w:rsid w:val="00D67CC0"/>
    <w:rsid w:val="00D67D49"/>
    <w:rsid w:val="00D67D7E"/>
    <w:rsid w:val="00D67DBA"/>
    <w:rsid w:val="00D67DED"/>
    <w:rsid w:val="00D67E24"/>
    <w:rsid w:val="00D67E67"/>
    <w:rsid w:val="00D67FC1"/>
    <w:rsid w:val="00D70225"/>
    <w:rsid w:val="00D7022B"/>
    <w:rsid w:val="00D70240"/>
    <w:rsid w:val="00D70328"/>
    <w:rsid w:val="00D70357"/>
    <w:rsid w:val="00D70402"/>
    <w:rsid w:val="00D70411"/>
    <w:rsid w:val="00D704B2"/>
    <w:rsid w:val="00D705E1"/>
    <w:rsid w:val="00D70686"/>
    <w:rsid w:val="00D706E8"/>
    <w:rsid w:val="00D70732"/>
    <w:rsid w:val="00D7089D"/>
    <w:rsid w:val="00D70915"/>
    <w:rsid w:val="00D7094F"/>
    <w:rsid w:val="00D70A0D"/>
    <w:rsid w:val="00D70A16"/>
    <w:rsid w:val="00D70A9F"/>
    <w:rsid w:val="00D70C00"/>
    <w:rsid w:val="00D70D46"/>
    <w:rsid w:val="00D70D85"/>
    <w:rsid w:val="00D70DA9"/>
    <w:rsid w:val="00D70DFA"/>
    <w:rsid w:val="00D70E57"/>
    <w:rsid w:val="00D70E97"/>
    <w:rsid w:val="00D70EB0"/>
    <w:rsid w:val="00D70EC9"/>
    <w:rsid w:val="00D70ED7"/>
    <w:rsid w:val="00D70F12"/>
    <w:rsid w:val="00D70F43"/>
    <w:rsid w:val="00D70FB5"/>
    <w:rsid w:val="00D70FBD"/>
    <w:rsid w:val="00D71025"/>
    <w:rsid w:val="00D71038"/>
    <w:rsid w:val="00D71048"/>
    <w:rsid w:val="00D710CE"/>
    <w:rsid w:val="00D71171"/>
    <w:rsid w:val="00D71195"/>
    <w:rsid w:val="00D711D1"/>
    <w:rsid w:val="00D711D9"/>
    <w:rsid w:val="00D7120E"/>
    <w:rsid w:val="00D71219"/>
    <w:rsid w:val="00D71236"/>
    <w:rsid w:val="00D71270"/>
    <w:rsid w:val="00D712BA"/>
    <w:rsid w:val="00D712C7"/>
    <w:rsid w:val="00D712F7"/>
    <w:rsid w:val="00D713B1"/>
    <w:rsid w:val="00D713CB"/>
    <w:rsid w:val="00D71464"/>
    <w:rsid w:val="00D714B2"/>
    <w:rsid w:val="00D715AE"/>
    <w:rsid w:val="00D715B1"/>
    <w:rsid w:val="00D715BD"/>
    <w:rsid w:val="00D71704"/>
    <w:rsid w:val="00D71784"/>
    <w:rsid w:val="00D7183E"/>
    <w:rsid w:val="00D71859"/>
    <w:rsid w:val="00D71872"/>
    <w:rsid w:val="00D71894"/>
    <w:rsid w:val="00D719CB"/>
    <w:rsid w:val="00D719F3"/>
    <w:rsid w:val="00D71A2A"/>
    <w:rsid w:val="00D71A59"/>
    <w:rsid w:val="00D71AB8"/>
    <w:rsid w:val="00D71BAD"/>
    <w:rsid w:val="00D71C93"/>
    <w:rsid w:val="00D71CD4"/>
    <w:rsid w:val="00D71CE6"/>
    <w:rsid w:val="00D71CFB"/>
    <w:rsid w:val="00D71D28"/>
    <w:rsid w:val="00D71D35"/>
    <w:rsid w:val="00D71D46"/>
    <w:rsid w:val="00D71D62"/>
    <w:rsid w:val="00D71DEB"/>
    <w:rsid w:val="00D71E33"/>
    <w:rsid w:val="00D71EE3"/>
    <w:rsid w:val="00D71F8F"/>
    <w:rsid w:val="00D72070"/>
    <w:rsid w:val="00D72080"/>
    <w:rsid w:val="00D720D1"/>
    <w:rsid w:val="00D7224E"/>
    <w:rsid w:val="00D7225C"/>
    <w:rsid w:val="00D7226A"/>
    <w:rsid w:val="00D7226D"/>
    <w:rsid w:val="00D722B7"/>
    <w:rsid w:val="00D72321"/>
    <w:rsid w:val="00D723CD"/>
    <w:rsid w:val="00D72410"/>
    <w:rsid w:val="00D72477"/>
    <w:rsid w:val="00D72643"/>
    <w:rsid w:val="00D72701"/>
    <w:rsid w:val="00D72737"/>
    <w:rsid w:val="00D727AD"/>
    <w:rsid w:val="00D72930"/>
    <w:rsid w:val="00D7299B"/>
    <w:rsid w:val="00D72A66"/>
    <w:rsid w:val="00D72A7E"/>
    <w:rsid w:val="00D72AD9"/>
    <w:rsid w:val="00D72B92"/>
    <w:rsid w:val="00D72BF6"/>
    <w:rsid w:val="00D72C57"/>
    <w:rsid w:val="00D72C7E"/>
    <w:rsid w:val="00D72CFF"/>
    <w:rsid w:val="00D72D90"/>
    <w:rsid w:val="00D72DCE"/>
    <w:rsid w:val="00D72E4E"/>
    <w:rsid w:val="00D72F7F"/>
    <w:rsid w:val="00D72F97"/>
    <w:rsid w:val="00D72FE5"/>
    <w:rsid w:val="00D7300B"/>
    <w:rsid w:val="00D73055"/>
    <w:rsid w:val="00D7306C"/>
    <w:rsid w:val="00D730B8"/>
    <w:rsid w:val="00D7313E"/>
    <w:rsid w:val="00D73268"/>
    <w:rsid w:val="00D73302"/>
    <w:rsid w:val="00D7332F"/>
    <w:rsid w:val="00D73393"/>
    <w:rsid w:val="00D733EB"/>
    <w:rsid w:val="00D73450"/>
    <w:rsid w:val="00D73517"/>
    <w:rsid w:val="00D73562"/>
    <w:rsid w:val="00D735BD"/>
    <w:rsid w:val="00D73600"/>
    <w:rsid w:val="00D73698"/>
    <w:rsid w:val="00D7371E"/>
    <w:rsid w:val="00D737C4"/>
    <w:rsid w:val="00D737ED"/>
    <w:rsid w:val="00D73822"/>
    <w:rsid w:val="00D7383A"/>
    <w:rsid w:val="00D73862"/>
    <w:rsid w:val="00D73871"/>
    <w:rsid w:val="00D738C5"/>
    <w:rsid w:val="00D738F3"/>
    <w:rsid w:val="00D73AC7"/>
    <w:rsid w:val="00D73ADF"/>
    <w:rsid w:val="00D73B15"/>
    <w:rsid w:val="00D73BA5"/>
    <w:rsid w:val="00D73CBE"/>
    <w:rsid w:val="00D73CD2"/>
    <w:rsid w:val="00D73CEF"/>
    <w:rsid w:val="00D73D3A"/>
    <w:rsid w:val="00D73D91"/>
    <w:rsid w:val="00D73DFA"/>
    <w:rsid w:val="00D73E5E"/>
    <w:rsid w:val="00D73ED7"/>
    <w:rsid w:val="00D73F54"/>
    <w:rsid w:val="00D73F7A"/>
    <w:rsid w:val="00D73FA6"/>
    <w:rsid w:val="00D73FAB"/>
    <w:rsid w:val="00D74022"/>
    <w:rsid w:val="00D7406A"/>
    <w:rsid w:val="00D740D0"/>
    <w:rsid w:val="00D7416A"/>
    <w:rsid w:val="00D741A5"/>
    <w:rsid w:val="00D741D3"/>
    <w:rsid w:val="00D741E3"/>
    <w:rsid w:val="00D7423B"/>
    <w:rsid w:val="00D74294"/>
    <w:rsid w:val="00D742DD"/>
    <w:rsid w:val="00D74314"/>
    <w:rsid w:val="00D7431D"/>
    <w:rsid w:val="00D74394"/>
    <w:rsid w:val="00D7441B"/>
    <w:rsid w:val="00D744AD"/>
    <w:rsid w:val="00D744EF"/>
    <w:rsid w:val="00D74565"/>
    <w:rsid w:val="00D745A6"/>
    <w:rsid w:val="00D746BF"/>
    <w:rsid w:val="00D746FF"/>
    <w:rsid w:val="00D7480E"/>
    <w:rsid w:val="00D748C4"/>
    <w:rsid w:val="00D74922"/>
    <w:rsid w:val="00D74980"/>
    <w:rsid w:val="00D74984"/>
    <w:rsid w:val="00D749EE"/>
    <w:rsid w:val="00D74A10"/>
    <w:rsid w:val="00D74A7C"/>
    <w:rsid w:val="00D74BE7"/>
    <w:rsid w:val="00D74C3F"/>
    <w:rsid w:val="00D74C8E"/>
    <w:rsid w:val="00D74CC3"/>
    <w:rsid w:val="00D74CC7"/>
    <w:rsid w:val="00D74D12"/>
    <w:rsid w:val="00D74D14"/>
    <w:rsid w:val="00D74DA8"/>
    <w:rsid w:val="00D74DEE"/>
    <w:rsid w:val="00D74F58"/>
    <w:rsid w:val="00D74FBD"/>
    <w:rsid w:val="00D75058"/>
    <w:rsid w:val="00D75077"/>
    <w:rsid w:val="00D75099"/>
    <w:rsid w:val="00D75130"/>
    <w:rsid w:val="00D75171"/>
    <w:rsid w:val="00D7525F"/>
    <w:rsid w:val="00D752C4"/>
    <w:rsid w:val="00D75302"/>
    <w:rsid w:val="00D75405"/>
    <w:rsid w:val="00D75409"/>
    <w:rsid w:val="00D75415"/>
    <w:rsid w:val="00D7543B"/>
    <w:rsid w:val="00D75447"/>
    <w:rsid w:val="00D75488"/>
    <w:rsid w:val="00D75490"/>
    <w:rsid w:val="00D754D6"/>
    <w:rsid w:val="00D7553F"/>
    <w:rsid w:val="00D75545"/>
    <w:rsid w:val="00D75563"/>
    <w:rsid w:val="00D75590"/>
    <w:rsid w:val="00D755FB"/>
    <w:rsid w:val="00D75657"/>
    <w:rsid w:val="00D7565F"/>
    <w:rsid w:val="00D756B3"/>
    <w:rsid w:val="00D75789"/>
    <w:rsid w:val="00D759EA"/>
    <w:rsid w:val="00D75A21"/>
    <w:rsid w:val="00D75A6A"/>
    <w:rsid w:val="00D75B6F"/>
    <w:rsid w:val="00D75B76"/>
    <w:rsid w:val="00D75BBF"/>
    <w:rsid w:val="00D75CE8"/>
    <w:rsid w:val="00D75D65"/>
    <w:rsid w:val="00D75D81"/>
    <w:rsid w:val="00D75D9F"/>
    <w:rsid w:val="00D75E10"/>
    <w:rsid w:val="00D75E14"/>
    <w:rsid w:val="00D75E8B"/>
    <w:rsid w:val="00D75F26"/>
    <w:rsid w:val="00D75F89"/>
    <w:rsid w:val="00D75FA2"/>
    <w:rsid w:val="00D75FAB"/>
    <w:rsid w:val="00D761AE"/>
    <w:rsid w:val="00D761B4"/>
    <w:rsid w:val="00D76318"/>
    <w:rsid w:val="00D76340"/>
    <w:rsid w:val="00D76351"/>
    <w:rsid w:val="00D76409"/>
    <w:rsid w:val="00D76452"/>
    <w:rsid w:val="00D76495"/>
    <w:rsid w:val="00D76497"/>
    <w:rsid w:val="00D768BF"/>
    <w:rsid w:val="00D76934"/>
    <w:rsid w:val="00D76AC1"/>
    <w:rsid w:val="00D76AE7"/>
    <w:rsid w:val="00D76B92"/>
    <w:rsid w:val="00D76C0A"/>
    <w:rsid w:val="00D76D26"/>
    <w:rsid w:val="00D76DB8"/>
    <w:rsid w:val="00D76DD9"/>
    <w:rsid w:val="00D76E97"/>
    <w:rsid w:val="00D76EDF"/>
    <w:rsid w:val="00D77044"/>
    <w:rsid w:val="00D7712E"/>
    <w:rsid w:val="00D7717E"/>
    <w:rsid w:val="00D7719F"/>
    <w:rsid w:val="00D771DA"/>
    <w:rsid w:val="00D771FA"/>
    <w:rsid w:val="00D77234"/>
    <w:rsid w:val="00D77248"/>
    <w:rsid w:val="00D773D8"/>
    <w:rsid w:val="00D77409"/>
    <w:rsid w:val="00D77439"/>
    <w:rsid w:val="00D77453"/>
    <w:rsid w:val="00D77481"/>
    <w:rsid w:val="00D774E8"/>
    <w:rsid w:val="00D7753A"/>
    <w:rsid w:val="00D77552"/>
    <w:rsid w:val="00D7758F"/>
    <w:rsid w:val="00D775C9"/>
    <w:rsid w:val="00D77679"/>
    <w:rsid w:val="00D77769"/>
    <w:rsid w:val="00D777F6"/>
    <w:rsid w:val="00D77801"/>
    <w:rsid w:val="00D77913"/>
    <w:rsid w:val="00D7798F"/>
    <w:rsid w:val="00D77992"/>
    <w:rsid w:val="00D779E0"/>
    <w:rsid w:val="00D77ADB"/>
    <w:rsid w:val="00D77AF0"/>
    <w:rsid w:val="00D77B1D"/>
    <w:rsid w:val="00D77B2D"/>
    <w:rsid w:val="00D77C0C"/>
    <w:rsid w:val="00D77C2A"/>
    <w:rsid w:val="00D77C2C"/>
    <w:rsid w:val="00D77CA2"/>
    <w:rsid w:val="00D77DF6"/>
    <w:rsid w:val="00D77ECD"/>
    <w:rsid w:val="00D77F11"/>
    <w:rsid w:val="00D77F32"/>
    <w:rsid w:val="00D77F7A"/>
    <w:rsid w:val="00D77FB4"/>
    <w:rsid w:val="00D77FF1"/>
    <w:rsid w:val="00D80153"/>
    <w:rsid w:val="00D80220"/>
    <w:rsid w:val="00D8022E"/>
    <w:rsid w:val="00D8024E"/>
    <w:rsid w:val="00D80251"/>
    <w:rsid w:val="00D802FE"/>
    <w:rsid w:val="00D80376"/>
    <w:rsid w:val="00D80394"/>
    <w:rsid w:val="00D8039A"/>
    <w:rsid w:val="00D804D0"/>
    <w:rsid w:val="00D8055D"/>
    <w:rsid w:val="00D805C1"/>
    <w:rsid w:val="00D805D3"/>
    <w:rsid w:val="00D805D6"/>
    <w:rsid w:val="00D8062B"/>
    <w:rsid w:val="00D80678"/>
    <w:rsid w:val="00D80711"/>
    <w:rsid w:val="00D8074E"/>
    <w:rsid w:val="00D8079C"/>
    <w:rsid w:val="00D80852"/>
    <w:rsid w:val="00D80858"/>
    <w:rsid w:val="00D80877"/>
    <w:rsid w:val="00D8088C"/>
    <w:rsid w:val="00D808C2"/>
    <w:rsid w:val="00D808C8"/>
    <w:rsid w:val="00D80914"/>
    <w:rsid w:val="00D80949"/>
    <w:rsid w:val="00D809C2"/>
    <w:rsid w:val="00D809FE"/>
    <w:rsid w:val="00D80A24"/>
    <w:rsid w:val="00D80AA3"/>
    <w:rsid w:val="00D80AA8"/>
    <w:rsid w:val="00D80AD4"/>
    <w:rsid w:val="00D80C36"/>
    <w:rsid w:val="00D80C7B"/>
    <w:rsid w:val="00D80C7E"/>
    <w:rsid w:val="00D80D94"/>
    <w:rsid w:val="00D80E28"/>
    <w:rsid w:val="00D80E7C"/>
    <w:rsid w:val="00D80E9B"/>
    <w:rsid w:val="00D80EE1"/>
    <w:rsid w:val="00D80F0A"/>
    <w:rsid w:val="00D80F5D"/>
    <w:rsid w:val="00D80FE2"/>
    <w:rsid w:val="00D81009"/>
    <w:rsid w:val="00D81137"/>
    <w:rsid w:val="00D81181"/>
    <w:rsid w:val="00D81186"/>
    <w:rsid w:val="00D811E4"/>
    <w:rsid w:val="00D8123E"/>
    <w:rsid w:val="00D813EB"/>
    <w:rsid w:val="00D81497"/>
    <w:rsid w:val="00D8150C"/>
    <w:rsid w:val="00D81538"/>
    <w:rsid w:val="00D81578"/>
    <w:rsid w:val="00D8157C"/>
    <w:rsid w:val="00D81584"/>
    <w:rsid w:val="00D815C3"/>
    <w:rsid w:val="00D81638"/>
    <w:rsid w:val="00D8164C"/>
    <w:rsid w:val="00D816F7"/>
    <w:rsid w:val="00D8183E"/>
    <w:rsid w:val="00D81869"/>
    <w:rsid w:val="00D81943"/>
    <w:rsid w:val="00D81965"/>
    <w:rsid w:val="00D819C9"/>
    <w:rsid w:val="00D819D9"/>
    <w:rsid w:val="00D81A27"/>
    <w:rsid w:val="00D81AD5"/>
    <w:rsid w:val="00D81B13"/>
    <w:rsid w:val="00D81B75"/>
    <w:rsid w:val="00D81B90"/>
    <w:rsid w:val="00D81BFB"/>
    <w:rsid w:val="00D81C01"/>
    <w:rsid w:val="00D81C7E"/>
    <w:rsid w:val="00D81CB9"/>
    <w:rsid w:val="00D81D22"/>
    <w:rsid w:val="00D81D38"/>
    <w:rsid w:val="00D81D5D"/>
    <w:rsid w:val="00D81D64"/>
    <w:rsid w:val="00D81DA7"/>
    <w:rsid w:val="00D81E99"/>
    <w:rsid w:val="00D81F00"/>
    <w:rsid w:val="00D81F10"/>
    <w:rsid w:val="00D81F9D"/>
    <w:rsid w:val="00D81FBA"/>
    <w:rsid w:val="00D82046"/>
    <w:rsid w:val="00D8207B"/>
    <w:rsid w:val="00D8214E"/>
    <w:rsid w:val="00D82168"/>
    <w:rsid w:val="00D82192"/>
    <w:rsid w:val="00D821FF"/>
    <w:rsid w:val="00D82214"/>
    <w:rsid w:val="00D8225A"/>
    <w:rsid w:val="00D8226A"/>
    <w:rsid w:val="00D822C1"/>
    <w:rsid w:val="00D8231C"/>
    <w:rsid w:val="00D8232B"/>
    <w:rsid w:val="00D82339"/>
    <w:rsid w:val="00D82432"/>
    <w:rsid w:val="00D824A6"/>
    <w:rsid w:val="00D824EB"/>
    <w:rsid w:val="00D82519"/>
    <w:rsid w:val="00D82569"/>
    <w:rsid w:val="00D8268B"/>
    <w:rsid w:val="00D826D0"/>
    <w:rsid w:val="00D8271A"/>
    <w:rsid w:val="00D82725"/>
    <w:rsid w:val="00D829C4"/>
    <w:rsid w:val="00D829CF"/>
    <w:rsid w:val="00D82AAD"/>
    <w:rsid w:val="00D82AFB"/>
    <w:rsid w:val="00D82B32"/>
    <w:rsid w:val="00D82B58"/>
    <w:rsid w:val="00D82B6F"/>
    <w:rsid w:val="00D82B90"/>
    <w:rsid w:val="00D82BCA"/>
    <w:rsid w:val="00D82BEC"/>
    <w:rsid w:val="00D82C7E"/>
    <w:rsid w:val="00D82CA8"/>
    <w:rsid w:val="00D82CAB"/>
    <w:rsid w:val="00D82CCA"/>
    <w:rsid w:val="00D82CDE"/>
    <w:rsid w:val="00D82D6E"/>
    <w:rsid w:val="00D82E52"/>
    <w:rsid w:val="00D82E82"/>
    <w:rsid w:val="00D82E9E"/>
    <w:rsid w:val="00D82EA3"/>
    <w:rsid w:val="00D82EA6"/>
    <w:rsid w:val="00D82F2A"/>
    <w:rsid w:val="00D82F69"/>
    <w:rsid w:val="00D82FE3"/>
    <w:rsid w:val="00D82FED"/>
    <w:rsid w:val="00D83034"/>
    <w:rsid w:val="00D83096"/>
    <w:rsid w:val="00D830A1"/>
    <w:rsid w:val="00D830D2"/>
    <w:rsid w:val="00D831DC"/>
    <w:rsid w:val="00D831DF"/>
    <w:rsid w:val="00D8324F"/>
    <w:rsid w:val="00D832EB"/>
    <w:rsid w:val="00D83344"/>
    <w:rsid w:val="00D83393"/>
    <w:rsid w:val="00D833F4"/>
    <w:rsid w:val="00D8340C"/>
    <w:rsid w:val="00D834F6"/>
    <w:rsid w:val="00D834FC"/>
    <w:rsid w:val="00D8350F"/>
    <w:rsid w:val="00D835C6"/>
    <w:rsid w:val="00D83692"/>
    <w:rsid w:val="00D836AD"/>
    <w:rsid w:val="00D836D6"/>
    <w:rsid w:val="00D836DC"/>
    <w:rsid w:val="00D837C7"/>
    <w:rsid w:val="00D83825"/>
    <w:rsid w:val="00D8385D"/>
    <w:rsid w:val="00D83882"/>
    <w:rsid w:val="00D8396D"/>
    <w:rsid w:val="00D839FC"/>
    <w:rsid w:val="00D83AE4"/>
    <w:rsid w:val="00D83B29"/>
    <w:rsid w:val="00D83B31"/>
    <w:rsid w:val="00D83BF5"/>
    <w:rsid w:val="00D83C8F"/>
    <w:rsid w:val="00D83CA2"/>
    <w:rsid w:val="00D83CF7"/>
    <w:rsid w:val="00D83D10"/>
    <w:rsid w:val="00D83DB7"/>
    <w:rsid w:val="00D83DE1"/>
    <w:rsid w:val="00D83DE8"/>
    <w:rsid w:val="00D83E24"/>
    <w:rsid w:val="00D83F1D"/>
    <w:rsid w:val="00D83F80"/>
    <w:rsid w:val="00D84017"/>
    <w:rsid w:val="00D8403B"/>
    <w:rsid w:val="00D840D6"/>
    <w:rsid w:val="00D84100"/>
    <w:rsid w:val="00D8412D"/>
    <w:rsid w:val="00D8428A"/>
    <w:rsid w:val="00D842D0"/>
    <w:rsid w:val="00D842FA"/>
    <w:rsid w:val="00D843AA"/>
    <w:rsid w:val="00D843DA"/>
    <w:rsid w:val="00D84480"/>
    <w:rsid w:val="00D844AD"/>
    <w:rsid w:val="00D8451C"/>
    <w:rsid w:val="00D845A0"/>
    <w:rsid w:val="00D845E5"/>
    <w:rsid w:val="00D84621"/>
    <w:rsid w:val="00D8462B"/>
    <w:rsid w:val="00D8463B"/>
    <w:rsid w:val="00D846FA"/>
    <w:rsid w:val="00D84797"/>
    <w:rsid w:val="00D847CB"/>
    <w:rsid w:val="00D84813"/>
    <w:rsid w:val="00D848A5"/>
    <w:rsid w:val="00D848F7"/>
    <w:rsid w:val="00D84917"/>
    <w:rsid w:val="00D8498E"/>
    <w:rsid w:val="00D84996"/>
    <w:rsid w:val="00D84B0B"/>
    <w:rsid w:val="00D84B38"/>
    <w:rsid w:val="00D84BDB"/>
    <w:rsid w:val="00D84BE6"/>
    <w:rsid w:val="00D84C09"/>
    <w:rsid w:val="00D84C2A"/>
    <w:rsid w:val="00D84C40"/>
    <w:rsid w:val="00D84C4A"/>
    <w:rsid w:val="00D84C7B"/>
    <w:rsid w:val="00D84D0E"/>
    <w:rsid w:val="00D84D3D"/>
    <w:rsid w:val="00D84ECB"/>
    <w:rsid w:val="00D84F0B"/>
    <w:rsid w:val="00D84FC0"/>
    <w:rsid w:val="00D84FE1"/>
    <w:rsid w:val="00D850E1"/>
    <w:rsid w:val="00D850E6"/>
    <w:rsid w:val="00D85140"/>
    <w:rsid w:val="00D85179"/>
    <w:rsid w:val="00D85234"/>
    <w:rsid w:val="00D8526B"/>
    <w:rsid w:val="00D852DF"/>
    <w:rsid w:val="00D85337"/>
    <w:rsid w:val="00D85351"/>
    <w:rsid w:val="00D85368"/>
    <w:rsid w:val="00D85396"/>
    <w:rsid w:val="00D8544C"/>
    <w:rsid w:val="00D854DD"/>
    <w:rsid w:val="00D855E9"/>
    <w:rsid w:val="00D85634"/>
    <w:rsid w:val="00D85707"/>
    <w:rsid w:val="00D857FF"/>
    <w:rsid w:val="00D8584E"/>
    <w:rsid w:val="00D8589E"/>
    <w:rsid w:val="00D858E9"/>
    <w:rsid w:val="00D859C9"/>
    <w:rsid w:val="00D85AFD"/>
    <w:rsid w:val="00D85B30"/>
    <w:rsid w:val="00D85B35"/>
    <w:rsid w:val="00D85C03"/>
    <w:rsid w:val="00D85D05"/>
    <w:rsid w:val="00D85D83"/>
    <w:rsid w:val="00D85D9D"/>
    <w:rsid w:val="00D85D9F"/>
    <w:rsid w:val="00D85DC8"/>
    <w:rsid w:val="00D85DE7"/>
    <w:rsid w:val="00D85E93"/>
    <w:rsid w:val="00D86065"/>
    <w:rsid w:val="00D8611F"/>
    <w:rsid w:val="00D8615D"/>
    <w:rsid w:val="00D86162"/>
    <w:rsid w:val="00D8619F"/>
    <w:rsid w:val="00D861D8"/>
    <w:rsid w:val="00D861F7"/>
    <w:rsid w:val="00D86213"/>
    <w:rsid w:val="00D8621B"/>
    <w:rsid w:val="00D86220"/>
    <w:rsid w:val="00D8625F"/>
    <w:rsid w:val="00D86275"/>
    <w:rsid w:val="00D8627E"/>
    <w:rsid w:val="00D86580"/>
    <w:rsid w:val="00D865CD"/>
    <w:rsid w:val="00D866A6"/>
    <w:rsid w:val="00D8676C"/>
    <w:rsid w:val="00D867A7"/>
    <w:rsid w:val="00D867FF"/>
    <w:rsid w:val="00D86829"/>
    <w:rsid w:val="00D869F0"/>
    <w:rsid w:val="00D86A68"/>
    <w:rsid w:val="00D86A8C"/>
    <w:rsid w:val="00D86A8E"/>
    <w:rsid w:val="00D86A96"/>
    <w:rsid w:val="00D86AE8"/>
    <w:rsid w:val="00D86D45"/>
    <w:rsid w:val="00D86D60"/>
    <w:rsid w:val="00D86E08"/>
    <w:rsid w:val="00D86EA5"/>
    <w:rsid w:val="00D86EEA"/>
    <w:rsid w:val="00D86EF7"/>
    <w:rsid w:val="00D86F31"/>
    <w:rsid w:val="00D86F4A"/>
    <w:rsid w:val="00D86F5C"/>
    <w:rsid w:val="00D86FA3"/>
    <w:rsid w:val="00D8700D"/>
    <w:rsid w:val="00D8710B"/>
    <w:rsid w:val="00D87147"/>
    <w:rsid w:val="00D8716A"/>
    <w:rsid w:val="00D871DA"/>
    <w:rsid w:val="00D871EF"/>
    <w:rsid w:val="00D87210"/>
    <w:rsid w:val="00D87227"/>
    <w:rsid w:val="00D8732C"/>
    <w:rsid w:val="00D873DB"/>
    <w:rsid w:val="00D87468"/>
    <w:rsid w:val="00D87509"/>
    <w:rsid w:val="00D8752F"/>
    <w:rsid w:val="00D875B7"/>
    <w:rsid w:val="00D875CB"/>
    <w:rsid w:val="00D876D4"/>
    <w:rsid w:val="00D87744"/>
    <w:rsid w:val="00D87854"/>
    <w:rsid w:val="00D87890"/>
    <w:rsid w:val="00D87941"/>
    <w:rsid w:val="00D8796C"/>
    <w:rsid w:val="00D87A5A"/>
    <w:rsid w:val="00D87A7C"/>
    <w:rsid w:val="00D87B47"/>
    <w:rsid w:val="00D87C0C"/>
    <w:rsid w:val="00D87C55"/>
    <w:rsid w:val="00D87C78"/>
    <w:rsid w:val="00D87C89"/>
    <w:rsid w:val="00D87CEF"/>
    <w:rsid w:val="00D87D18"/>
    <w:rsid w:val="00D87DBB"/>
    <w:rsid w:val="00D87E07"/>
    <w:rsid w:val="00D87E3B"/>
    <w:rsid w:val="00D87E87"/>
    <w:rsid w:val="00D87EB7"/>
    <w:rsid w:val="00D87F28"/>
    <w:rsid w:val="00D87F7B"/>
    <w:rsid w:val="00D87FD7"/>
    <w:rsid w:val="00D87FF9"/>
    <w:rsid w:val="00D90008"/>
    <w:rsid w:val="00D9003A"/>
    <w:rsid w:val="00D9012F"/>
    <w:rsid w:val="00D9016D"/>
    <w:rsid w:val="00D90180"/>
    <w:rsid w:val="00D9020D"/>
    <w:rsid w:val="00D90242"/>
    <w:rsid w:val="00D90261"/>
    <w:rsid w:val="00D9027D"/>
    <w:rsid w:val="00D902B1"/>
    <w:rsid w:val="00D902FD"/>
    <w:rsid w:val="00D9039D"/>
    <w:rsid w:val="00D903A8"/>
    <w:rsid w:val="00D90400"/>
    <w:rsid w:val="00D90472"/>
    <w:rsid w:val="00D90580"/>
    <w:rsid w:val="00D90585"/>
    <w:rsid w:val="00D90687"/>
    <w:rsid w:val="00D906E6"/>
    <w:rsid w:val="00D906E9"/>
    <w:rsid w:val="00D907B7"/>
    <w:rsid w:val="00D907F2"/>
    <w:rsid w:val="00D9085E"/>
    <w:rsid w:val="00D90939"/>
    <w:rsid w:val="00D90948"/>
    <w:rsid w:val="00D90A11"/>
    <w:rsid w:val="00D90A24"/>
    <w:rsid w:val="00D90A5E"/>
    <w:rsid w:val="00D90B16"/>
    <w:rsid w:val="00D90B7F"/>
    <w:rsid w:val="00D90C69"/>
    <w:rsid w:val="00D90C83"/>
    <w:rsid w:val="00D90D55"/>
    <w:rsid w:val="00D90E17"/>
    <w:rsid w:val="00D90E3D"/>
    <w:rsid w:val="00D90EE6"/>
    <w:rsid w:val="00D90F0F"/>
    <w:rsid w:val="00D910D3"/>
    <w:rsid w:val="00D91162"/>
    <w:rsid w:val="00D9119D"/>
    <w:rsid w:val="00D911EB"/>
    <w:rsid w:val="00D91203"/>
    <w:rsid w:val="00D91380"/>
    <w:rsid w:val="00D914A5"/>
    <w:rsid w:val="00D91568"/>
    <w:rsid w:val="00D91570"/>
    <w:rsid w:val="00D915C9"/>
    <w:rsid w:val="00D9161E"/>
    <w:rsid w:val="00D91681"/>
    <w:rsid w:val="00D916BB"/>
    <w:rsid w:val="00D91755"/>
    <w:rsid w:val="00D91783"/>
    <w:rsid w:val="00D91784"/>
    <w:rsid w:val="00D917E2"/>
    <w:rsid w:val="00D91826"/>
    <w:rsid w:val="00D918B8"/>
    <w:rsid w:val="00D91A08"/>
    <w:rsid w:val="00D91A35"/>
    <w:rsid w:val="00D91A5D"/>
    <w:rsid w:val="00D91A94"/>
    <w:rsid w:val="00D91AB6"/>
    <w:rsid w:val="00D91BE0"/>
    <w:rsid w:val="00D91C15"/>
    <w:rsid w:val="00D91C22"/>
    <w:rsid w:val="00D91D36"/>
    <w:rsid w:val="00D91DC6"/>
    <w:rsid w:val="00D91DFE"/>
    <w:rsid w:val="00D91E35"/>
    <w:rsid w:val="00D91F4A"/>
    <w:rsid w:val="00D91FCC"/>
    <w:rsid w:val="00D92016"/>
    <w:rsid w:val="00D92038"/>
    <w:rsid w:val="00D9203D"/>
    <w:rsid w:val="00D920D0"/>
    <w:rsid w:val="00D9218B"/>
    <w:rsid w:val="00D921D8"/>
    <w:rsid w:val="00D921F2"/>
    <w:rsid w:val="00D92207"/>
    <w:rsid w:val="00D92310"/>
    <w:rsid w:val="00D9236F"/>
    <w:rsid w:val="00D923FF"/>
    <w:rsid w:val="00D92428"/>
    <w:rsid w:val="00D92448"/>
    <w:rsid w:val="00D924E2"/>
    <w:rsid w:val="00D92500"/>
    <w:rsid w:val="00D9252F"/>
    <w:rsid w:val="00D92552"/>
    <w:rsid w:val="00D9255A"/>
    <w:rsid w:val="00D9256F"/>
    <w:rsid w:val="00D926EB"/>
    <w:rsid w:val="00D9278B"/>
    <w:rsid w:val="00D9281F"/>
    <w:rsid w:val="00D928C9"/>
    <w:rsid w:val="00D928FE"/>
    <w:rsid w:val="00D9297C"/>
    <w:rsid w:val="00D92983"/>
    <w:rsid w:val="00D92A54"/>
    <w:rsid w:val="00D92A61"/>
    <w:rsid w:val="00D92AAE"/>
    <w:rsid w:val="00D92AE3"/>
    <w:rsid w:val="00D92B27"/>
    <w:rsid w:val="00D92B36"/>
    <w:rsid w:val="00D92B9E"/>
    <w:rsid w:val="00D92BB8"/>
    <w:rsid w:val="00D92BF2"/>
    <w:rsid w:val="00D92C10"/>
    <w:rsid w:val="00D92CAD"/>
    <w:rsid w:val="00D92CD2"/>
    <w:rsid w:val="00D92D1F"/>
    <w:rsid w:val="00D92D94"/>
    <w:rsid w:val="00D92FDE"/>
    <w:rsid w:val="00D930B4"/>
    <w:rsid w:val="00D93264"/>
    <w:rsid w:val="00D9327C"/>
    <w:rsid w:val="00D93295"/>
    <w:rsid w:val="00D9337C"/>
    <w:rsid w:val="00D93432"/>
    <w:rsid w:val="00D9345A"/>
    <w:rsid w:val="00D93619"/>
    <w:rsid w:val="00D93694"/>
    <w:rsid w:val="00D93A55"/>
    <w:rsid w:val="00D93A94"/>
    <w:rsid w:val="00D93B2A"/>
    <w:rsid w:val="00D93D23"/>
    <w:rsid w:val="00D93D7F"/>
    <w:rsid w:val="00D93E41"/>
    <w:rsid w:val="00D93E9C"/>
    <w:rsid w:val="00D93ED6"/>
    <w:rsid w:val="00D93EFE"/>
    <w:rsid w:val="00D93F37"/>
    <w:rsid w:val="00D93FC1"/>
    <w:rsid w:val="00D940DD"/>
    <w:rsid w:val="00D94190"/>
    <w:rsid w:val="00D941CE"/>
    <w:rsid w:val="00D942B7"/>
    <w:rsid w:val="00D9439E"/>
    <w:rsid w:val="00D944A8"/>
    <w:rsid w:val="00D945CD"/>
    <w:rsid w:val="00D9462C"/>
    <w:rsid w:val="00D9462F"/>
    <w:rsid w:val="00D94658"/>
    <w:rsid w:val="00D94754"/>
    <w:rsid w:val="00D947B9"/>
    <w:rsid w:val="00D947CD"/>
    <w:rsid w:val="00D9483C"/>
    <w:rsid w:val="00D94876"/>
    <w:rsid w:val="00D94947"/>
    <w:rsid w:val="00D9496B"/>
    <w:rsid w:val="00D949E3"/>
    <w:rsid w:val="00D94A23"/>
    <w:rsid w:val="00D94B4C"/>
    <w:rsid w:val="00D94BBD"/>
    <w:rsid w:val="00D94C2D"/>
    <w:rsid w:val="00D94CD8"/>
    <w:rsid w:val="00D94DF7"/>
    <w:rsid w:val="00D94E83"/>
    <w:rsid w:val="00D94E89"/>
    <w:rsid w:val="00D94EB1"/>
    <w:rsid w:val="00D94F52"/>
    <w:rsid w:val="00D94FAA"/>
    <w:rsid w:val="00D95016"/>
    <w:rsid w:val="00D9501B"/>
    <w:rsid w:val="00D9515B"/>
    <w:rsid w:val="00D95182"/>
    <w:rsid w:val="00D951AC"/>
    <w:rsid w:val="00D951CF"/>
    <w:rsid w:val="00D9521D"/>
    <w:rsid w:val="00D9525F"/>
    <w:rsid w:val="00D95276"/>
    <w:rsid w:val="00D9529A"/>
    <w:rsid w:val="00D9533D"/>
    <w:rsid w:val="00D953AF"/>
    <w:rsid w:val="00D953D1"/>
    <w:rsid w:val="00D9542E"/>
    <w:rsid w:val="00D9545B"/>
    <w:rsid w:val="00D9562C"/>
    <w:rsid w:val="00D95661"/>
    <w:rsid w:val="00D95674"/>
    <w:rsid w:val="00D956A1"/>
    <w:rsid w:val="00D95726"/>
    <w:rsid w:val="00D95736"/>
    <w:rsid w:val="00D95760"/>
    <w:rsid w:val="00D95776"/>
    <w:rsid w:val="00D95898"/>
    <w:rsid w:val="00D958B4"/>
    <w:rsid w:val="00D95904"/>
    <w:rsid w:val="00D95988"/>
    <w:rsid w:val="00D9599E"/>
    <w:rsid w:val="00D95A1B"/>
    <w:rsid w:val="00D95A25"/>
    <w:rsid w:val="00D95A39"/>
    <w:rsid w:val="00D95AC7"/>
    <w:rsid w:val="00D95B55"/>
    <w:rsid w:val="00D95C0A"/>
    <w:rsid w:val="00D95C1F"/>
    <w:rsid w:val="00D95C73"/>
    <w:rsid w:val="00D95C97"/>
    <w:rsid w:val="00D95CBF"/>
    <w:rsid w:val="00D95D19"/>
    <w:rsid w:val="00D95D34"/>
    <w:rsid w:val="00D95EF6"/>
    <w:rsid w:val="00D95F37"/>
    <w:rsid w:val="00D95F3F"/>
    <w:rsid w:val="00D95F7C"/>
    <w:rsid w:val="00D95FC4"/>
    <w:rsid w:val="00D96062"/>
    <w:rsid w:val="00D960D2"/>
    <w:rsid w:val="00D960E3"/>
    <w:rsid w:val="00D96147"/>
    <w:rsid w:val="00D96182"/>
    <w:rsid w:val="00D96249"/>
    <w:rsid w:val="00D962C7"/>
    <w:rsid w:val="00D96336"/>
    <w:rsid w:val="00D9635A"/>
    <w:rsid w:val="00D9639E"/>
    <w:rsid w:val="00D9645F"/>
    <w:rsid w:val="00D96500"/>
    <w:rsid w:val="00D96524"/>
    <w:rsid w:val="00D96611"/>
    <w:rsid w:val="00D96641"/>
    <w:rsid w:val="00D9666B"/>
    <w:rsid w:val="00D966B3"/>
    <w:rsid w:val="00D96763"/>
    <w:rsid w:val="00D9684F"/>
    <w:rsid w:val="00D96850"/>
    <w:rsid w:val="00D96866"/>
    <w:rsid w:val="00D96882"/>
    <w:rsid w:val="00D9688B"/>
    <w:rsid w:val="00D968F3"/>
    <w:rsid w:val="00D9696D"/>
    <w:rsid w:val="00D96A07"/>
    <w:rsid w:val="00D96AC4"/>
    <w:rsid w:val="00D96B12"/>
    <w:rsid w:val="00D96B2B"/>
    <w:rsid w:val="00D96C89"/>
    <w:rsid w:val="00D96D3D"/>
    <w:rsid w:val="00D96D4F"/>
    <w:rsid w:val="00D96D5C"/>
    <w:rsid w:val="00D96DE4"/>
    <w:rsid w:val="00D96DE8"/>
    <w:rsid w:val="00D96E63"/>
    <w:rsid w:val="00D96EA2"/>
    <w:rsid w:val="00D96FD8"/>
    <w:rsid w:val="00D97000"/>
    <w:rsid w:val="00D970E5"/>
    <w:rsid w:val="00D9717E"/>
    <w:rsid w:val="00D972AA"/>
    <w:rsid w:val="00D973A8"/>
    <w:rsid w:val="00D97412"/>
    <w:rsid w:val="00D9741F"/>
    <w:rsid w:val="00D9742C"/>
    <w:rsid w:val="00D97436"/>
    <w:rsid w:val="00D97440"/>
    <w:rsid w:val="00D97468"/>
    <w:rsid w:val="00D97481"/>
    <w:rsid w:val="00D974F0"/>
    <w:rsid w:val="00D9762E"/>
    <w:rsid w:val="00D97659"/>
    <w:rsid w:val="00D97672"/>
    <w:rsid w:val="00D97678"/>
    <w:rsid w:val="00D97684"/>
    <w:rsid w:val="00D97738"/>
    <w:rsid w:val="00D977AD"/>
    <w:rsid w:val="00D977AF"/>
    <w:rsid w:val="00D9785B"/>
    <w:rsid w:val="00D978B0"/>
    <w:rsid w:val="00D978E1"/>
    <w:rsid w:val="00D978F6"/>
    <w:rsid w:val="00D978FB"/>
    <w:rsid w:val="00D97913"/>
    <w:rsid w:val="00D9793B"/>
    <w:rsid w:val="00D979C2"/>
    <w:rsid w:val="00D979D0"/>
    <w:rsid w:val="00D97A4C"/>
    <w:rsid w:val="00D97AAD"/>
    <w:rsid w:val="00D97AD7"/>
    <w:rsid w:val="00D97B15"/>
    <w:rsid w:val="00D97B21"/>
    <w:rsid w:val="00D97BA7"/>
    <w:rsid w:val="00D97BCC"/>
    <w:rsid w:val="00D97C3E"/>
    <w:rsid w:val="00D97C45"/>
    <w:rsid w:val="00D97D3B"/>
    <w:rsid w:val="00D97E11"/>
    <w:rsid w:val="00D97E20"/>
    <w:rsid w:val="00D97E61"/>
    <w:rsid w:val="00D97ED8"/>
    <w:rsid w:val="00D97EDF"/>
    <w:rsid w:val="00D97EF3"/>
    <w:rsid w:val="00D97F6D"/>
    <w:rsid w:val="00D97F84"/>
    <w:rsid w:val="00DA0002"/>
    <w:rsid w:val="00DA002F"/>
    <w:rsid w:val="00DA006B"/>
    <w:rsid w:val="00DA00B5"/>
    <w:rsid w:val="00DA00C5"/>
    <w:rsid w:val="00DA00D8"/>
    <w:rsid w:val="00DA019C"/>
    <w:rsid w:val="00DA01E2"/>
    <w:rsid w:val="00DA02BD"/>
    <w:rsid w:val="00DA03C6"/>
    <w:rsid w:val="00DA0420"/>
    <w:rsid w:val="00DA044C"/>
    <w:rsid w:val="00DA04C3"/>
    <w:rsid w:val="00DA0516"/>
    <w:rsid w:val="00DA0551"/>
    <w:rsid w:val="00DA059E"/>
    <w:rsid w:val="00DA05B9"/>
    <w:rsid w:val="00DA0648"/>
    <w:rsid w:val="00DA0657"/>
    <w:rsid w:val="00DA0753"/>
    <w:rsid w:val="00DA08BD"/>
    <w:rsid w:val="00DA0959"/>
    <w:rsid w:val="00DA0976"/>
    <w:rsid w:val="00DA09A3"/>
    <w:rsid w:val="00DA0A30"/>
    <w:rsid w:val="00DA0A5F"/>
    <w:rsid w:val="00DA0B65"/>
    <w:rsid w:val="00DA0B7A"/>
    <w:rsid w:val="00DA0B8C"/>
    <w:rsid w:val="00DA0BC1"/>
    <w:rsid w:val="00DA0BC3"/>
    <w:rsid w:val="00DA0C0B"/>
    <w:rsid w:val="00DA0CA9"/>
    <w:rsid w:val="00DA0CD2"/>
    <w:rsid w:val="00DA0D26"/>
    <w:rsid w:val="00DA0DED"/>
    <w:rsid w:val="00DA0F1C"/>
    <w:rsid w:val="00DA0FAF"/>
    <w:rsid w:val="00DA0FB9"/>
    <w:rsid w:val="00DA0FD5"/>
    <w:rsid w:val="00DA1034"/>
    <w:rsid w:val="00DA105A"/>
    <w:rsid w:val="00DA110A"/>
    <w:rsid w:val="00DA1127"/>
    <w:rsid w:val="00DA1149"/>
    <w:rsid w:val="00DA114D"/>
    <w:rsid w:val="00DA1198"/>
    <w:rsid w:val="00DA12B6"/>
    <w:rsid w:val="00DA1304"/>
    <w:rsid w:val="00DA131A"/>
    <w:rsid w:val="00DA136A"/>
    <w:rsid w:val="00DA1424"/>
    <w:rsid w:val="00DA14C4"/>
    <w:rsid w:val="00DA14E3"/>
    <w:rsid w:val="00DA1585"/>
    <w:rsid w:val="00DA15C5"/>
    <w:rsid w:val="00DA15F0"/>
    <w:rsid w:val="00DA1671"/>
    <w:rsid w:val="00DA16A5"/>
    <w:rsid w:val="00DA170F"/>
    <w:rsid w:val="00DA1796"/>
    <w:rsid w:val="00DA18A3"/>
    <w:rsid w:val="00DA18EF"/>
    <w:rsid w:val="00DA1942"/>
    <w:rsid w:val="00DA1963"/>
    <w:rsid w:val="00DA199C"/>
    <w:rsid w:val="00DA1A6B"/>
    <w:rsid w:val="00DA1E10"/>
    <w:rsid w:val="00DA1E16"/>
    <w:rsid w:val="00DA1E1C"/>
    <w:rsid w:val="00DA1E56"/>
    <w:rsid w:val="00DA1E80"/>
    <w:rsid w:val="00DA1EB6"/>
    <w:rsid w:val="00DA1F4B"/>
    <w:rsid w:val="00DA2121"/>
    <w:rsid w:val="00DA21DA"/>
    <w:rsid w:val="00DA2323"/>
    <w:rsid w:val="00DA233C"/>
    <w:rsid w:val="00DA246F"/>
    <w:rsid w:val="00DA2489"/>
    <w:rsid w:val="00DA264C"/>
    <w:rsid w:val="00DA2677"/>
    <w:rsid w:val="00DA267C"/>
    <w:rsid w:val="00DA26E2"/>
    <w:rsid w:val="00DA271B"/>
    <w:rsid w:val="00DA2761"/>
    <w:rsid w:val="00DA2832"/>
    <w:rsid w:val="00DA2842"/>
    <w:rsid w:val="00DA284D"/>
    <w:rsid w:val="00DA2894"/>
    <w:rsid w:val="00DA28A9"/>
    <w:rsid w:val="00DA295E"/>
    <w:rsid w:val="00DA2978"/>
    <w:rsid w:val="00DA2A7D"/>
    <w:rsid w:val="00DA2B24"/>
    <w:rsid w:val="00DA2B36"/>
    <w:rsid w:val="00DA2BEC"/>
    <w:rsid w:val="00DA2C55"/>
    <w:rsid w:val="00DA2D35"/>
    <w:rsid w:val="00DA2DB3"/>
    <w:rsid w:val="00DA2F1F"/>
    <w:rsid w:val="00DA2F4F"/>
    <w:rsid w:val="00DA2F62"/>
    <w:rsid w:val="00DA2FD6"/>
    <w:rsid w:val="00DA3034"/>
    <w:rsid w:val="00DA303A"/>
    <w:rsid w:val="00DA3114"/>
    <w:rsid w:val="00DA3149"/>
    <w:rsid w:val="00DA319E"/>
    <w:rsid w:val="00DA320C"/>
    <w:rsid w:val="00DA33F5"/>
    <w:rsid w:val="00DA342D"/>
    <w:rsid w:val="00DA3484"/>
    <w:rsid w:val="00DA34AF"/>
    <w:rsid w:val="00DA34FD"/>
    <w:rsid w:val="00DA365A"/>
    <w:rsid w:val="00DA3691"/>
    <w:rsid w:val="00DA36BA"/>
    <w:rsid w:val="00DA3722"/>
    <w:rsid w:val="00DA376C"/>
    <w:rsid w:val="00DA3779"/>
    <w:rsid w:val="00DA37CE"/>
    <w:rsid w:val="00DA3827"/>
    <w:rsid w:val="00DA386A"/>
    <w:rsid w:val="00DA38B9"/>
    <w:rsid w:val="00DA38BF"/>
    <w:rsid w:val="00DA392F"/>
    <w:rsid w:val="00DA3980"/>
    <w:rsid w:val="00DA3A1D"/>
    <w:rsid w:val="00DA3AB1"/>
    <w:rsid w:val="00DA3AFB"/>
    <w:rsid w:val="00DA3B15"/>
    <w:rsid w:val="00DA3B77"/>
    <w:rsid w:val="00DA3BC6"/>
    <w:rsid w:val="00DA3C22"/>
    <w:rsid w:val="00DA3C5D"/>
    <w:rsid w:val="00DA3C7E"/>
    <w:rsid w:val="00DA3CF9"/>
    <w:rsid w:val="00DA3CFC"/>
    <w:rsid w:val="00DA3D24"/>
    <w:rsid w:val="00DA3DE7"/>
    <w:rsid w:val="00DA3E1B"/>
    <w:rsid w:val="00DA3E52"/>
    <w:rsid w:val="00DA3EDE"/>
    <w:rsid w:val="00DA3F41"/>
    <w:rsid w:val="00DA3FF3"/>
    <w:rsid w:val="00DA404D"/>
    <w:rsid w:val="00DA4059"/>
    <w:rsid w:val="00DA4160"/>
    <w:rsid w:val="00DA4188"/>
    <w:rsid w:val="00DA41BF"/>
    <w:rsid w:val="00DA41CD"/>
    <w:rsid w:val="00DA432E"/>
    <w:rsid w:val="00DA433D"/>
    <w:rsid w:val="00DA4393"/>
    <w:rsid w:val="00DA4401"/>
    <w:rsid w:val="00DA4447"/>
    <w:rsid w:val="00DA4452"/>
    <w:rsid w:val="00DA44EA"/>
    <w:rsid w:val="00DA456A"/>
    <w:rsid w:val="00DA45D2"/>
    <w:rsid w:val="00DA4683"/>
    <w:rsid w:val="00DA472B"/>
    <w:rsid w:val="00DA473B"/>
    <w:rsid w:val="00DA47A1"/>
    <w:rsid w:val="00DA47C2"/>
    <w:rsid w:val="00DA47E5"/>
    <w:rsid w:val="00DA4889"/>
    <w:rsid w:val="00DA4920"/>
    <w:rsid w:val="00DA4948"/>
    <w:rsid w:val="00DA4ACE"/>
    <w:rsid w:val="00DA4B4C"/>
    <w:rsid w:val="00DA4BA8"/>
    <w:rsid w:val="00DA4BD7"/>
    <w:rsid w:val="00DA4C15"/>
    <w:rsid w:val="00DA4CB3"/>
    <w:rsid w:val="00DA4CC8"/>
    <w:rsid w:val="00DA4EB8"/>
    <w:rsid w:val="00DA4EF3"/>
    <w:rsid w:val="00DA4F1B"/>
    <w:rsid w:val="00DA4FAE"/>
    <w:rsid w:val="00DA4FE0"/>
    <w:rsid w:val="00DA4FE5"/>
    <w:rsid w:val="00DA4FF2"/>
    <w:rsid w:val="00DA5019"/>
    <w:rsid w:val="00DA50B3"/>
    <w:rsid w:val="00DA5159"/>
    <w:rsid w:val="00DA5186"/>
    <w:rsid w:val="00DA5235"/>
    <w:rsid w:val="00DA5243"/>
    <w:rsid w:val="00DA5248"/>
    <w:rsid w:val="00DA5275"/>
    <w:rsid w:val="00DA53DD"/>
    <w:rsid w:val="00DA545C"/>
    <w:rsid w:val="00DA54AD"/>
    <w:rsid w:val="00DA55BF"/>
    <w:rsid w:val="00DA562E"/>
    <w:rsid w:val="00DA56B5"/>
    <w:rsid w:val="00DA56D3"/>
    <w:rsid w:val="00DA57EB"/>
    <w:rsid w:val="00DA57FE"/>
    <w:rsid w:val="00DA5801"/>
    <w:rsid w:val="00DA5846"/>
    <w:rsid w:val="00DA58A9"/>
    <w:rsid w:val="00DA58F7"/>
    <w:rsid w:val="00DA592E"/>
    <w:rsid w:val="00DA5A32"/>
    <w:rsid w:val="00DA5A75"/>
    <w:rsid w:val="00DA5AC0"/>
    <w:rsid w:val="00DA5B0E"/>
    <w:rsid w:val="00DA5B70"/>
    <w:rsid w:val="00DA5BF3"/>
    <w:rsid w:val="00DA5D00"/>
    <w:rsid w:val="00DA5E88"/>
    <w:rsid w:val="00DA5FA3"/>
    <w:rsid w:val="00DA5FF7"/>
    <w:rsid w:val="00DA60C2"/>
    <w:rsid w:val="00DA6103"/>
    <w:rsid w:val="00DA6167"/>
    <w:rsid w:val="00DA6212"/>
    <w:rsid w:val="00DA6215"/>
    <w:rsid w:val="00DA621D"/>
    <w:rsid w:val="00DA6220"/>
    <w:rsid w:val="00DA6310"/>
    <w:rsid w:val="00DA6373"/>
    <w:rsid w:val="00DA6423"/>
    <w:rsid w:val="00DA6459"/>
    <w:rsid w:val="00DA64C8"/>
    <w:rsid w:val="00DA64DB"/>
    <w:rsid w:val="00DA652B"/>
    <w:rsid w:val="00DA65B4"/>
    <w:rsid w:val="00DA65D0"/>
    <w:rsid w:val="00DA6643"/>
    <w:rsid w:val="00DA665F"/>
    <w:rsid w:val="00DA6748"/>
    <w:rsid w:val="00DA67CC"/>
    <w:rsid w:val="00DA68C0"/>
    <w:rsid w:val="00DA6987"/>
    <w:rsid w:val="00DA69BB"/>
    <w:rsid w:val="00DA6A84"/>
    <w:rsid w:val="00DA6AC4"/>
    <w:rsid w:val="00DA6ACB"/>
    <w:rsid w:val="00DA6C58"/>
    <w:rsid w:val="00DA6D83"/>
    <w:rsid w:val="00DA6D9A"/>
    <w:rsid w:val="00DA6E2A"/>
    <w:rsid w:val="00DA6F08"/>
    <w:rsid w:val="00DA6F0C"/>
    <w:rsid w:val="00DA6F26"/>
    <w:rsid w:val="00DA6F2A"/>
    <w:rsid w:val="00DA6FC1"/>
    <w:rsid w:val="00DA6FFB"/>
    <w:rsid w:val="00DA707E"/>
    <w:rsid w:val="00DA70B9"/>
    <w:rsid w:val="00DA719E"/>
    <w:rsid w:val="00DA7209"/>
    <w:rsid w:val="00DA720E"/>
    <w:rsid w:val="00DA72A6"/>
    <w:rsid w:val="00DA72FC"/>
    <w:rsid w:val="00DA7330"/>
    <w:rsid w:val="00DA73A6"/>
    <w:rsid w:val="00DA740C"/>
    <w:rsid w:val="00DA750A"/>
    <w:rsid w:val="00DA752C"/>
    <w:rsid w:val="00DA7541"/>
    <w:rsid w:val="00DA75C1"/>
    <w:rsid w:val="00DA761A"/>
    <w:rsid w:val="00DA7696"/>
    <w:rsid w:val="00DA76FB"/>
    <w:rsid w:val="00DA773E"/>
    <w:rsid w:val="00DA77A5"/>
    <w:rsid w:val="00DA786E"/>
    <w:rsid w:val="00DA78D3"/>
    <w:rsid w:val="00DA7900"/>
    <w:rsid w:val="00DA7939"/>
    <w:rsid w:val="00DA7A90"/>
    <w:rsid w:val="00DA7ABE"/>
    <w:rsid w:val="00DA7B57"/>
    <w:rsid w:val="00DA7B61"/>
    <w:rsid w:val="00DA7BFF"/>
    <w:rsid w:val="00DA7C02"/>
    <w:rsid w:val="00DA7C32"/>
    <w:rsid w:val="00DA7D8D"/>
    <w:rsid w:val="00DA7DAE"/>
    <w:rsid w:val="00DA7DB4"/>
    <w:rsid w:val="00DA7FBE"/>
    <w:rsid w:val="00DB0012"/>
    <w:rsid w:val="00DB0028"/>
    <w:rsid w:val="00DB01C2"/>
    <w:rsid w:val="00DB023E"/>
    <w:rsid w:val="00DB026F"/>
    <w:rsid w:val="00DB0298"/>
    <w:rsid w:val="00DB037B"/>
    <w:rsid w:val="00DB0392"/>
    <w:rsid w:val="00DB04FB"/>
    <w:rsid w:val="00DB061F"/>
    <w:rsid w:val="00DB06A2"/>
    <w:rsid w:val="00DB07BF"/>
    <w:rsid w:val="00DB07C8"/>
    <w:rsid w:val="00DB07D1"/>
    <w:rsid w:val="00DB07D9"/>
    <w:rsid w:val="00DB08BC"/>
    <w:rsid w:val="00DB0903"/>
    <w:rsid w:val="00DB0941"/>
    <w:rsid w:val="00DB095D"/>
    <w:rsid w:val="00DB0969"/>
    <w:rsid w:val="00DB09A3"/>
    <w:rsid w:val="00DB09CA"/>
    <w:rsid w:val="00DB09E7"/>
    <w:rsid w:val="00DB0B56"/>
    <w:rsid w:val="00DB0B80"/>
    <w:rsid w:val="00DB0BE6"/>
    <w:rsid w:val="00DB0C21"/>
    <w:rsid w:val="00DB0D35"/>
    <w:rsid w:val="00DB0D3E"/>
    <w:rsid w:val="00DB0DDA"/>
    <w:rsid w:val="00DB0DF3"/>
    <w:rsid w:val="00DB0E04"/>
    <w:rsid w:val="00DB0E1D"/>
    <w:rsid w:val="00DB0E3B"/>
    <w:rsid w:val="00DB0EBA"/>
    <w:rsid w:val="00DB0FB1"/>
    <w:rsid w:val="00DB114B"/>
    <w:rsid w:val="00DB11AB"/>
    <w:rsid w:val="00DB1234"/>
    <w:rsid w:val="00DB127B"/>
    <w:rsid w:val="00DB1384"/>
    <w:rsid w:val="00DB13F9"/>
    <w:rsid w:val="00DB141B"/>
    <w:rsid w:val="00DB141D"/>
    <w:rsid w:val="00DB141E"/>
    <w:rsid w:val="00DB1466"/>
    <w:rsid w:val="00DB14CD"/>
    <w:rsid w:val="00DB14DC"/>
    <w:rsid w:val="00DB1580"/>
    <w:rsid w:val="00DB1653"/>
    <w:rsid w:val="00DB16B2"/>
    <w:rsid w:val="00DB16D1"/>
    <w:rsid w:val="00DB1826"/>
    <w:rsid w:val="00DB187E"/>
    <w:rsid w:val="00DB18D3"/>
    <w:rsid w:val="00DB1982"/>
    <w:rsid w:val="00DB1A59"/>
    <w:rsid w:val="00DB1A92"/>
    <w:rsid w:val="00DB1BAB"/>
    <w:rsid w:val="00DB1BC4"/>
    <w:rsid w:val="00DB1BE2"/>
    <w:rsid w:val="00DB1C25"/>
    <w:rsid w:val="00DB1CAA"/>
    <w:rsid w:val="00DB1EEF"/>
    <w:rsid w:val="00DB1F92"/>
    <w:rsid w:val="00DB20A8"/>
    <w:rsid w:val="00DB20C8"/>
    <w:rsid w:val="00DB2278"/>
    <w:rsid w:val="00DB22AC"/>
    <w:rsid w:val="00DB22E0"/>
    <w:rsid w:val="00DB2328"/>
    <w:rsid w:val="00DB24BC"/>
    <w:rsid w:val="00DB24FE"/>
    <w:rsid w:val="00DB2581"/>
    <w:rsid w:val="00DB263E"/>
    <w:rsid w:val="00DB2673"/>
    <w:rsid w:val="00DB26C0"/>
    <w:rsid w:val="00DB2727"/>
    <w:rsid w:val="00DB27E1"/>
    <w:rsid w:val="00DB2812"/>
    <w:rsid w:val="00DB2889"/>
    <w:rsid w:val="00DB28DD"/>
    <w:rsid w:val="00DB2916"/>
    <w:rsid w:val="00DB2950"/>
    <w:rsid w:val="00DB295B"/>
    <w:rsid w:val="00DB2A9E"/>
    <w:rsid w:val="00DB2B49"/>
    <w:rsid w:val="00DB2C24"/>
    <w:rsid w:val="00DB2DB8"/>
    <w:rsid w:val="00DB2E37"/>
    <w:rsid w:val="00DB2EF0"/>
    <w:rsid w:val="00DB2F1D"/>
    <w:rsid w:val="00DB2F25"/>
    <w:rsid w:val="00DB2F7E"/>
    <w:rsid w:val="00DB2FA3"/>
    <w:rsid w:val="00DB3000"/>
    <w:rsid w:val="00DB301B"/>
    <w:rsid w:val="00DB310B"/>
    <w:rsid w:val="00DB3154"/>
    <w:rsid w:val="00DB322B"/>
    <w:rsid w:val="00DB325A"/>
    <w:rsid w:val="00DB3263"/>
    <w:rsid w:val="00DB3279"/>
    <w:rsid w:val="00DB32C4"/>
    <w:rsid w:val="00DB3484"/>
    <w:rsid w:val="00DB3491"/>
    <w:rsid w:val="00DB34F9"/>
    <w:rsid w:val="00DB3504"/>
    <w:rsid w:val="00DB350A"/>
    <w:rsid w:val="00DB3574"/>
    <w:rsid w:val="00DB35D4"/>
    <w:rsid w:val="00DB3601"/>
    <w:rsid w:val="00DB36B0"/>
    <w:rsid w:val="00DB3707"/>
    <w:rsid w:val="00DB3773"/>
    <w:rsid w:val="00DB3792"/>
    <w:rsid w:val="00DB38AF"/>
    <w:rsid w:val="00DB3929"/>
    <w:rsid w:val="00DB3950"/>
    <w:rsid w:val="00DB3954"/>
    <w:rsid w:val="00DB3962"/>
    <w:rsid w:val="00DB398E"/>
    <w:rsid w:val="00DB39E6"/>
    <w:rsid w:val="00DB3A0D"/>
    <w:rsid w:val="00DB3A61"/>
    <w:rsid w:val="00DB3B4F"/>
    <w:rsid w:val="00DB3BA8"/>
    <w:rsid w:val="00DB3CAE"/>
    <w:rsid w:val="00DB3D70"/>
    <w:rsid w:val="00DB3F7B"/>
    <w:rsid w:val="00DB3FA8"/>
    <w:rsid w:val="00DB4020"/>
    <w:rsid w:val="00DB4028"/>
    <w:rsid w:val="00DB4032"/>
    <w:rsid w:val="00DB40AF"/>
    <w:rsid w:val="00DB4185"/>
    <w:rsid w:val="00DB4206"/>
    <w:rsid w:val="00DB4275"/>
    <w:rsid w:val="00DB4312"/>
    <w:rsid w:val="00DB4364"/>
    <w:rsid w:val="00DB4367"/>
    <w:rsid w:val="00DB43BF"/>
    <w:rsid w:val="00DB442F"/>
    <w:rsid w:val="00DB4492"/>
    <w:rsid w:val="00DB45B2"/>
    <w:rsid w:val="00DB45CC"/>
    <w:rsid w:val="00DB460C"/>
    <w:rsid w:val="00DB4622"/>
    <w:rsid w:val="00DB4684"/>
    <w:rsid w:val="00DB46D3"/>
    <w:rsid w:val="00DB46FB"/>
    <w:rsid w:val="00DB4788"/>
    <w:rsid w:val="00DB479F"/>
    <w:rsid w:val="00DB47BC"/>
    <w:rsid w:val="00DB4802"/>
    <w:rsid w:val="00DB485D"/>
    <w:rsid w:val="00DB489A"/>
    <w:rsid w:val="00DB48F4"/>
    <w:rsid w:val="00DB492A"/>
    <w:rsid w:val="00DB499A"/>
    <w:rsid w:val="00DB4A32"/>
    <w:rsid w:val="00DB4C8D"/>
    <w:rsid w:val="00DB4CE3"/>
    <w:rsid w:val="00DB4D24"/>
    <w:rsid w:val="00DB4D53"/>
    <w:rsid w:val="00DB4D5B"/>
    <w:rsid w:val="00DB4DDA"/>
    <w:rsid w:val="00DB4EB3"/>
    <w:rsid w:val="00DB4F92"/>
    <w:rsid w:val="00DB4FB2"/>
    <w:rsid w:val="00DB4FD5"/>
    <w:rsid w:val="00DB4FF9"/>
    <w:rsid w:val="00DB5084"/>
    <w:rsid w:val="00DB50A2"/>
    <w:rsid w:val="00DB5119"/>
    <w:rsid w:val="00DB513E"/>
    <w:rsid w:val="00DB5149"/>
    <w:rsid w:val="00DB517A"/>
    <w:rsid w:val="00DB5204"/>
    <w:rsid w:val="00DB5273"/>
    <w:rsid w:val="00DB52AD"/>
    <w:rsid w:val="00DB52D9"/>
    <w:rsid w:val="00DB53E8"/>
    <w:rsid w:val="00DB53ED"/>
    <w:rsid w:val="00DB549D"/>
    <w:rsid w:val="00DB5509"/>
    <w:rsid w:val="00DB5514"/>
    <w:rsid w:val="00DB5572"/>
    <w:rsid w:val="00DB5580"/>
    <w:rsid w:val="00DB5589"/>
    <w:rsid w:val="00DB558B"/>
    <w:rsid w:val="00DB558F"/>
    <w:rsid w:val="00DB55A4"/>
    <w:rsid w:val="00DB5619"/>
    <w:rsid w:val="00DB561F"/>
    <w:rsid w:val="00DB56FA"/>
    <w:rsid w:val="00DB56FC"/>
    <w:rsid w:val="00DB5731"/>
    <w:rsid w:val="00DB5736"/>
    <w:rsid w:val="00DB574A"/>
    <w:rsid w:val="00DB5967"/>
    <w:rsid w:val="00DB598F"/>
    <w:rsid w:val="00DB5A6B"/>
    <w:rsid w:val="00DB5AAA"/>
    <w:rsid w:val="00DB5ABD"/>
    <w:rsid w:val="00DB5AEC"/>
    <w:rsid w:val="00DB5B48"/>
    <w:rsid w:val="00DB5C86"/>
    <w:rsid w:val="00DB5CDE"/>
    <w:rsid w:val="00DB5CE1"/>
    <w:rsid w:val="00DB5D59"/>
    <w:rsid w:val="00DB5D66"/>
    <w:rsid w:val="00DB5DDA"/>
    <w:rsid w:val="00DB5DEA"/>
    <w:rsid w:val="00DB5E16"/>
    <w:rsid w:val="00DB5E6F"/>
    <w:rsid w:val="00DB5EB5"/>
    <w:rsid w:val="00DB60EE"/>
    <w:rsid w:val="00DB6111"/>
    <w:rsid w:val="00DB615B"/>
    <w:rsid w:val="00DB61B5"/>
    <w:rsid w:val="00DB61E5"/>
    <w:rsid w:val="00DB6254"/>
    <w:rsid w:val="00DB6288"/>
    <w:rsid w:val="00DB628C"/>
    <w:rsid w:val="00DB62C0"/>
    <w:rsid w:val="00DB6319"/>
    <w:rsid w:val="00DB6326"/>
    <w:rsid w:val="00DB636A"/>
    <w:rsid w:val="00DB638D"/>
    <w:rsid w:val="00DB63AC"/>
    <w:rsid w:val="00DB63E6"/>
    <w:rsid w:val="00DB6447"/>
    <w:rsid w:val="00DB6487"/>
    <w:rsid w:val="00DB6492"/>
    <w:rsid w:val="00DB6592"/>
    <w:rsid w:val="00DB6634"/>
    <w:rsid w:val="00DB6781"/>
    <w:rsid w:val="00DB6922"/>
    <w:rsid w:val="00DB6A96"/>
    <w:rsid w:val="00DB6AEB"/>
    <w:rsid w:val="00DB6AFD"/>
    <w:rsid w:val="00DB6B8B"/>
    <w:rsid w:val="00DB6BA4"/>
    <w:rsid w:val="00DB6BA7"/>
    <w:rsid w:val="00DB6C0E"/>
    <w:rsid w:val="00DB6C3B"/>
    <w:rsid w:val="00DB6CEA"/>
    <w:rsid w:val="00DB6CED"/>
    <w:rsid w:val="00DB6DB0"/>
    <w:rsid w:val="00DB6DF2"/>
    <w:rsid w:val="00DB6E19"/>
    <w:rsid w:val="00DB6E1C"/>
    <w:rsid w:val="00DB6EAF"/>
    <w:rsid w:val="00DB6FAC"/>
    <w:rsid w:val="00DB6FCA"/>
    <w:rsid w:val="00DB6FDC"/>
    <w:rsid w:val="00DB7033"/>
    <w:rsid w:val="00DB7086"/>
    <w:rsid w:val="00DB7168"/>
    <w:rsid w:val="00DB71D5"/>
    <w:rsid w:val="00DB7233"/>
    <w:rsid w:val="00DB724F"/>
    <w:rsid w:val="00DB72C9"/>
    <w:rsid w:val="00DB72DD"/>
    <w:rsid w:val="00DB72E4"/>
    <w:rsid w:val="00DB743F"/>
    <w:rsid w:val="00DB7477"/>
    <w:rsid w:val="00DB74C2"/>
    <w:rsid w:val="00DB74D5"/>
    <w:rsid w:val="00DB75FD"/>
    <w:rsid w:val="00DB7631"/>
    <w:rsid w:val="00DB768A"/>
    <w:rsid w:val="00DB771C"/>
    <w:rsid w:val="00DB776B"/>
    <w:rsid w:val="00DB77CC"/>
    <w:rsid w:val="00DB7806"/>
    <w:rsid w:val="00DB780F"/>
    <w:rsid w:val="00DB7901"/>
    <w:rsid w:val="00DB7948"/>
    <w:rsid w:val="00DB7AC1"/>
    <w:rsid w:val="00DB7ADB"/>
    <w:rsid w:val="00DB7ADC"/>
    <w:rsid w:val="00DB7BDE"/>
    <w:rsid w:val="00DB7C27"/>
    <w:rsid w:val="00DB7C9A"/>
    <w:rsid w:val="00DB7D90"/>
    <w:rsid w:val="00DB7D97"/>
    <w:rsid w:val="00DB7E27"/>
    <w:rsid w:val="00DB7EAA"/>
    <w:rsid w:val="00DB7ED3"/>
    <w:rsid w:val="00DB7FE7"/>
    <w:rsid w:val="00DC0159"/>
    <w:rsid w:val="00DC015D"/>
    <w:rsid w:val="00DC01C6"/>
    <w:rsid w:val="00DC01CB"/>
    <w:rsid w:val="00DC0227"/>
    <w:rsid w:val="00DC0247"/>
    <w:rsid w:val="00DC0301"/>
    <w:rsid w:val="00DC03C2"/>
    <w:rsid w:val="00DC03C5"/>
    <w:rsid w:val="00DC03D5"/>
    <w:rsid w:val="00DC044B"/>
    <w:rsid w:val="00DC04E1"/>
    <w:rsid w:val="00DC0504"/>
    <w:rsid w:val="00DC05DD"/>
    <w:rsid w:val="00DC061B"/>
    <w:rsid w:val="00DC0646"/>
    <w:rsid w:val="00DC06E5"/>
    <w:rsid w:val="00DC0736"/>
    <w:rsid w:val="00DC077F"/>
    <w:rsid w:val="00DC07A9"/>
    <w:rsid w:val="00DC07FA"/>
    <w:rsid w:val="00DC08EB"/>
    <w:rsid w:val="00DC09AE"/>
    <w:rsid w:val="00DC0A13"/>
    <w:rsid w:val="00DC0A1F"/>
    <w:rsid w:val="00DC0A95"/>
    <w:rsid w:val="00DC0AED"/>
    <w:rsid w:val="00DC0B21"/>
    <w:rsid w:val="00DC0B30"/>
    <w:rsid w:val="00DC0B83"/>
    <w:rsid w:val="00DC0C2E"/>
    <w:rsid w:val="00DC0C5F"/>
    <w:rsid w:val="00DC0CAB"/>
    <w:rsid w:val="00DC0CD0"/>
    <w:rsid w:val="00DC0CF0"/>
    <w:rsid w:val="00DC0DA6"/>
    <w:rsid w:val="00DC0DE4"/>
    <w:rsid w:val="00DC0E2D"/>
    <w:rsid w:val="00DC0E3D"/>
    <w:rsid w:val="00DC0E9D"/>
    <w:rsid w:val="00DC0EEC"/>
    <w:rsid w:val="00DC0FEF"/>
    <w:rsid w:val="00DC0FF2"/>
    <w:rsid w:val="00DC1064"/>
    <w:rsid w:val="00DC10AF"/>
    <w:rsid w:val="00DC10B3"/>
    <w:rsid w:val="00DC10F4"/>
    <w:rsid w:val="00DC10F9"/>
    <w:rsid w:val="00DC1135"/>
    <w:rsid w:val="00DC1151"/>
    <w:rsid w:val="00DC119E"/>
    <w:rsid w:val="00DC120C"/>
    <w:rsid w:val="00DC122D"/>
    <w:rsid w:val="00DC12CA"/>
    <w:rsid w:val="00DC1356"/>
    <w:rsid w:val="00DC1367"/>
    <w:rsid w:val="00DC1436"/>
    <w:rsid w:val="00DC144C"/>
    <w:rsid w:val="00DC144E"/>
    <w:rsid w:val="00DC147B"/>
    <w:rsid w:val="00DC14F3"/>
    <w:rsid w:val="00DC15D9"/>
    <w:rsid w:val="00DC15DF"/>
    <w:rsid w:val="00DC1609"/>
    <w:rsid w:val="00DC1641"/>
    <w:rsid w:val="00DC1695"/>
    <w:rsid w:val="00DC1712"/>
    <w:rsid w:val="00DC174A"/>
    <w:rsid w:val="00DC17F0"/>
    <w:rsid w:val="00DC1915"/>
    <w:rsid w:val="00DC1929"/>
    <w:rsid w:val="00DC1931"/>
    <w:rsid w:val="00DC1945"/>
    <w:rsid w:val="00DC1967"/>
    <w:rsid w:val="00DC1980"/>
    <w:rsid w:val="00DC1A02"/>
    <w:rsid w:val="00DC1A08"/>
    <w:rsid w:val="00DC1A5B"/>
    <w:rsid w:val="00DC1A77"/>
    <w:rsid w:val="00DC1B4C"/>
    <w:rsid w:val="00DC1B55"/>
    <w:rsid w:val="00DC1BD8"/>
    <w:rsid w:val="00DC1C23"/>
    <w:rsid w:val="00DC1C47"/>
    <w:rsid w:val="00DC1C7F"/>
    <w:rsid w:val="00DC1CEF"/>
    <w:rsid w:val="00DC1D12"/>
    <w:rsid w:val="00DC1DC9"/>
    <w:rsid w:val="00DC1E3C"/>
    <w:rsid w:val="00DC1E76"/>
    <w:rsid w:val="00DC1EB8"/>
    <w:rsid w:val="00DC1F45"/>
    <w:rsid w:val="00DC1F84"/>
    <w:rsid w:val="00DC1FA6"/>
    <w:rsid w:val="00DC1FD0"/>
    <w:rsid w:val="00DC206A"/>
    <w:rsid w:val="00DC20C6"/>
    <w:rsid w:val="00DC2106"/>
    <w:rsid w:val="00DC2108"/>
    <w:rsid w:val="00DC2143"/>
    <w:rsid w:val="00DC21B4"/>
    <w:rsid w:val="00DC21FE"/>
    <w:rsid w:val="00DC2239"/>
    <w:rsid w:val="00DC2288"/>
    <w:rsid w:val="00DC24BE"/>
    <w:rsid w:val="00DC25B8"/>
    <w:rsid w:val="00DC265C"/>
    <w:rsid w:val="00DC267F"/>
    <w:rsid w:val="00DC279E"/>
    <w:rsid w:val="00DC28D6"/>
    <w:rsid w:val="00DC295A"/>
    <w:rsid w:val="00DC29BE"/>
    <w:rsid w:val="00DC29DA"/>
    <w:rsid w:val="00DC29F6"/>
    <w:rsid w:val="00DC2A03"/>
    <w:rsid w:val="00DC2A39"/>
    <w:rsid w:val="00DC2A51"/>
    <w:rsid w:val="00DC2AC8"/>
    <w:rsid w:val="00DC2AF3"/>
    <w:rsid w:val="00DC2B35"/>
    <w:rsid w:val="00DC2B7A"/>
    <w:rsid w:val="00DC2BA7"/>
    <w:rsid w:val="00DC2BAB"/>
    <w:rsid w:val="00DC2C40"/>
    <w:rsid w:val="00DC2D3A"/>
    <w:rsid w:val="00DC2D75"/>
    <w:rsid w:val="00DC2D7D"/>
    <w:rsid w:val="00DC2D9B"/>
    <w:rsid w:val="00DC2DA4"/>
    <w:rsid w:val="00DC2E9A"/>
    <w:rsid w:val="00DC2EB9"/>
    <w:rsid w:val="00DC2F0B"/>
    <w:rsid w:val="00DC2F2D"/>
    <w:rsid w:val="00DC2F38"/>
    <w:rsid w:val="00DC2FB3"/>
    <w:rsid w:val="00DC2FC6"/>
    <w:rsid w:val="00DC3002"/>
    <w:rsid w:val="00DC301A"/>
    <w:rsid w:val="00DC305E"/>
    <w:rsid w:val="00DC30E1"/>
    <w:rsid w:val="00DC31F9"/>
    <w:rsid w:val="00DC3216"/>
    <w:rsid w:val="00DC3264"/>
    <w:rsid w:val="00DC33EE"/>
    <w:rsid w:val="00DC3443"/>
    <w:rsid w:val="00DC3458"/>
    <w:rsid w:val="00DC3481"/>
    <w:rsid w:val="00DC34FA"/>
    <w:rsid w:val="00DC3558"/>
    <w:rsid w:val="00DC3599"/>
    <w:rsid w:val="00DC35DD"/>
    <w:rsid w:val="00DC3685"/>
    <w:rsid w:val="00DC3739"/>
    <w:rsid w:val="00DC3771"/>
    <w:rsid w:val="00DC38CF"/>
    <w:rsid w:val="00DC38F4"/>
    <w:rsid w:val="00DC3905"/>
    <w:rsid w:val="00DC3941"/>
    <w:rsid w:val="00DC394C"/>
    <w:rsid w:val="00DC39A3"/>
    <w:rsid w:val="00DC3A0A"/>
    <w:rsid w:val="00DC3B03"/>
    <w:rsid w:val="00DC3B1A"/>
    <w:rsid w:val="00DC3D57"/>
    <w:rsid w:val="00DC3F1F"/>
    <w:rsid w:val="00DC3F34"/>
    <w:rsid w:val="00DC3F6D"/>
    <w:rsid w:val="00DC3F6F"/>
    <w:rsid w:val="00DC40F6"/>
    <w:rsid w:val="00DC42C2"/>
    <w:rsid w:val="00DC436A"/>
    <w:rsid w:val="00DC43BD"/>
    <w:rsid w:val="00DC43E6"/>
    <w:rsid w:val="00DC4422"/>
    <w:rsid w:val="00DC449E"/>
    <w:rsid w:val="00DC44AB"/>
    <w:rsid w:val="00DC44F5"/>
    <w:rsid w:val="00DC4575"/>
    <w:rsid w:val="00DC45A9"/>
    <w:rsid w:val="00DC4712"/>
    <w:rsid w:val="00DC478B"/>
    <w:rsid w:val="00DC47C3"/>
    <w:rsid w:val="00DC480B"/>
    <w:rsid w:val="00DC481D"/>
    <w:rsid w:val="00DC48A8"/>
    <w:rsid w:val="00DC4966"/>
    <w:rsid w:val="00DC4A16"/>
    <w:rsid w:val="00DC4A3F"/>
    <w:rsid w:val="00DC4B64"/>
    <w:rsid w:val="00DC4B6A"/>
    <w:rsid w:val="00DC4BB1"/>
    <w:rsid w:val="00DC4BB3"/>
    <w:rsid w:val="00DC4CCD"/>
    <w:rsid w:val="00DC4D7E"/>
    <w:rsid w:val="00DC4D8A"/>
    <w:rsid w:val="00DC4E24"/>
    <w:rsid w:val="00DC5037"/>
    <w:rsid w:val="00DC5054"/>
    <w:rsid w:val="00DC5117"/>
    <w:rsid w:val="00DC5210"/>
    <w:rsid w:val="00DC521E"/>
    <w:rsid w:val="00DC539A"/>
    <w:rsid w:val="00DC53C8"/>
    <w:rsid w:val="00DC5402"/>
    <w:rsid w:val="00DC546F"/>
    <w:rsid w:val="00DC558F"/>
    <w:rsid w:val="00DC5607"/>
    <w:rsid w:val="00DC5632"/>
    <w:rsid w:val="00DC56C3"/>
    <w:rsid w:val="00DC56EB"/>
    <w:rsid w:val="00DC5741"/>
    <w:rsid w:val="00DC5779"/>
    <w:rsid w:val="00DC577D"/>
    <w:rsid w:val="00DC578A"/>
    <w:rsid w:val="00DC57C7"/>
    <w:rsid w:val="00DC586C"/>
    <w:rsid w:val="00DC58C6"/>
    <w:rsid w:val="00DC5919"/>
    <w:rsid w:val="00DC59E3"/>
    <w:rsid w:val="00DC5B06"/>
    <w:rsid w:val="00DC5B8E"/>
    <w:rsid w:val="00DC5BD2"/>
    <w:rsid w:val="00DC5BFE"/>
    <w:rsid w:val="00DC5C4B"/>
    <w:rsid w:val="00DC5C72"/>
    <w:rsid w:val="00DC5C78"/>
    <w:rsid w:val="00DC5C90"/>
    <w:rsid w:val="00DC5E49"/>
    <w:rsid w:val="00DC5ECC"/>
    <w:rsid w:val="00DC5EEF"/>
    <w:rsid w:val="00DC5F88"/>
    <w:rsid w:val="00DC620E"/>
    <w:rsid w:val="00DC621F"/>
    <w:rsid w:val="00DC62B2"/>
    <w:rsid w:val="00DC62B5"/>
    <w:rsid w:val="00DC6314"/>
    <w:rsid w:val="00DC6335"/>
    <w:rsid w:val="00DC6344"/>
    <w:rsid w:val="00DC634B"/>
    <w:rsid w:val="00DC641D"/>
    <w:rsid w:val="00DC64EB"/>
    <w:rsid w:val="00DC652A"/>
    <w:rsid w:val="00DC65F0"/>
    <w:rsid w:val="00DC660A"/>
    <w:rsid w:val="00DC66F9"/>
    <w:rsid w:val="00DC6718"/>
    <w:rsid w:val="00DC6736"/>
    <w:rsid w:val="00DC6742"/>
    <w:rsid w:val="00DC67A0"/>
    <w:rsid w:val="00DC6810"/>
    <w:rsid w:val="00DC6879"/>
    <w:rsid w:val="00DC68AA"/>
    <w:rsid w:val="00DC68FE"/>
    <w:rsid w:val="00DC6945"/>
    <w:rsid w:val="00DC6987"/>
    <w:rsid w:val="00DC69A6"/>
    <w:rsid w:val="00DC69DF"/>
    <w:rsid w:val="00DC6AA2"/>
    <w:rsid w:val="00DC6B45"/>
    <w:rsid w:val="00DC6C0F"/>
    <w:rsid w:val="00DC6C9D"/>
    <w:rsid w:val="00DC6D3C"/>
    <w:rsid w:val="00DC6D99"/>
    <w:rsid w:val="00DC6EA7"/>
    <w:rsid w:val="00DC6EC6"/>
    <w:rsid w:val="00DC6EDF"/>
    <w:rsid w:val="00DC6EF3"/>
    <w:rsid w:val="00DC6F2F"/>
    <w:rsid w:val="00DC7091"/>
    <w:rsid w:val="00DC709E"/>
    <w:rsid w:val="00DC70BC"/>
    <w:rsid w:val="00DC71A2"/>
    <w:rsid w:val="00DC7220"/>
    <w:rsid w:val="00DC727A"/>
    <w:rsid w:val="00DC739E"/>
    <w:rsid w:val="00DC73AD"/>
    <w:rsid w:val="00DC7482"/>
    <w:rsid w:val="00DC7527"/>
    <w:rsid w:val="00DC7535"/>
    <w:rsid w:val="00DC7539"/>
    <w:rsid w:val="00DC755C"/>
    <w:rsid w:val="00DC75F4"/>
    <w:rsid w:val="00DC7617"/>
    <w:rsid w:val="00DC76F5"/>
    <w:rsid w:val="00DC7742"/>
    <w:rsid w:val="00DC77B3"/>
    <w:rsid w:val="00DC780C"/>
    <w:rsid w:val="00DC7818"/>
    <w:rsid w:val="00DC781A"/>
    <w:rsid w:val="00DC7820"/>
    <w:rsid w:val="00DC782F"/>
    <w:rsid w:val="00DC7895"/>
    <w:rsid w:val="00DC78B3"/>
    <w:rsid w:val="00DC799F"/>
    <w:rsid w:val="00DC7A4E"/>
    <w:rsid w:val="00DC7A56"/>
    <w:rsid w:val="00DC7B2C"/>
    <w:rsid w:val="00DC7B6A"/>
    <w:rsid w:val="00DC7B8A"/>
    <w:rsid w:val="00DC7BC8"/>
    <w:rsid w:val="00DC7BD1"/>
    <w:rsid w:val="00DC7C6D"/>
    <w:rsid w:val="00DC7C83"/>
    <w:rsid w:val="00DC7D47"/>
    <w:rsid w:val="00DC7E23"/>
    <w:rsid w:val="00DC7EF0"/>
    <w:rsid w:val="00DC7F0B"/>
    <w:rsid w:val="00DC7F11"/>
    <w:rsid w:val="00DC7F68"/>
    <w:rsid w:val="00DC7F7D"/>
    <w:rsid w:val="00DC7F99"/>
    <w:rsid w:val="00DC7FBF"/>
    <w:rsid w:val="00DD0092"/>
    <w:rsid w:val="00DD0196"/>
    <w:rsid w:val="00DD01CE"/>
    <w:rsid w:val="00DD0210"/>
    <w:rsid w:val="00DD0226"/>
    <w:rsid w:val="00DD0244"/>
    <w:rsid w:val="00DD0267"/>
    <w:rsid w:val="00DD0273"/>
    <w:rsid w:val="00DD02DD"/>
    <w:rsid w:val="00DD0326"/>
    <w:rsid w:val="00DD032E"/>
    <w:rsid w:val="00DD0342"/>
    <w:rsid w:val="00DD035B"/>
    <w:rsid w:val="00DD037A"/>
    <w:rsid w:val="00DD03FA"/>
    <w:rsid w:val="00DD0461"/>
    <w:rsid w:val="00DD04A7"/>
    <w:rsid w:val="00DD04D4"/>
    <w:rsid w:val="00DD0516"/>
    <w:rsid w:val="00DD05A6"/>
    <w:rsid w:val="00DD05B8"/>
    <w:rsid w:val="00DD05E3"/>
    <w:rsid w:val="00DD0723"/>
    <w:rsid w:val="00DD0726"/>
    <w:rsid w:val="00DD07AC"/>
    <w:rsid w:val="00DD07CB"/>
    <w:rsid w:val="00DD07D7"/>
    <w:rsid w:val="00DD088B"/>
    <w:rsid w:val="00DD08FD"/>
    <w:rsid w:val="00DD0911"/>
    <w:rsid w:val="00DD0A26"/>
    <w:rsid w:val="00DD0A84"/>
    <w:rsid w:val="00DD0A96"/>
    <w:rsid w:val="00DD0A99"/>
    <w:rsid w:val="00DD0A9A"/>
    <w:rsid w:val="00DD0A9D"/>
    <w:rsid w:val="00DD0AE3"/>
    <w:rsid w:val="00DD0B48"/>
    <w:rsid w:val="00DD0BDB"/>
    <w:rsid w:val="00DD0CEE"/>
    <w:rsid w:val="00DD0DAE"/>
    <w:rsid w:val="00DD0DC0"/>
    <w:rsid w:val="00DD0E7B"/>
    <w:rsid w:val="00DD0F1C"/>
    <w:rsid w:val="00DD101D"/>
    <w:rsid w:val="00DD10A5"/>
    <w:rsid w:val="00DD10AC"/>
    <w:rsid w:val="00DD1110"/>
    <w:rsid w:val="00DD11D1"/>
    <w:rsid w:val="00DD1289"/>
    <w:rsid w:val="00DD13F6"/>
    <w:rsid w:val="00DD141D"/>
    <w:rsid w:val="00DD142B"/>
    <w:rsid w:val="00DD142F"/>
    <w:rsid w:val="00DD147B"/>
    <w:rsid w:val="00DD14DF"/>
    <w:rsid w:val="00DD15B5"/>
    <w:rsid w:val="00DD15EF"/>
    <w:rsid w:val="00DD1657"/>
    <w:rsid w:val="00DD177B"/>
    <w:rsid w:val="00DD1823"/>
    <w:rsid w:val="00DD186C"/>
    <w:rsid w:val="00DD18F9"/>
    <w:rsid w:val="00DD1911"/>
    <w:rsid w:val="00DD199E"/>
    <w:rsid w:val="00DD19A0"/>
    <w:rsid w:val="00DD19EB"/>
    <w:rsid w:val="00DD1A00"/>
    <w:rsid w:val="00DD1B0E"/>
    <w:rsid w:val="00DD1B69"/>
    <w:rsid w:val="00DD1C12"/>
    <w:rsid w:val="00DD1C53"/>
    <w:rsid w:val="00DD1CC6"/>
    <w:rsid w:val="00DD1CFD"/>
    <w:rsid w:val="00DD1CFE"/>
    <w:rsid w:val="00DD1D1E"/>
    <w:rsid w:val="00DD1DA0"/>
    <w:rsid w:val="00DD1DB3"/>
    <w:rsid w:val="00DD1DF0"/>
    <w:rsid w:val="00DD1E80"/>
    <w:rsid w:val="00DD1E8D"/>
    <w:rsid w:val="00DD204D"/>
    <w:rsid w:val="00DD21BD"/>
    <w:rsid w:val="00DD223B"/>
    <w:rsid w:val="00DD2249"/>
    <w:rsid w:val="00DD2383"/>
    <w:rsid w:val="00DD243C"/>
    <w:rsid w:val="00DD246C"/>
    <w:rsid w:val="00DD24AB"/>
    <w:rsid w:val="00DD25C0"/>
    <w:rsid w:val="00DD2601"/>
    <w:rsid w:val="00DD2679"/>
    <w:rsid w:val="00DD269F"/>
    <w:rsid w:val="00DD26CF"/>
    <w:rsid w:val="00DD2727"/>
    <w:rsid w:val="00DD285E"/>
    <w:rsid w:val="00DD2886"/>
    <w:rsid w:val="00DD2921"/>
    <w:rsid w:val="00DD2967"/>
    <w:rsid w:val="00DD2978"/>
    <w:rsid w:val="00DD2988"/>
    <w:rsid w:val="00DD2ADA"/>
    <w:rsid w:val="00DD2B53"/>
    <w:rsid w:val="00DD2C1E"/>
    <w:rsid w:val="00DD2C45"/>
    <w:rsid w:val="00DD2CD5"/>
    <w:rsid w:val="00DD2D2E"/>
    <w:rsid w:val="00DD2D8C"/>
    <w:rsid w:val="00DD2D8F"/>
    <w:rsid w:val="00DD2EC0"/>
    <w:rsid w:val="00DD2EEF"/>
    <w:rsid w:val="00DD2F29"/>
    <w:rsid w:val="00DD2F63"/>
    <w:rsid w:val="00DD3039"/>
    <w:rsid w:val="00DD303A"/>
    <w:rsid w:val="00DD304D"/>
    <w:rsid w:val="00DD310C"/>
    <w:rsid w:val="00DD3110"/>
    <w:rsid w:val="00DD3129"/>
    <w:rsid w:val="00DD327D"/>
    <w:rsid w:val="00DD3297"/>
    <w:rsid w:val="00DD32A5"/>
    <w:rsid w:val="00DD3429"/>
    <w:rsid w:val="00DD3435"/>
    <w:rsid w:val="00DD3499"/>
    <w:rsid w:val="00DD34A2"/>
    <w:rsid w:val="00DD34CD"/>
    <w:rsid w:val="00DD34F8"/>
    <w:rsid w:val="00DD352D"/>
    <w:rsid w:val="00DD3541"/>
    <w:rsid w:val="00DD3567"/>
    <w:rsid w:val="00DD35D4"/>
    <w:rsid w:val="00DD3625"/>
    <w:rsid w:val="00DD36AE"/>
    <w:rsid w:val="00DD36E0"/>
    <w:rsid w:val="00DD38BA"/>
    <w:rsid w:val="00DD3920"/>
    <w:rsid w:val="00DD397A"/>
    <w:rsid w:val="00DD39A4"/>
    <w:rsid w:val="00DD39C4"/>
    <w:rsid w:val="00DD39EA"/>
    <w:rsid w:val="00DD3A4D"/>
    <w:rsid w:val="00DD3B9E"/>
    <w:rsid w:val="00DD3BF6"/>
    <w:rsid w:val="00DD3C4B"/>
    <w:rsid w:val="00DD3CAB"/>
    <w:rsid w:val="00DD3CF7"/>
    <w:rsid w:val="00DD3D11"/>
    <w:rsid w:val="00DD3D91"/>
    <w:rsid w:val="00DD3D9A"/>
    <w:rsid w:val="00DD3DC6"/>
    <w:rsid w:val="00DD3E2D"/>
    <w:rsid w:val="00DD3E54"/>
    <w:rsid w:val="00DD3EC8"/>
    <w:rsid w:val="00DD3EC9"/>
    <w:rsid w:val="00DD3EFF"/>
    <w:rsid w:val="00DD3F6F"/>
    <w:rsid w:val="00DD3F85"/>
    <w:rsid w:val="00DD3FA2"/>
    <w:rsid w:val="00DD409B"/>
    <w:rsid w:val="00DD40D6"/>
    <w:rsid w:val="00DD4110"/>
    <w:rsid w:val="00DD4132"/>
    <w:rsid w:val="00DD4187"/>
    <w:rsid w:val="00DD422F"/>
    <w:rsid w:val="00DD4335"/>
    <w:rsid w:val="00DD434A"/>
    <w:rsid w:val="00DD43F4"/>
    <w:rsid w:val="00DD43F7"/>
    <w:rsid w:val="00DD4406"/>
    <w:rsid w:val="00DD4420"/>
    <w:rsid w:val="00DD4432"/>
    <w:rsid w:val="00DD446F"/>
    <w:rsid w:val="00DD44CD"/>
    <w:rsid w:val="00DD4550"/>
    <w:rsid w:val="00DD4623"/>
    <w:rsid w:val="00DD463C"/>
    <w:rsid w:val="00DD4686"/>
    <w:rsid w:val="00DD468D"/>
    <w:rsid w:val="00DD4743"/>
    <w:rsid w:val="00DD47B0"/>
    <w:rsid w:val="00DD47F7"/>
    <w:rsid w:val="00DD47FD"/>
    <w:rsid w:val="00DD4805"/>
    <w:rsid w:val="00DD4818"/>
    <w:rsid w:val="00DD487C"/>
    <w:rsid w:val="00DD48EF"/>
    <w:rsid w:val="00DD491A"/>
    <w:rsid w:val="00DD49B6"/>
    <w:rsid w:val="00DD49C5"/>
    <w:rsid w:val="00DD4A12"/>
    <w:rsid w:val="00DD4A2A"/>
    <w:rsid w:val="00DD4B0C"/>
    <w:rsid w:val="00DD4C6D"/>
    <w:rsid w:val="00DD4C83"/>
    <w:rsid w:val="00DD4C9B"/>
    <w:rsid w:val="00DD4D58"/>
    <w:rsid w:val="00DD4E3A"/>
    <w:rsid w:val="00DD4EFF"/>
    <w:rsid w:val="00DD4F8A"/>
    <w:rsid w:val="00DD4FA1"/>
    <w:rsid w:val="00DD4FA8"/>
    <w:rsid w:val="00DD4FD3"/>
    <w:rsid w:val="00DD4FFC"/>
    <w:rsid w:val="00DD5023"/>
    <w:rsid w:val="00DD5111"/>
    <w:rsid w:val="00DD5165"/>
    <w:rsid w:val="00DD51B0"/>
    <w:rsid w:val="00DD5220"/>
    <w:rsid w:val="00DD527C"/>
    <w:rsid w:val="00DD5283"/>
    <w:rsid w:val="00DD5334"/>
    <w:rsid w:val="00DD534A"/>
    <w:rsid w:val="00DD53AA"/>
    <w:rsid w:val="00DD53AF"/>
    <w:rsid w:val="00DD53BF"/>
    <w:rsid w:val="00DD5428"/>
    <w:rsid w:val="00DD544A"/>
    <w:rsid w:val="00DD549C"/>
    <w:rsid w:val="00DD54E1"/>
    <w:rsid w:val="00DD550D"/>
    <w:rsid w:val="00DD5615"/>
    <w:rsid w:val="00DD5649"/>
    <w:rsid w:val="00DD567B"/>
    <w:rsid w:val="00DD56F7"/>
    <w:rsid w:val="00DD5703"/>
    <w:rsid w:val="00DD5774"/>
    <w:rsid w:val="00DD584F"/>
    <w:rsid w:val="00DD58A5"/>
    <w:rsid w:val="00DD58CB"/>
    <w:rsid w:val="00DD58CF"/>
    <w:rsid w:val="00DD5928"/>
    <w:rsid w:val="00DD5968"/>
    <w:rsid w:val="00DD5977"/>
    <w:rsid w:val="00DD59B7"/>
    <w:rsid w:val="00DD59CE"/>
    <w:rsid w:val="00DD5A0D"/>
    <w:rsid w:val="00DD5A27"/>
    <w:rsid w:val="00DD5B41"/>
    <w:rsid w:val="00DD5B47"/>
    <w:rsid w:val="00DD5B60"/>
    <w:rsid w:val="00DD5B7A"/>
    <w:rsid w:val="00DD5BD0"/>
    <w:rsid w:val="00DD5D63"/>
    <w:rsid w:val="00DD5DA9"/>
    <w:rsid w:val="00DD5E63"/>
    <w:rsid w:val="00DD5EA3"/>
    <w:rsid w:val="00DD5EBD"/>
    <w:rsid w:val="00DD5EBE"/>
    <w:rsid w:val="00DD5EDC"/>
    <w:rsid w:val="00DD5EEF"/>
    <w:rsid w:val="00DD5EF7"/>
    <w:rsid w:val="00DD5EFB"/>
    <w:rsid w:val="00DD5FCE"/>
    <w:rsid w:val="00DD5FD5"/>
    <w:rsid w:val="00DD60D7"/>
    <w:rsid w:val="00DD610C"/>
    <w:rsid w:val="00DD6233"/>
    <w:rsid w:val="00DD6235"/>
    <w:rsid w:val="00DD6245"/>
    <w:rsid w:val="00DD6273"/>
    <w:rsid w:val="00DD627C"/>
    <w:rsid w:val="00DD627E"/>
    <w:rsid w:val="00DD62B7"/>
    <w:rsid w:val="00DD6367"/>
    <w:rsid w:val="00DD63B1"/>
    <w:rsid w:val="00DD6524"/>
    <w:rsid w:val="00DD6614"/>
    <w:rsid w:val="00DD66FF"/>
    <w:rsid w:val="00DD6734"/>
    <w:rsid w:val="00DD6801"/>
    <w:rsid w:val="00DD6805"/>
    <w:rsid w:val="00DD6809"/>
    <w:rsid w:val="00DD68AC"/>
    <w:rsid w:val="00DD68C8"/>
    <w:rsid w:val="00DD690B"/>
    <w:rsid w:val="00DD6978"/>
    <w:rsid w:val="00DD6A58"/>
    <w:rsid w:val="00DD6A82"/>
    <w:rsid w:val="00DD6AA8"/>
    <w:rsid w:val="00DD6AB6"/>
    <w:rsid w:val="00DD6B08"/>
    <w:rsid w:val="00DD6B6E"/>
    <w:rsid w:val="00DD6BAD"/>
    <w:rsid w:val="00DD6C31"/>
    <w:rsid w:val="00DD6C45"/>
    <w:rsid w:val="00DD6E9B"/>
    <w:rsid w:val="00DD6EE9"/>
    <w:rsid w:val="00DD6F49"/>
    <w:rsid w:val="00DD6FC6"/>
    <w:rsid w:val="00DD7072"/>
    <w:rsid w:val="00DD7098"/>
    <w:rsid w:val="00DD70BE"/>
    <w:rsid w:val="00DD7244"/>
    <w:rsid w:val="00DD72DE"/>
    <w:rsid w:val="00DD734D"/>
    <w:rsid w:val="00DD7394"/>
    <w:rsid w:val="00DD73C3"/>
    <w:rsid w:val="00DD73D9"/>
    <w:rsid w:val="00DD74E5"/>
    <w:rsid w:val="00DD74F8"/>
    <w:rsid w:val="00DD759F"/>
    <w:rsid w:val="00DD7619"/>
    <w:rsid w:val="00DD767F"/>
    <w:rsid w:val="00DD768C"/>
    <w:rsid w:val="00DD76D0"/>
    <w:rsid w:val="00DD76D7"/>
    <w:rsid w:val="00DD76DD"/>
    <w:rsid w:val="00DD77A5"/>
    <w:rsid w:val="00DD7858"/>
    <w:rsid w:val="00DD7875"/>
    <w:rsid w:val="00DD7888"/>
    <w:rsid w:val="00DD794C"/>
    <w:rsid w:val="00DD799B"/>
    <w:rsid w:val="00DD79DF"/>
    <w:rsid w:val="00DD7B3E"/>
    <w:rsid w:val="00DD7C88"/>
    <w:rsid w:val="00DD7C9E"/>
    <w:rsid w:val="00DD7D1B"/>
    <w:rsid w:val="00DD7D52"/>
    <w:rsid w:val="00DD7DA2"/>
    <w:rsid w:val="00DD7DDE"/>
    <w:rsid w:val="00DD7E46"/>
    <w:rsid w:val="00DD7EA7"/>
    <w:rsid w:val="00DD7EBE"/>
    <w:rsid w:val="00DD7F99"/>
    <w:rsid w:val="00DD7FE9"/>
    <w:rsid w:val="00DE0008"/>
    <w:rsid w:val="00DE00DF"/>
    <w:rsid w:val="00DE0151"/>
    <w:rsid w:val="00DE0182"/>
    <w:rsid w:val="00DE01B5"/>
    <w:rsid w:val="00DE02E2"/>
    <w:rsid w:val="00DE02ED"/>
    <w:rsid w:val="00DE036F"/>
    <w:rsid w:val="00DE0463"/>
    <w:rsid w:val="00DE04FB"/>
    <w:rsid w:val="00DE04FF"/>
    <w:rsid w:val="00DE0512"/>
    <w:rsid w:val="00DE052B"/>
    <w:rsid w:val="00DE0535"/>
    <w:rsid w:val="00DE058B"/>
    <w:rsid w:val="00DE059A"/>
    <w:rsid w:val="00DE05E3"/>
    <w:rsid w:val="00DE05E6"/>
    <w:rsid w:val="00DE064F"/>
    <w:rsid w:val="00DE06C0"/>
    <w:rsid w:val="00DE0715"/>
    <w:rsid w:val="00DE0841"/>
    <w:rsid w:val="00DE0893"/>
    <w:rsid w:val="00DE09C7"/>
    <w:rsid w:val="00DE0A3E"/>
    <w:rsid w:val="00DE0A92"/>
    <w:rsid w:val="00DE0B2B"/>
    <w:rsid w:val="00DE0B3F"/>
    <w:rsid w:val="00DE0B7E"/>
    <w:rsid w:val="00DE0BC1"/>
    <w:rsid w:val="00DE0BCF"/>
    <w:rsid w:val="00DE0C74"/>
    <w:rsid w:val="00DE0D14"/>
    <w:rsid w:val="00DE0E06"/>
    <w:rsid w:val="00DE0E2A"/>
    <w:rsid w:val="00DE0E35"/>
    <w:rsid w:val="00DE0E6D"/>
    <w:rsid w:val="00DE0E9D"/>
    <w:rsid w:val="00DE0EC9"/>
    <w:rsid w:val="00DE0EF6"/>
    <w:rsid w:val="00DE0F48"/>
    <w:rsid w:val="00DE0F65"/>
    <w:rsid w:val="00DE0F8E"/>
    <w:rsid w:val="00DE1034"/>
    <w:rsid w:val="00DE103B"/>
    <w:rsid w:val="00DE124F"/>
    <w:rsid w:val="00DE135A"/>
    <w:rsid w:val="00DE135B"/>
    <w:rsid w:val="00DE13E7"/>
    <w:rsid w:val="00DE144D"/>
    <w:rsid w:val="00DE14B4"/>
    <w:rsid w:val="00DE14BC"/>
    <w:rsid w:val="00DE14D3"/>
    <w:rsid w:val="00DE1664"/>
    <w:rsid w:val="00DE16C1"/>
    <w:rsid w:val="00DE1764"/>
    <w:rsid w:val="00DE177A"/>
    <w:rsid w:val="00DE178A"/>
    <w:rsid w:val="00DE1797"/>
    <w:rsid w:val="00DE17CA"/>
    <w:rsid w:val="00DE17DD"/>
    <w:rsid w:val="00DE18D6"/>
    <w:rsid w:val="00DE19DC"/>
    <w:rsid w:val="00DE1A23"/>
    <w:rsid w:val="00DE1A81"/>
    <w:rsid w:val="00DE1C7C"/>
    <w:rsid w:val="00DE1C82"/>
    <w:rsid w:val="00DE1D07"/>
    <w:rsid w:val="00DE1DD8"/>
    <w:rsid w:val="00DE1DE6"/>
    <w:rsid w:val="00DE1DF5"/>
    <w:rsid w:val="00DE1EA1"/>
    <w:rsid w:val="00DE1EEA"/>
    <w:rsid w:val="00DE1FF8"/>
    <w:rsid w:val="00DE20EF"/>
    <w:rsid w:val="00DE2104"/>
    <w:rsid w:val="00DE211F"/>
    <w:rsid w:val="00DE215A"/>
    <w:rsid w:val="00DE21A8"/>
    <w:rsid w:val="00DE21B9"/>
    <w:rsid w:val="00DE2291"/>
    <w:rsid w:val="00DE2398"/>
    <w:rsid w:val="00DE23AD"/>
    <w:rsid w:val="00DE2442"/>
    <w:rsid w:val="00DE24A3"/>
    <w:rsid w:val="00DE2549"/>
    <w:rsid w:val="00DE25C0"/>
    <w:rsid w:val="00DE2651"/>
    <w:rsid w:val="00DE265B"/>
    <w:rsid w:val="00DE26DF"/>
    <w:rsid w:val="00DE26EA"/>
    <w:rsid w:val="00DE2735"/>
    <w:rsid w:val="00DE2776"/>
    <w:rsid w:val="00DE27D2"/>
    <w:rsid w:val="00DE294C"/>
    <w:rsid w:val="00DE2A12"/>
    <w:rsid w:val="00DE2A1D"/>
    <w:rsid w:val="00DE2A34"/>
    <w:rsid w:val="00DE2ACE"/>
    <w:rsid w:val="00DE2B2B"/>
    <w:rsid w:val="00DE2B33"/>
    <w:rsid w:val="00DE2B6B"/>
    <w:rsid w:val="00DE2B89"/>
    <w:rsid w:val="00DE2BEB"/>
    <w:rsid w:val="00DE2C3C"/>
    <w:rsid w:val="00DE2C5A"/>
    <w:rsid w:val="00DE2CC4"/>
    <w:rsid w:val="00DE2D20"/>
    <w:rsid w:val="00DE2D8C"/>
    <w:rsid w:val="00DE2EC2"/>
    <w:rsid w:val="00DE2F86"/>
    <w:rsid w:val="00DE2FB9"/>
    <w:rsid w:val="00DE3023"/>
    <w:rsid w:val="00DE3045"/>
    <w:rsid w:val="00DE3061"/>
    <w:rsid w:val="00DE3087"/>
    <w:rsid w:val="00DE30D0"/>
    <w:rsid w:val="00DE30E3"/>
    <w:rsid w:val="00DE30F6"/>
    <w:rsid w:val="00DE3120"/>
    <w:rsid w:val="00DE3152"/>
    <w:rsid w:val="00DE3165"/>
    <w:rsid w:val="00DE31EB"/>
    <w:rsid w:val="00DE32DE"/>
    <w:rsid w:val="00DE3327"/>
    <w:rsid w:val="00DE3393"/>
    <w:rsid w:val="00DE3430"/>
    <w:rsid w:val="00DE343A"/>
    <w:rsid w:val="00DE3451"/>
    <w:rsid w:val="00DE355E"/>
    <w:rsid w:val="00DE359F"/>
    <w:rsid w:val="00DE35CD"/>
    <w:rsid w:val="00DE35D3"/>
    <w:rsid w:val="00DE366D"/>
    <w:rsid w:val="00DE36B1"/>
    <w:rsid w:val="00DE3703"/>
    <w:rsid w:val="00DE3748"/>
    <w:rsid w:val="00DE3794"/>
    <w:rsid w:val="00DE3834"/>
    <w:rsid w:val="00DE3848"/>
    <w:rsid w:val="00DE38B1"/>
    <w:rsid w:val="00DE38D1"/>
    <w:rsid w:val="00DE3910"/>
    <w:rsid w:val="00DE391B"/>
    <w:rsid w:val="00DE39B7"/>
    <w:rsid w:val="00DE39E4"/>
    <w:rsid w:val="00DE3A2B"/>
    <w:rsid w:val="00DE3A8E"/>
    <w:rsid w:val="00DE3AF5"/>
    <w:rsid w:val="00DE3B76"/>
    <w:rsid w:val="00DE3BD3"/>
    <w:rsid w:val="00DE3BE5"/>
    <w:rsid w:val="00DE3C69"/>
    <w:rsid w:val="00DE3CC1"/>
    <w:rsid w:val="00DE3D16"/>
    <w:rsid w:val="00DE3D66"/>
    <w:rsid w:val="00DE3E35"/>
    <w:rsid w:val="00DE3E51"/>
    <w:rsid w:val="00DE3EC3"/>
    <w:rsid w:val="00DE3ED0"/>
    <w:rsid w:val="00DE3F86"/>
    <w:rsid w:val="00DE3FDF"/>
    <w:rsid w:val="00DE40F3"/>
    <w:rsid w:val="00DE4288"/>
    <w:rsid w:val="00DE437A"/>
    <w:rsid w:val="00DE43BA"/>
    <w:rsid w:val="00DE4506"/>
    <w:rsid w:val="00DE451C"/>
    <w:rsid w:val="00DE454B"/>
    <w:rsid w:val="00DE457C"/>
    <w:rsid w:val="00DE4612"/>
    <w:rsid w:val="00DE46A4"/>
    <w:rsid w:val="00DE477A"/>
    <w:rsid w:val="00DE481C"/>
    <w:rsid w:val="00DE483C"/>
    <w:rsid w:val="00DE4863"/>
    <w:rsid w:val="00DE4913"/>
    <w:rsid w:val="00DE4981"/>
    <w:rsid w:val="00DE4AF7"/>
    <w:rsid w:val="00DE4B93"/>
    <w:rsid w:val="00DE4D05"/>
    <w:rsid w:val="00DE4D0A"/>
    <w:rsid w:val="00DE4D11"/>
    <w:rsid w:val="00DE4D45"/>
    <w:rsid w:val="00DE4DF6"/>
    <w:rsid w:val="00DE4F41"/>
    <w:rsid w:val="00DE4F77"/>
    <w:rsid w:val="00DE4F99"/>
    <w:rsid w:val="00DE4FF6"/>
    <w:rsid w:val="00DE5130"/>
    <w:rsid w:val="00DE5139"/>
    <w:rsid w:val="00DE532B"/>
    <w:rsid w:val="00DE537B"/>
    <w:rsid w:val="00DE5403"/>
    <w:rsid w:val="00DE547C"/>
    <w:rsid w:val="00DE5496"/>
    <w:rsid w:val="00DE549A"/>
    <w:rsid w:val="00DE549E"/>
    <w:rsid w:val="00DE54DF"/>
    <w:rsid w:val="00DE5583"/>
    <w:rsid w:val="00DE5613"/>
    <w:rsid w:val="00DE569C"/>
    <w:rsid w:val="00DE5722"/>
    <w:rsid w:val="00DE58F8"/>
    <w:rsid w:val="00DE5A01"/>
    <w:rsid w:val="00DE5B4A"/>
    <w:rsid w:val="00DE5BB4"/>
    <w:rsid w:val="00DE5C29"/>
    <w:rsid w:val="00DE5C6E"/>
    <w:rsid w:val="00DE5D27"/>
    <w:rsid w:val="00DE5DDE"/>
    <w:rsid w:val="00DE5DED"/>
    <w:rsid w:val="00DE5E9B"/>
    <w:rsid w:val="00DE5EC4"/>
    <w:rsid w:val="00DE5FDB"/>
    <w:rsid w:val="00DE602E"/>
    <w:rsid w:val="00DE6089"/>
    <w:rsid w:val="00DE609B"/>
    <w:rsid w:val="00DE60D6"/>
    <w:rsid w:val="00DE60E9"/>
    <w:rsid w:val="00DE614B"/>
    <w:rsid w:val="00DE6176"/>
    <w:rsid w:val="00DE61DA"/>
    <w:rsid w:val="00DE61E9"/>
    <w:rsid w:val="00DE61FC"/>
    <w:rsid w:val="00DE6201"/>
    <w:rsid w:val="00DE626B"/>
    <w:rsid w:val="00DE62AC"/>
    <w:rsid w:val="00DE62F3"/>
    <w:rsid w:val="00DE644F"/>
    <w:rsid w:val="00DE6452"/>
    <w:rsid w:val="00DE6488"/>
    <w:rsid w:val="00DE648E"/>
    <w:rsid w:val="00DE6497"/>
    <w:rsid w:val="00DE64DC"/>
    <w:rsid w:val="00DE6526"/>
    <w:rsid w:val="00DE656C"/>
    <w:rsid w:val="00DE6594"/>
    <w:rsid w:val="00DE66EF"/>
    <w:rsid w:val="00DE67A5"/>
    <w:rsid w:val="00DE68DD"/>
    <w:rsid w:val="00DE6940"/>
    <w:rsid w:val="00DE697B"/>
    <w:rsid w:val="00DE699E"/>
    <w:rsid w:val="00DE6A78"/>
    <w:rsid w:val="00DE6A9B"/>
    <w:rsid w:val="00DE6AB0"/>
    <w:rsid w:val="00DE6ABB"/>
    <w:rsid w:val="00DE6B02"/>
    <w:rsid w:val="00DE6B58"/>
    <w:rsid w:val="00DE6B67"/>
    <w:rsid w:val="00DE6BB0"/>
    <w:rsid w:val="00DE6BDE"/>
    <w:rsid w:val="00DE6C85"/>
    <w:rsid w:val="00DE6CDC"/>
    <w:rsid w:val="00DE6D6A"/>
    <w:rsid w:val="00DE6E10"/>
    <w:rsid w:val="00DE6E1F"/>
    <w:rsid w:val="00DE6E7F"/>
    <w:rsid w:val="00DE6E83"/>
    <w:rsid w:val="00DE6F04"/>
    <w:rsid w:val="00DE6FCF"/>
    <w:rsid w:val="00DE6FD9"/>
    <w:rsid w:val="00DE7008"/>
    <w:rsid w:val="00DE705B"/>
    <w:rsid w:val="00DE7082"/>
    <w:rsid w:val="00DE70B1"/>
    <w:rsid w:val="00DE70E5"/>
    <w:rsid w:val="00DE70FE"/>
    <w:rsid w:val="00DE719A"/>
    <w:rsid w:val="00DE7228"/>
    <w:rsid w:val="00DE7256"/>
    <w:rsid w:val="00DE7290"/>
    <w:rsid w:val="00DE72DA"/>
    <w:rsid w:val="00DE7304"/>
    <w:rsid w:val="00DE7370"/>
    <w:rsid w:val="00DE73BA"/>
    <w:rsid w:val="00DE7417"/>
    <w:rsid w:val="00DE74A8"/>
    <w:rsid w:val="00DE75A6"/>
    <w:rsid w:val="00DE75BB"/>
    <w:rsid w:val="00DE75C5"/>
    <w:rsid w:val="00DE75F8"/>
    <w:rsid w:val="00DE765D"/>
    <w:rsid w:val="00DE76CC"/>
    <w:rsid w:val="00DE76EA"/>
    <w:rsid w:val="00DE7754"/>
    <w:rsid w:val="00DE77AA"/>
    <w:rsid w:val="00DE7810"/>
    <w:rsid w:val="00DE7819"/>
    <w:rsid w:val="00DE784C"/>
    <w:rsid w:val="00DE79EB"/>
    <w:rsid w:val="00DE7B91"/>
    <w:rsid w:val="00DE7BF6"/>
    <w:rsid w:val="00DE7C0D"/>
    <w:rsid w:val="00DE7C39"/>
    <w:rsid w:val="00DE7C65"/>
    <w:rsid w:val="00DE7C86"/>
    <w:rsid w:val="00DE7D23"/>
    <w:rsid w:val="00DE7D7F"/>
    <w:rsid w:val="00DE7E9D"/>
    <w:rsid w:val="00DE7EF9"/>
    <w:rsid w:val="00DE7F15"/>
    <w:rsid w:val="00DE7F8A"/>
    <w:rsid w:val="00DE7FCB"/>
    <w:rsid w:val="00DF0188"/>
    <w:rsid w:val="00DF0289"/>
    <w:rsid w:val="00DF02C4"/>
    <w:rsid w:val="00DF02E9"/>
    <w:rsid w:val="00DF03E1"/>
    <w:rsid w:val="00DF0478"/>
    <w:rsid w:val="00DF04AF"/>
    <w:rsid w:val="00DF04EC"/>
    <w:rsid w:val="00DF0533"/>
    <w:rsid w:val="00DF053B"/>
    <w:rsid w:val="00DF05E9"/>
    <w:rsid w:val="00DF0645"/>
    <w:rsid w:val="00DF0762"/>
    <w:rsid w:val="00DF07A5"/>
    <w:rsid w:val="00DF07CB"/>
    <w:rsid w:val="00DF0896"/>
    <w:rsid w:val="00DF08A0"/>
    <w:rsid w:val="00DF08A6"/>
    <w:rsid w:val="00DF0904"/>
    <w:rsid w:val="00DF093C"/>
    <w:rsid w:val="00DF0961"/>
    <w:rsid w:val="00DF0992"/>
    <w:rsid w:val="00DF099D"/>
    <w:rsid w:val="00DF09F0"/>
    <w:rsid w:val="00DF0BDF"/>
    <w:rsid w:val="00DF0BEC"/>
    <w:rsid w:val="00DF0C44"/>
    <w:rsid w:val="00DF0C68"/>
    <w:rsid w:val="00DF0C82"/>
    <w:rsid w:val="00DF0D64"/>
    <w:rsid w:val="00DF0D8C"/>
    <w:rsid w:val="00DF0DC8"/>
    <w:rsid w:val="00DF0DDB"/>
    <w:rsid w:val="00DF0E87"/>
    <w:rsid w:val="00DF0EC0"/>
    <w:rsid w:val="00DF0EEA"/>
    <w:rsid w:val="00DF0EFC"/>
    <w:rsid w:val="00DF0F16"/>
    <w:rsid w:val="00DF0F2A"/>
    <w:rsid w:val="00DF0F85"/>
    <w:rsid w:val="00DF0FC7"/>
    <w:rsid w:val="00DF1011"/>
    <w:rsid w:val="00DF1018"/>
    <w:rsid w:val="00DF104B"/>
    <w:rsid w:val="00DF1057"/>
    <w:rsid w:val="00DF1150"/>
    <w:rsid w:val="00DF1154"/>
    <w:rsid w:val="00DF117F"/>
    <w:rsid w:val="00DF119C"/>
    <w:rsid w:val="00DF11CB"/>
    <w:rsid w:val="00DF11E2"/>
    <w:rsid w:val="00DF129D"/>
    <w:rsid w:val="00DF133D"/>
    <w:rsid w:val="00DF1382"/>
    <w:rsid w:val="00DF14B0"/>
    <w:rsid w:val="00DF156F"/>
    <w:rsid w:val="00DF15B7"/>
    <w:rsid w:val="00DF1693"/>
    <w:rsid w:val="00DF16EA"/>
    <w:rsid w:val="00DF18AD"/>
    <w:rsid w:val="00DF19D5"/>
    <w:rsid w:val="00DF1AA3"/>
    <w:rsid w:val="00DF1AAC"/>
    <w:rsid w:val="00DF1ABE"/>
    <w:rsid w:val="00DF1C02"/>
    <w:rsid w:val="00DF1C1A"/>
    <w:rsid w:val="00DF1C6F"/>
    <w:rsid w:val="00DF1C98"/>
    <w:rsid w:val="00DF1CC6"/>
    <w:rsid w:val="00DF1CD6"/>
    <w:rsid w:val="00DF1CF3"/>
    <w:rsid w:val="00DF1D32"/>
    <w:rsid w:val="00DF1D9B"/>
    <w:rsid w:val="00DF1E1A"/>
    <w:rsid w:val="00DF1ECA"/>
    <w:rsid w:val="00DF1F1A"/>
    <w:rsid w:val="00DF1F23"/>
    <w:rsid w:val="00DF1FD4"/>
    <w:rsid w:val="00DF1FF5"/>
    <w:rsid w:val="00DF21BA"/>
    <w:rsid w:val="00DF223C"/>
    <w:rsid w:val="00DF2374"/>
    <w:rsid w:val="00DF237F"/>
    <w:rsid w:val="00DF2446"/>
    <w:rsid w:val="00DF24EA"/>
    <w:rsid w:val="00DF264F"/>
    <w:rsid w:val="00DF2692"/>
    <w:rsid w:val="00DF26D2"/>
    <w:rsid w:val="00DF270E"/>
    <w:rsid w:val="00DF2714"/>
    <w:rsid w:val="00DF273B"/>
    <w:rsid w:val="00DF27A3"/>
    <w:rsid w:val="00DF27E6"/>
    <w:rsid w:val="00DF27EF"/>
    <w:rsid w:val="00DF281D"/>
    <w:rsid w:val="00DF2882"/>
    <w:rsid w:val="00DF2919"/>
    <w:rsid w:val="00DF297B"/>
    <w:rsid w:val="00DF29AD"/>
    <w:rsid w:val="00DF29BC"/>
    <w:rsid w:val="00DF2A06"/>
    <w:rsid w:val="00DF2A19"/>
    <w:rsid w:val="00DF2A43"/>
    <w:rsid w:val="00DF2AAE"/>
    <w:rsid w:val="00DF2B89"/>
    <w:rsid w:val="00DF2BCD"/>
    <w:rsid w:val="00DF2C35"/>
    <w:rsid w:val="00DF2D40"/>
    <w:rsid w:val="00DF2DA7"/>
    <w:rsid w:val="00DF2DAE"/>
    <w:rsid w:val="00DF2DC3"/>
    <w:rsid w:val="00DF2E23"/>
    <w:rsid w:val="00DF2EA4"/>
    <w:rsid w:val="00DF2F25"/>
    <w:rsid w:val="00DF2F9F"/>
    <w:rsid w:val="00DF3116"/>
    <w:rsid w:val="00DF313E"/>
    <w:rsid w:val="00DF3175"/>
    <w:rsid w:val="00DF31B0"/>
    <w:rsid w:val="00DF31DB"/>
    <w:rsid w:val="00DF329C"/>
    <w:rsid w:val="00DF32DB"/>
    <w:rsid w:val="00DF33FF"/>
    <w:rsid w:val="00DF34BE"/>
    <w:rsid w:val="00DF34C3"/>
    <w:rsid w:val="00DF34D8"/>
    <w:rsid w:val="00DF35A8"/>
    <w:rsid w:val="00DF35B5"/>
    <w:rsid w:val="00DF363F"/>
    <w:rsid w:val="00DF3709"/>
    <w:rsid w:val="00DF374A"/>
    <w:rsid w:val="00DF3786"/>
    <w:rsid w:val="00DF37A7"/>
    <w:rsid w:val="00DF38C3"/>
    <w:rsid w:val="00DF38C4"/>
    <w:rsid w:val="00DF3967"/>
    <w:rsid w:val="00DF3A12"/>
    <w:rsid w:val="00DF3A25"/>
    <w:rsid w:val="00DF3A86"/>
    <w:rsid w:val="00DF3CB5"/>
    <w:rsid w:val="00DF3CE1"/>
    <w:rsid w:val="00DF3CFF"/>
    <w:rsid w:val="00DF3D44"/>
    <w:rsid w:val="00DF3DA7"/>
    <w:rsid w:val="00DF3E00"/>
    <w:rsid w:val="00DF3EEC"/>
    <w:rsid w:val="00DF3EFA"/>
    <w:rsid w:val="00DF3FE3"/>
    <w:rsid w:val="00DF4041"/>
    <w:rsid w:val="00DF4161"/>
    <w:rsid w:val="00DF418D"/>
    <w:rsid w:val="00DF4238"/>
    <w:rsid w:val="00DF4286"/>
    <w:rsid w:val="00DF4336"/>
    <w:rsid w:val="00DF4359"/>
    <w:rsid w:val="00DF437E"/>
    <w:rsid w:val="00DF4480"/>
    <w:rsid w:val="00DF4491"/>
    <w:rsid w:val="00DF4515"/>
    <w:rsid w:val="00DF454B"/>
    <w:rsid w:val="00DF4553"/>
    <w:rsid w:val="00DF459F"/>
    <w:rsid w:val="00DF45F1"/>
    <w:rsid w:val="00DF45FF"/>
    <w:rsid w:val="00DF4654"/>
    <w:rsid w:val="00DF471F"/>
    <w:rsid w:val="00DF472D"/>
    <w:rsid w:val="00DF4758"/>
    <w:rsid w:val="00DF479C"/>
    <w:rsid w:val="00DF4811"/>
    <w:rsid w:val="00DF48A0"/>
    <w:rsid w:val="00DF4966"/>
    <w:rsid w:val="00DF499B"/>
    <w:rsid w:val="00DF49C6"/>
    <w:rsid w:val="00DF4A93"/>
    <w:rsid w:val="00DF4A99"/>
    <w:rsid w:val="00DF4AA4"/>
    <w:rsid w:val="00DF4ADA"/>
    <w:rsid w:val="00DF4B06"/>
    <w:rsid w:val="00DF4B0B"/>
    <w:rsid w:val="00DF4B23"/>
    <w:rsid w:val="00DF4B42"/>
    <w:rsid w:val="00DF4BD5"/>
    <w:rsid w:val="00DF4BE7"/>
    <w:rsid w:val="00DF4C21"/>
    <w:rsid w:val="00DF4C76"/>
    <w:rsid w:val="00DF4C87"/>
    <w:rsid w:val="00DF4D60"/>
    <w:rsid w:val="00DF4E16"/>
    <w:rsid w:val="00DF4E4C"/>
    <w:rsid w:val="00DF4E5F"/>
    <w:rsid w:val="00DF4EAE"/>
    <w:rsid w:val="00DF4EBE"/>
    <w:rsid w:val="00DF4F42"/>
    <w:rsid w:val="00DF4F5E"/>
    <w:rsid w:val="00DF4F63"/>
    <w:rsid w:val="00DF4F9F"/>
    <w:rsid w:val="00DF4FED"/>
    <w:rsid w:val="00DF5016"/>
    <w:rsid w:val="00DF5044"/>
    <w:rsid w:val="00DF5144"/>
    <w:rsid w:val="00DF515A"/>
    <w:rsid w:val="00DF51C9"/>
    <w:rsid w:val="00DF53AA"/>
    <w:rsid w:val="00DF53B2"/>
    <w:rsid w:val="00DF5527"/>
    <w:rsid w:val="00DF5543"/>
    <w:rsid w:val="00DF5610"/>
    <w:rsid w:val="00DF56B7"/>
    <w:rsid w:val="00DF56C2"/>
    <w:rsid w:val="00DF574A"/>
    <w:rsid w:val="00DF5785"/>
    <w:rsid w:val="00DF57AF"/>
    <w:rsid w:val="00DF57B2"/>
    <w:rsid w:val="00DF582E"/>
    <w:rsid w:val="00DF5888"/>
    <w:rsid w:val="00DF58DA"/>
    <w:rsid w:val="00DF58E8"/>
    <w:rsid w:val="00DF59B4"/>
    <w:rsid w:val="00DF59CC"/>
    <w:rsid w:val="00DF59D7"/>
    <w:rsid w:val="00DF5A4D"/>
    <w:rsid w:val="00DF5B34"/>
    <w:rsid w:val="00DF5BCC"/>
    <w:rsid w:val="00DF5BE7"/>
    <w:rsid w:val="00DF5C52"/>
    <w:rsid w:val="00DF5CCC"/>
    <w:rsid w:val="00DF5D26"/>
    <w:rsid w:val="00DF5D5E"/>
    <w:rsid w:val="00DF5DC1"/>
    <w:rsid w:val="00DF5DE0"/>
    <w:rsid w:val="00DF5E04"/>
    <w:rsid w:val="00DF5E5D"/>
    <w:rsid w:val="00DF5E68"/>
    <w:rsid w:val="00DF5ED7"/>
    <w:rsid w:val="00DF5EE0"/>
    <w:rsid w:val="00DF5F9A"/>
    <w:rsid w:val="00DF5F9B"/>
    <w:rsid w:val="00DF5FBE"/>
    <w:rsid w:val="00DF5FC8"/>
    <w:rsid w:val="00DF6026"/>
    <w:rsid w:val="00DF6041"/>
    <w:rsid w:val="00DF60E9"/>
    <w:rsid w:val="00DF6183"/>
    <w:rsid w:val="00DF6190"/>
    <w:rsid w:val="00DF619E"/>
    <w:rsid w:val="00DF61B8"/>
    <w:rsid w:val="00DF624B"/>
    <w:rsid w:val="00DF626E"/>
    <w:rsid w:val="00DF628B"/>
    <w:rsid w:val="00DF62EB"/>
    <w:rsid w:val="00DF6310"/>
    <w:rsid w:val="00DF63B1"/>
    <w:rsid w:val="00DF657D"/>
    <w:rsid w:val="00DF6607"/>
    <w:rsid w:val="00DF66DF"/>
    <w:rsid w:val="00DF66F3"/>
    <w:rsid w:val="00DF6716"/>
    <w:rsid w:val="00DF671F"/>
    <w:rsid w:val="00DF67B9"/>
    <w:rsid w:val="00DF67F8"/>
    <w:rsid w:val="00DF6809"/>
    <w:rsid w:val="00DF687B"/>
    <w:rsid w:val="00DF6911"/>
    <w:rsid w:val="00DF6939"/>
    <w:rsid w:val="00DF6A98"/>
    <w:rsid w:val="00DF6AE5"/>
    <w:rsid w:val="00DF6BC0"/>
    <w:rsid w:val="00DF6BD8"/>
    <w:rsid w:val="00DF6C83"/>
    <w:rsid w:val="00DF6C90"/>
    <w:rsid w:val="00DF6C99"/>
    <w:rsid w:val="00DF6CC3"/>
    <w:rsid w:val="00DF6CE3"/>
    <w:rsid w:val="00DF6D53"/>
    <w:rsid w:val="00DF6DC7"/>
    <w:rsid w:val="00DF6DDC"/>
    <w:rsid w:val="00DF6DE9"/>
    <w:rsid w:val="00DF6E55"/>
    <w:rsid w:val="00DF6E9C"/>
    <w:rsid w:val="00DF6F15"/>
    <w:rsid w:val="00DF6F6D"/>
    <w:rsid w:val="00DF6FAB"/>
    <w:rsid w:val="00DF6FC3"/>
    <w:rsid w:val="00DF7042"/>
    <w:rsid w:val="00DF70B7"/>
    <w:rsid w:val="00DF70BC"/>
    <w:rsid w:val="00DF7167"/>
    <w:rsid w:val="00DF722A"/>
    <w:rsid w:val="00DF724E"/>
    <w:rsid w:val="00DF726E"/>
    <w:rsid w:val="00DF732F"/>
    <w:rsid w:val="00DF7476"/>
    <w:rsid w:val="00DF74C0"/>
    <w:rsid w:val="00DF74EE"/>
    <w:rsid w:val="00DF755A"/>
    <w:rsid w:val="00DF75E9"/>
    <w:rsid w:val="00DF7659"/>
    <w:rsid w:val="00DF7672"/>
    <w:rsid w:val="00DF76E9"/>
    <w:rsid w:val="00DF76ED"/>
    <w:rsid w:val="00DF76F5"/>
    <w:rsid w:val="00DF7738"/>
    <w:rsid w:val="00DF77CB"/>
    <w:rsid w:val="00DF781E"/>
    <w:rsid w:val="00DF7824"/>
    <w:rsid w:val="00DF78CA"/>
    <w:rsid w:val="00DF7A84"/>
    <w:rsid w:val="00DF7ABB"/>
    <w:rsid w:val="00DF7B16"/>
    <w:rsid w:val="00DF7B68"/>
    <w:rsid w:val="00DF7BED"/>
    <w:rsid w:val="00DF7CA3"/>
    <w:rsid w:val="00DF7CC9"/>
    <w:rsid w:val="00DF7DEB"/>
    <w:rsid w:val="00DF7E3E"/>
    <w:rsid w:val="00DF7E5B"/>
    <w:rsid w:val="00DF7ECF"/>
    <w:rsid w:val="00E0000E"/>
    <w:rsid w:val="00E0003A"/>
    <w:rsid w:val="00E000CF"/>
    <w:rsid w:val="00E00136"/>
    <w:rsid w:val="00E00149"/>
    <w:rsid w:val="00E00187"/>
    <w:rsid w:val="00E00199"/>
    <w:rsid w:val="00E001E8"/>
    <w:rsid w:val="00E0025D"/>
    <w:rsid w:val="00E0026C"/>
    <w:rsid w:val="00E003F7"/>
    <w:rsid w:val="00E0049A"/>
    <w:rsid w:val="00E004DA"/>
    <w:rsid w:val="00E00560"/>
    <w:rsid w:val="00E00591"/>
    <w:rsid w:val="00E005A0"/>
    <w:rsid w:val="00E0061D"/>
    <w:rsid w:val="00E00743"/>
    <w:rsid w:val="00E00793"/>
    <w:rsid w:val="00E008DF"/>
    <w:rsid w:val="00E008FC"/>
    <w:rsid w:val="00E0095F"/>
    <w:rsid w:val="00E00B76"/>
    <w:rsid w:val="00E00BE9"/>
    <w:rsid w:val="00E00C28"/>
    <w:rsid w:val="00E00C44"/>
    <w:rsid w:val="00E00C62"/>
    <w:rsid w:val="00E00ED4"/>
    <w:rsid w:val="00E01177"/>
    <w:rsid w:val="00E01184"/>
    <w:rsid w:val="00E011C5"/>
    <w:rsid w:val="00E011F2"/>
    <w:rsid w:val="00E01233"/>
    <w:rsid w:val="00E012CC"/>
    <w:rsid w:val="00E0131F"/>
    <w:rsid w:val="00E01340"/>
    <w:rsid w:val="00E01382"/>
    <w:rsid w:val="00E013B5"/>
    <w:rsid w:val="00E013F0"/>
    <w:rsid w:val="00E01436"/>
    <w:rsid w:val="00E0146C"/>
    <w:rsid w:val="00E014CB"/>
    <w:rsid w:val="00E01519"/>
    <w:rsid w:val="00E015FF"/>
    <w:rsid w:val="00E0169C"/>
    <w:rsid w:val="00E016C6"/>
    <w:rsid w:val="00E016E6"/>
    <w:rsid w:val="00E016EE"/>
    <w:rsid w:val="00E01704"/>
    <w:rsid w:val="00E01766"/>
    <w:rsid w:val="00E01802"/>
    <w:rsid w:val="00E019C3"/>
    <w:rsid w:val="00E01A0A"/>
    <w:rsid w:val="00E01A69"/>
    <w:rsid w:val="00E01AEF"/>
    <w:rsid w:val="00E01B5B"/>
    <w:rsid w:val="00E01B5E"/>
    <w:rsid w:val="00E01BD6"/>
    <w:rsid w:val="00E01BDB"/>
    <w:rsid w:val="00E01BDC"/>
    <w:rsid w:val="00E01C05"/>
    <w:rsid w:val="00E01CF8"/>
    <w:rsid w:val="00E01E67"/>
    <w:rsid w:val="00E01EA4"/>
    <w:rsid w:val="00E01ECE"/>
    <w:rsid w:val="00E01F03"/>
    <w:rsid w:val="00E01F65"/>
    <w:rsid w:val="00E01F71"/>
    <w:rsid w:val="00E01F96"/>
    <w:rsid w:val="00E01FAE"/>
    <w:rsid w:val="00E01FF8"/>
    <w:rsid w:val="00E0203A"/>
    <w:rsid w:val="00E0205B"/>
    <w:rsid w:val="00E020C8"/>
    <w:rsid w:val="00E02120"/>
    <w:rsid w:val="00E02159"/>
    <w:rsid w:val="00E02182"/>
    <w:rsid w:val="00E021AF"/>
    <w:rsid w:val="00E02259"/>
    <w:rsid w:val="00E02287"/>
    <w:rsid w:val="00E0228F"/>
    <w:rsid w:val="00E023C9"/>
    <w:rsid w:val="00E0246D"/>
    <w:rsid w:val="00E024BD"/>
    <w:rsid w:val="00E02546"/>
    <w:rsid w:val="00E0258A"/>
    <w:rsid w:val="00E025D5"/>
    <w:rsid w:val="00E025F2"/>
    <w:rsid w:val="00E026DC"/>
    <w:rsid w:val="00E02772"/>
    <w:rsid w:val="00E027E5"/>
    <w:rsid w:val="00E02855"/>
    <w:rsid w:val="00E02864"/>
    <w:rsid w:val="00E028BB"/>
    <w:rsid w:val="00E02932"/>
    <w:rsid w:val="00E029F6"/>
    <w:rsid w:val="00E02A83"/>
    <w:rsid w:val="00E02AC2"/>
    <w:rsid w:val="00E02AE7"/>
    <w:rsid w:val="00E02B3B"/>
    <w:rsid w:val="00E02CD3"/>
    <w:rsid w:val="00E02D0E"/>
    <w:rsid w:val="00E02D15"/>
    <w:rsid w:val="00E02D3D"/>
    <w:rsid w:val="00E02D69"/>
    <w:rsid w:val="00E02DCE"/>
    <w:rsid w:val="00E02EE7"/>
    <w:rsid w:val="00E02F0C"/>
    <w:rsid w:val="00E02F1D"/>
    <w:rsid w:val="00E02F8C"/>
    <w:rsid w:val="00E03001"/>
    <w:rsid w:val="00E0304F"/>
    <w:rsid w:val="00E030D8"/>
    <w:rsid w:val="00E030E0"/>
    <w:rsid w:val="00E030F3"/>
    <w:rsid w:val="00E0311E"/>
    <w:rsid w:val="00E031AC"/>
    <w:rsid w:val="00E031C7"/>
    <w:rsid w:val="00E03375"/>
    <w:rsid w:val="00E03437"/>
    <w:rsid w:val="00E034BE"/>
    <w:rsid w:val="00E034D0"/>
    <w:rsid w:val="00E034FE"/>
    <w:rsid w:val="00E03561"/>
    <w:rsid w:val="00E0356C"/>
    <w:rsid w:val="00E03573"/>
    <w:rsid w:val="00E0360C"/>
    <w:rsid w:val="00E036EB"/>
    <w:rsid w:val="00E0375E"/>
    <w:rsid w:val="00E037DD"/>
    <w:rsid w:val="00E037FB"/>
    <w:rsid w:val="00E03838"/>
    <w:rsid w:val="00E038D9"/>
    <w:rsid w:val="00E03980"/>
    <w:rsid w:val="00E03A0E"/>
    <w:rsid w:val="00E03A11"/>
    <w:rsid w:val="00E03A75"/>
    <w:rsid w:val="00E03AC4"/>
    <w:rsid w:val="00E03B12"/>
    <w:rsid w:val="00E03B47"/>
    <w:rsid w:val="00E03B82"/>
    <w:rsid w:val="00E03BDF"/>
    <w:rsid w:val="00E03C2A"/>
    <w:rsid w:val="00E03C4A"/>
    <w:rsid w:val="00E03CCD"/>
    <w:rsid w:val="00E03CE6"/>
    <w:rsid w:val="00E03D0B"/>
    <w:rsid w:val="00E03DFB"/>
    <w:rsid w:val="00E03E07"/>
    <w:rsid w:val="00E03E30"/>
    <w:rsid w:val="00E03E46"/>
    <w:rsid w:val="00E03E85"/>
    <w:rsid w:val="00E03EAC"/>
    <w:rsid w:val="00E03EF7"/>
    <w:rsid w:val="00E03F16"/>
    <w:rsid w:val="00E03F2E"/>
    <w:rsid w:val="00E03F3F"/>
    <w:rsid w:val="00E03F40"/>
    <w:rsid w:val="00E03F58"/>
    <w:rsid w:val="00E03F6B"/>
    <w:rsid w:val="00E03FC5"/>
    <w:rsid w:val="00E03FD4"/>
    <w:rsid w:val="00E03FDC"/>
    <w:rsid w:val="00E03FF9"/>
    <w:rsid w:val="00E0402E"/>
    <w:rsid w:val="00E04037"/>
    <w:rsid w:val="00E040C8"/>
    <w:rsid w:val="00E040D7"/>
    <w:rsid w:val="00E040E3"/>
    <w:rsid w:val="00E04201"/>
    <w:rsid w:val="00E04208"/>
    <w:rsid w:val="00E04226"/>
    <w:rsid w:val="00E042D9"/>
    <w:rsid w:val="00E04349"/>
    <w:rsid w:val="00E04360"/>
    <w:rsid w:val="00E043A9"/>
    <w:rsid w:val="00E04453"/>
    <w:rsid w:val="00E04470"/>
    <w:rsid w:val="00E04508"/>
    <w:rsid w:val="00E04524"/>
    <w:rsid w:val="00E045F4"/>
    <w:rsid w:val="00E04617"/>
    <w:rsid w:val="00E0461B"/>
    <w:rsid w:val="00E04666"/>
    <w:rsid w:val="00E046A9"/>
    <w:rsid w:val="00E046D6"/>
    <w:rsid w:val="00E0471C"/>
    <w:rsid w:val="00E04782"/>
    <w:rsid w:val="00E047C4"/>
    <w:rsid w:val="00E047FD"/>
    <w:rsid w:val="00E04874"/>
    <w:rsid w:val="00E04966"/>
    <w:rsid w:val="00E04969"/>
    <w:rsid w:val="00E049E9"/>
    <w:rsid w:val="00E04A09"/>
    <w:rsid w:val="00E04A48"/>
    <w:rsid w:val="00E04A49"/>
    <w:rsid w:val="00E04C23"/>
    <w:rsid w:val="00E04CB1"/>
    <w:rsid w:val="00E04CCD"/>
    <w:rsid w:val="00E04CEF"/>
    <w:rsid w:val="00E04D77"/>
    <w:rsid w:val="00E04EE8"/>
    <w:rsid w:val="00E04FA1"/>
    <w:rsid w:val="00E04FF6"/>
    <w:rsid w:val="00E0505F"/>
    <w:rsid w:val="00E05092"/>
    <w:rsid w:val="00E050A2"/>
    <w:rsid w:val="00E050A7"/>
    <w:rsid w:val="00E05157"/>
    <w:rsid w:val="00E051C0"/>
    <w:rsid w:val="00E052BB"/>
    <w:rsid w:val="00E0534F"/>
    <w:rsid w:val="00E053A2"/>
    <w:rsid w:val="00E05458"/>
    <w:rsid w:val="00E054A1"/>
    <w:rsid w:val="00E054A4"/>
    <w:rsid w:val="00E054A9"/>
    <w:rsid w:val="00E054D6"/>
    <w:rsid w:val="00E054DA"/>
    <w:rsid w:val="00E05538"/>
    <w:rsid w:val="00E0555C"/>
    <w:rsid w:val="00E055D2"/>
    <w:rsid w:val="00E05678"/>
    <w:rsid w:val="00E0567E"/>
    <w:rsid w:val="00E056E8"/>
    <w:rsid w:val="00E056EF"/>
    <w:rsid w:val="00E05714"/>
    <w:rsid w:val="00E0580D"/>
    <w:rsid w:val="00E058E5"/>
    <w:rsid w:val="00E05A89"/>
    <w:rsid w:val="00E05ABB"/>
    <w:rsid w:val="00E05AEF"/>
    <w:rsid w:val="00E05BD8"/>
    <w:rsid w:val="00E05C42"/>
    <w:rsid w:val="00E05CAC"/>
    <w:rsid w:val="00E05CAF"/>
    <w:rsid w:val="00E05CF0"/>
    <w:rsid w:val="00E05D2D"/>
    <w:rsid w:val="00E05DEE"/>
    <w:rsid w:val="00E05E96"/>
    <w:rsid w:val="00E05F00"/>
    <w:rsid w:val="00E0601D"/>
    <w:rsid w:val="00E060CB"/>
    <w:rsid w:val="00E060D5"/>
    <w:rsid w:val="00E0611C"/>
    <w:rsid w:val="00E0618F"/>
    <w:rsid w:val="00E0628D"/>
    <w:rsid w:val="00E06292"/>
    <w:rsid w:val="00E062F3"/>
    <w:rsid w:val="00E0639C"/>
    <w:rsid w:val="00E0642F"/>
    <w:rsid w:val="00E06450"/>
    <w:rsid w:val="00E066A9"/>
    <w:rsid w:val="00E066C8"/>
    <w:rsid w:val="00E066D9"/>
    <w:rsid w:val="00E067E7"/>
    <w:rsid w:val="00E0693D"/>
    <w:rsid w:val="00E06946"/>
    <w:rsid w:val="00E069A0"/>
    <w:rsid w:val="00E069BD"/>
    <w:rsid w:val="00E069D6"/>
    <w:rsid w:val="00E069FB"/>
    <w:rsid w:val="00E06ABB"/>
    <w:rsid w:val="00E06ADD"/>
    <w:rsid w:val="00E06AE6"/>
    <w:rsid w:val="00E06B4A"/>
    <w:rsid w:val="00E06C01"/>
    <w:rsid w:val="00E06CC9"/>
    <w:rsid w:val="00E06D33"/>
    <w:rsid w:val="00E06DA9"/>
    <w:rsid w:val="00E06DAD"/>
    <w:rsid w:val="00E06DAE"/>
    <w:rsid w:val="00E06DC5"/>
    <w:rsid w:val="00E06E3B"/>
    <w:rsid w:val="00E06E83"/>
    <w:rsid w:val="00E06E8A"/>
    <w:rsid w:val="00E06F70"/>
    <w:rsid w:val="00E06F9E"/>
    <w:rsid w:val="00E07001"/>
    <w:rsid w:val="00E070D6"/>
    <w:rsid w:val="00E07126"/>
    <w:rsid w:val="00E07168"/>
    <w:rsid w:val="00E071A9"/>
    <w:rsid w:val="00E0723A"/>
    <w:rsid w:val="00E07336"/>
    <w:rsid w:val="00E07478"/>
    <w:rsid w:val="00E07644"/>
    <w:rsid w:val="00E07650"/>
    <w:rsid w:val="00E07698"/>
    <w:rsid w:val="00E076A3"/>
    <w:rsid w:val="00E077E9"/>
    <w:rsid w:val="00E07844"/>
    <w:rsid w:val="00E07946"/>
    <w:rsid w:val="00E07A94"/>
    <w:rsid w:val="00E07AB7"/>
    <w:rsid w:val="00E07B4A"/>
    <w:rsid w:val="00E07B6B"/>
    <w:rsid w:val="00E07C20"/>
    <w:rsid w:val="00E07D09"/>
    <w:rsid w:val="00E07D8C"/>
    <w:rsid w:val="00E07E49"/>
    <w:rsid w:val="00E07E60"/>
    <w:rsid w:val="00E07E9C"/>
    <w:rsid w:val="00E07F5F"/>
    <w:rsid w:val="00E07FF7"/>
    <w:rsid w:val="00E1018C"/>
    <w:rsid w:val="00E10259"/>
    <w:rsid w:val="00E10309"/>
    <w:rsid w:val="00E1044C"/>
    <w:rsid w:val="00E10470"/>
    <w:rsid w:val="00E1049A"/>
    <w:rsid w:val="00E104B9"/>
    <w:rsid w:val="00E104F5"/>
    <w:rsid w:val="00E1053C"/>
    <w:rsid w:val="00E10588"/>
    <w:rsid w:val="00E10697"/>
    <w:rsid w:val="00E10718"/>
    <w:rsid w:val="00E10723"/>
    <w:rsid w:val="00E107B6"/>
    <w:rsid w:val="00E107CB"/>
    <w:rsid w:val="00E10874"/>
    <w:rsid w:val="00E10899"/>
    <w:rsid w:val="00E108ED"/>
    <w:rsid w:val="00E10959"/>
    <w:rsid w:val="00E10A08"/>
    <w:rsid w:val="00E10A82"/>
    <w:rsid w:val="00E10B5C"/>
    <w:rsid w:val="00E10BCE"/>
    <w:rsid w:val="00E10BE5"/>
    <w:rsid w:val="00E10CA7"/>
    <w:rsid w:val="00E10E03"/>
    <w:rsid w:val="00E10E1D"/>
    <w:rsid w:val="00E10E77"/>
    <w:rsid w:val="00E10E86"/>
    <w:rsid w:val="00E10F1A"/>
    <w:rsid w:val="00E10F41"/>
    <w:rsid w:val="00E10F4C"/>
    <w:rsid w:val="00E10F60"/>
    <w:rsid w:val="00E10FDF"/>
    <w:rsid w:val="00E10FF9"/>
    <w:rsid w:val="00E110AF"/>
    <w:rsid w:val="00E1112D"/>
    <w:rsid w:val="00E112CD"/>
    <w:rsid w:val="00E113E9"/>
    <w:rsid w:val="00E11489"/>
    <w:rsid w:val="00E114CA"/>
    <w:rsid w:val="00E1160D"/>
    <w:rsid w:val="00E116E0"/>
    <w:rsid w:val="00E116FD"/>
    <w:rsid w:val="00E117A9"/>
    <w:rsid w:val="00E117C8"/>
    <w:rsid w:val="00E117D9"/>
    <w:rsid w:val="00E11801"/>
    <w:rsid w:val="00E11938"/>
    <w:rsid w:val="00E119D9"/>
    <w:rsid w:val="00E11B1E"/>
    <w:rsid w:val="00E11BE8"/>
    <w:rsid w:val="00E11C07"/>
    <w:rsid w:val="00E11C39"/>
    <w:rsid w:val="00E11CE6"/>
    <w:rsid w:val="00E11E66"/>
    <w:rsid w:val="00E11E9E"/>
    <w:rsid w:val="00E11F83"/>
    <w:rsid w:val="00E11FCE"/>
    <w:rsid w:val="00E11FE0"/>
    <w:rsid w:val="00E1205A"/>
    <w:rsid w:val="00E1206E"/>
    <w:rsid w:val="00E1208B"/>
    <w:rsid w:val="00E12103"/>
    <w:rsid w:val="00E1218C"/>
    <w:rsid w:val="00E12255"/>
    <w:rsid w:val="00E122BB"/>
    <w:rsid w:val="00E122F2"/>
    <w:rsid w:val="00E1234F"/>
    <w:rsid w:val="00E12466"/>
    <w:rsid w:val="00E1251D"/>
    <w:rsid w:val="00E1256E"/>
    <w:rsid w:val="00E1260B"/>
    <w:rsid w:val="00E126F6"/>
    <w:rsid w:val="00E12732"/>
    <w:rsid w:val="00E127E7"/>
    <w:rsid w:val="00E127F8"/>
    <w:rsid w:val="00E1281E"/>
    <w:rsid w:val="00E128A3"/>
    <w:rsid w:val="00E128AE"/>
    <w:rsid w:val="00E128DB"/>
    <w:rsid w:val="00E128F6"/>
    <w:rsid w:val="00E12902"/>
    <w:rsid w:val="00E12910"/>
    <w:rsid w:val="00E1294B"/>
    <w:rsid w:val="00E12A67"/>
    <w:rsid w:val="00E12B92"/>
    <w:rsid w:val="00E12BCD"/>
    <w:rsid w:val="00E12BED"/>
    <w:rsid w:val="00E12BF7"/>
    <w:rsid w:val="00E12C47"/>
    <w:rsid w:val="00E12C73"/>
    <w:rsid w:val="00E12CF1"/>
    <w:rsid w:val="00E12D3B"/>
    <w:rsid w:val="00E12D4C"/>
    <w:rsid w:val="00E12DBD"/>
    <w:rsid w:val="00E12DC1"/>
    <w:rsid w:val="00E12DD6"/>
    <w:rsid w:val="00E12DE4"/>
    <w:rsid w:val="00E12DF8"/>
    <w:rsid w:val="00E12E08"/>
    <w:rsid w:val="00E12F7B"/>
    <w:rsid w:val="00E12FAA"/>
    <w:rsid w:val="00E13054"/>
    <w:rsid w:val="00E13114"/>
    <w:rsid w:val="00E1317A"/>
    <w:rsid w:val="00E1317C"/>
    <w:rsid w:val="00E1317F"/>
    <w:rsid w:val="00E13195"/>
    <w:rsid w:val="00E131EB"/>
    <w:rsid w:val="00E13365"/>
    <w:rsid w:val="00E13387"/>
    <w:rsid w:val="00E13483"/>
    <w:rsid w:val="00E134B2"/>
    <w:rsid w:val="00E134DA"/>
    <w:rsid w:val="00E1362B"/>
    <w:rsid w:val="00E1367F"/>
    <w:rsid w:val="00E13687"/>
    <w:rsid w:val="00E13721"/>
    <w:rsid w:val="00E137DB"/>
    <w:rsid w:val="00E13859"/>
    <w:rsid w:val="00E138A2"/>
    <w:rsid w:val="00E138AB"/>
    <w:rsid w:val="00E1396D"/>
    <w:rsid w:val="00E139A1"/>
    <w:rsid w:val="00E139D2"/>
    <w:rsid w:val="00E139F9"/>
    <w:rsid w:val="00E13A36"/>
    <w:rsid w:val="00E13A85"/>
    <w:rsid w:val="00E13AE6"/>
    <w:rsid w:val="00E13B4B"/>
    <w:rsid w:val="00E13BF5"/>
    <w:rsid w:val="00E13BFD"/>
    <w:rsid w:val="00E13C02"/>
    <w:rsid w:val="00E13D1B"/>
    <w:rsid w:val="00E13D62"/>
    <w:rsid w:val="00E13DF2"/>
    <w:rsid w:val="00E13E3D"/>
    <w:rsid w:val="00E13F88"/>
    <w:rsid w:val="00E1403A"/>
    <w:rsid w:val="00E140BC"/>
    <w:rsid w:val="00E140E8"/>
    <w:rsid w:val="00E14164"/>
    <w:rsid w:val="00E141D3"/>
    <w:rsid w:val="00E14294"/>
    <w:rsid w:val="00E142B4"/>
    <w:rsid w:val="00E143AC"/>
    <w:rsid w:val="00E143FE"/>
    <w:rsid w:val="00E14438"/>
    <w:rsid w:val="00E1445B"/>
    <w:rsid w:val="00E144FA"/>
    <w:rsid w:val="00E14595"/>
    <w:rsid w:val="00E14628"/>
    <w:rsid w:val="00E14689"/>
    <w:rsid w:val="00E146AE"/>
    <w:rsid w:val="00E146CD"/>
    <w:rsid w:val="00E14769"/>
    <w:rsid w:val="00E1479C"/>
    <w:rsid w:val="00E147A1"/>
    <w:rsid w:val="00E147A9"/>
    <w:rsid w:val="00E147F8"/>
    <w:rsid w:val="00E147FC"/>
    <w:rsid w:val="00E14834"/>
    <w:rsid w:val="00E14937"/>
    <w:rsid w:val="00E14978"/>
    <w:rsid w:val="00E149EF"/>
    <w:rsid w:val="00E14A44"/>
    <w:rsid w:val="00E14AC5"/>
    <w:rsid w:val="00E14AD7"/>
    <w:rsid w:val="00E14B03"/>
    <w:rsid w:val="00E14BC7"/>
    <w:rsid w:val="00E14C0F"/>
    <w:rsid w:val="00E14C82"/>
    <w:rsid w:val="00E14CA7"/>
    <w:rsid w:val="00E14E38"/>
    <w:rsid w:val="00E14E8D"/>
    <w:rsid w:val="00E14E8E"/>
    <w:rsid w:val="00E14E91"/>
    <w:rsid w:val="00E14FBD"/>
    <w:rsid w:val="00E14FE1"/>
    <w:rsid w:val="00E14FEA"/>
    <w:rsid w:val="00E15001"/>
    <w:rsid w:val="00E15033"/>
    <w:rsid w:val="00E150C5"/>
    <w:rsid w:val="00E15100"/>
    <w:rsid w:val="00E1518A"/>
    <w:rsid w:val="00E151FA"/>
    <w:rsid w:val="00E15321"/>
    <w:rsid w:val="00E15332"/>
    <w:rsid w:val="00E1533C"/>
    <w:rsid w:val="00E15391"/>
    <w:rsid w:val="00E153AD"/>
    <w:rsid w:val="00E15532"/>
    <w:rsid w:val="00E15575"/>
    <w:rsid w:val="00E156F6"/>
    <w:rsid w:val="00E157C0"/>
    <w:rsid w:val="00E15828"/>
    <w:rsid w:val="00E158F1"/>
    <w:rsid w:val="00E159EC"/>
    <w:rsid w:val="00E15A01"/>
    <w:rsid w:val="00E15AA7"/>
    <w:rsid w:val="00E15AFA"/>
    <w:rsid w:val="00E15B37"/>
    <w:rsid w:val="00E15B3D"/>
    <w:rsid w:val="00E15B75"/>
    <w:rsid w:val="00E15BA4"/>
    <w:rsid w:val="00E15BCB"/>
    <w:rsid w:val="00E15C97"/>
    <w:rsid w:val="00E15CB5"/>
    <w:rsid w:val="00E15D3A"/>
    <w:rsid w:val="00E15DD2"/>
    <w:rsid w:val="00E15DDA"/>
    <w:rsid w:val="00E15DFD"/>
    <w:rsid w:val="00E15E6E"/>
    <w:rsid w:val="00E15FCB"/>
    <w:rsid w:val="00E1602C"/>
    <w:rsid w:val="00E16047"/>
    <w:rsid w:val="00E160E1"/>
    <w:rsid w:val="00E16113"/>
    <w:rsid w:val="00E161DF"/>
    <w:rsid w:val="00E161EF"/>
    <w:rsid w:val="00E16220"/>
    <w:rsid w:val="00E16257"/>
    <w:rsid w:val="00E16309"/>
    <w:rsid w:val="00E16336"/>
    <w:rsid w:val="00E1639A"/>
    <w:rsid w:val="00E163B3"/>
    <w:rsid w:val="00E163E2"/>
    <w:rsid w:val="00E16473"/>
    <w:rsid w:val="00E164D2"/>
    <w:rsid w:val="00E16530"/>
    <w:rsid w:val="00E165AD"/>
    <w:rsid w:val="00E165B3"/>
    <w:rsid w:val="00E16703"/>
    <w:rsid w:val="00E16758"/>
    <w:rsid w:val="00E16819"/>
    <w:rsid w:val="00E16827"/>
    <w:rsid w:val="00E168F2"/>
    <w:rsid w:val="00E16907"/>
    <w:rsid w:val="00E1691F"/>
    <w:rsid w:val="00E1697F"/>
    <w:rsid w:val="00E16987"/>
    <w:rsid w:val="00E169A5"/>
    <w:rsid w:val="00E16A38"/>
    <w:rsid w:val="00E16A3D"/>
    <w:rsid w:val="00E16A5E"/>
    <w:rsid w:val="00E16AAD"/>
    <w:rsid w:val="00E16B06"/>
    <w:rsid w:val="00E16B5E"/>
    <w:rsid w:val="00E16C36"/>
    <w:rsid w:val="00E16C62"/>
    <w:rsid w:val="00E16CD0"/>
    <w:rsid w:val="00E16D43"/>
    <w:rsid w:val="00E16D8B"/>
    <w:rsid w:val="00E16E4C"/>
    <w:rsid w:val="00E16F40"/>
    <w:rsid w:val="00E16F82"/>
    <w:rsid w:val="00E1701E"/>
    <w:rsid w:val="00E17086"/>
    <w:rsid w:val="00E170EC"/>
    <w:rsid w:val="00E17103"/>
    <w:rsid w:val="00E17145"/>
    <w:rsid w:val="00E17155"/>
    <w:rsid w:val="00E1719E"/>
    <w:rsid w:val="00E171C6"/>
    <w:rsid w:val="00E17225"/>
    <w:rsid w:val="00E17259"/>
    <w:rsid w:val="00E172D4"/>
    <w:rsid w:val="00E172DF"/>
    <w:rsid w:val="00E173FA"/>
    <w:rsid w:val="00E17420"/>
    <w:rsid w:val="00E1744E"/>
    <w:rsid w:val="00E17473"/>
    <w:rsid w:val="00E1750A"/>
    <w:rsid w:val="00E1753A"/>
    <w:rsid w:val="00E175DE"/>
    <w:rsid w:val="00E175E9"/>
    <w:rsid w:val="00E175F8"/>
    <w:rsid w:val="00E1770B"/>
    <w:rsid w:val="00E177B8"/>
    <w:rsid w:val="00E177C2"/>
    <w:rsid w:val="00E17852"/>
    <w:rsid w:val="00E17883"/>
    <w:rsid w:val="00E178D9"/>
    <w:rsid w:val="00E1798A"/>
    <w:rsid w:val="00E17A7B"/>
    <w:rsid w:val="00E17AEF"/>
    <w:rsid w:val="00E17C55"/>
    <w:rsid w:val="00E17DC2"/>
    <w:rsid w:val="00E17DD3"/>
    <w:rsid w:val="00E17FE1"/>
    <w:rsid w:val="00E2002F"/>
    <w:rsid w:val="00E2003A"/>
    <w:rsid w:val="00E200DA"/>
    <w:rsid w:val="00E200F7"/>
    <w:rsid w:val="00E20194"/>
    <w:rsid w:val="00E201F3"/>
    <w:rsid w:val="00E202C2"/>
    <w:rsid w:val="00E20356"/>
    <w:rsid w:val="00E20380"/>
    <w:rsid w:val="00E203A3"/>
    <w:rsid w:val="00E203D6"/>
    <w:rsid w:val="00E2040E"/>
    <w:rsid w:val="00E20436"/>
    <w:rsid w:val="00E20602"/>
    <w:rsid w:val="00E20642"/>
    <w:rsid w:val="00E20682"/>
    <w:rsid w:val="00E206B1"/>
    <w:rsid w:val="00E206F8"/>
    <w:rsid w:val="00E2076F"/>
    <w:rsid w:val="00E2077F"/>
    <w:rsid w:val="00E2084F"/>
    <w:rsid w:val="00E20872"/>
    <w:rsid w:val="00E2087B"/>
    <w:rsid w:val="00E208AA"/>
    <w:rsid w:val="00E208E2"/>
    <w:rsid w:val="00E20A02"/>
    <w:rsid w:val="00E20A24"/>
    <w:rsid w:val="00E20A4F"/>
    <w:rsid w:val="00E20A6A"/>
    <w:rsid w:val="00E20ABF"/>
    <w:rsid w:val="00E20B04"/>
    <w:rsid w:val="00E20B21"/>
    <w:rsid w:val="00E20B2A"/>
    <w:rsid w:val="00E20B4D"/>
    <w:rsid w:val="00E20B99"/>
    <w:rsid w:val="00E20BF2"/>
    <w:rsid w:val="00E20D32"/>
    <w:rsid w:val="00E20D93"/>
    <w:rsid w:val="00E20DFF"/>
    <w:rsid w:val="00E20E60"/>
    <w:rsid w:val="00E20E62"/>
    <w:rsid w:val="00E20EEB"/>
    <w:rsid w:val="00E20F07"/>
    <w:rsid w:val="00E20FA0"/>
    <w:rsid w:val="00E21021"/>
    <w:rsid w:val="00E21027"/>
    <w:rsid w:val="00E21046"/>
    <w:rsid w:val="00E21095"/>
    <w:rsid w:val="00E210DE"/>
    <w:rsid w:val="00E21170"/>
    <w:rsid w:val="00E211F9"/>
    <w:rsid w:val="00E2122E"/>
    <w:rsid w:val="00E212AF"/>
    <w:rsid w:val="00E212F8"/>
    <w:rsid w:val="00E21353"/>
    <w:rsid w:val="00E2137D"/>
    <w:rsid w:val="00E21396"/>
    <w:rsid w:val="00E213D1"/>
    <w:rsid w:val="00E213DF"/>
    <w:rsid w:val="00E213E7"/>
    <w:rsid w:val="00E2140F"/>
    <w:rsid w:val="00E2143A"/>
    <w:rsid w:val="00E2146E"/>
    <w:rsid w:val="00E214BB"/>
    <w:rsid w:val="00E214E0"/>
    <w:rsid w:val="00E21525"/>
    <w:rsid w:val="00E2154F"/>
    <w:rsid w:val="00E21591"/>
    <w:rsid w:val="00E215FD"/>
    <w:rsid w:val="00E21697"/>
    <w:rsid w:val="00E216A7"/>
    <w:rsid w:val="00E216D2"/>
    <w:rsid w:val="00E21742"/>
    <w:rsid w:val="00E2174A"/>
    <w:rsid w:val="00E21769"/>
    <w:rsid w:val="00E21852"/>
    <w:rsid w:val="00E2188E"/>
    <w:rsid w:val="00E218B5"/>
    <w:rsid w:val="00E218CA"/>
    <w:rsid w:val="00E218E2"/>
    <w:rsid w:val="00E21974"/>
    <w:rsid w:val="00E21995"/>
    <w:rsid w:val="00E21A7B"/>
    <w:rsid w:val="00E21B1E"/>
    <w:rsid w:val="00E21BD8"/>
    <w:rsid w:val="00E21BE3"/>
    <w:rsid w:val="00E21C83"/>
    <w:rsid w:val="00E21CB0"/>
    <w:rsid w:val="00E21D00"/>
    <w:rsid w:val="00E21DA0"/>
    <w:rsid w:val="00E21DAF"/>
    <w:rsid w:val="00E21DBC"/>
    <w:rsid w:val="00E21DC0"/>
    <w:rsid w:val="00E21E87"/>
    <w:rsid w:val="00E21EA3"/>
    <w:rsid w:val="00E21F0F"/>
    <w:rsid w:val="00E21F35"/>
    <w:rsid w:val="00E21F86"/>
    <w:rsid w:val="00E2208A"/>
    <w:rsid w:val="00E220FE"/>
    <w:rsid w:val="00E22120"/>
    <w:rsid w:val="00E22122"/>
    <w:rsid w:val="00E221A4"/>
    <w:rsid w:val="00E221C9"/>
    <w:rsid w:val="00E222DA"/>
    <w:rsid w:val="00E22403"/>
    <w:rsid w:val="00E22465"/>
    <w:rsid w:val="00E2247A"/>
    <w:rsid w:val="00E224A2"/>
    <w:rsid w:val="00E224EE"/>
    <w:rsid w:val="00E2254D"/>
    <w:rsid w:val="00E22565"/>
    <w:rsid w:val="00E2258C"/>
    <w:rsid w:val="00E2260F"/>
    <w:rsid w:val="00E2268C"/>
    <w:rsid w:val="00E22694"/>
    <w:rsid w:val="00E226A1"/>
    <w:rsid w:val="00E226C3"/>
    <w:rsid w:val="00E226CA"/>
    <w:rsid w:val="00E227FC"/>
    <w:rsid w:val="00E22827"/>
    <w:rsid w:val="00E22942"/>
    <w:rsid w:val="00E229C2"/>
    <w:rsid w:val="00E22A2A"/>
    <w:rsid w:val="00E22AA6"/>
    <w:rsid w:val="00E22AE2"/>
    <w:rsid w:val="00E22AEF"/>
    <w:rsid w:val="00E22B5A"/>
    <w:rsid w:val="00E22C2F"/>
    <w:rsid w:val="00E22C78"/>
    <w:rsid w:val="00E22D74"/>
    <w:rsid w:val="00E22D8A"/>
    <w:rsid w:val="00E22DF7"/>
    <w:rsid w:val="00E22E16"/>
    <w:rsid w:val="00E22EBA"/>
    <w:rsid w:val="00E22F98"/>
    <w:rsid w:val="00E22FB0"/>
    <w:rsid w:val="00E23043"/>
    <w:rsid w:val="00E23137"/>
    <w:rsid w:val="00E23227"/>
    <w:rsid w:val="00E232C6"/>
    <w:rsid w:val="00E23324"/>
    <w:rsid w:val="00E2336B"/>
    <w:rsid w:val="00E23370"/>
    <w:rsid w:val="00E23403"/>
    <w:rsid w:val="00E2340F"/>
    <w:rsid w:val="00E23503"/>
    <w:rsid w:val="00E235B7"/>
    <w:rsid w:val="00E236DF"/>
    <w:rsid w:val="00E23700"/>
    <w:rsid w:val="00E2373C"/>
    <w:rsid w:val="00E2374F"/>
    <w:rsid w:val="00E237E4"/>
    <w:rsid w:val="00E23805"/>
    <w:rsid w:val="00E23880"/>
    <w:rsid w:val="00E238A3"/>
    <w:rsid w:val="00E23917"/>
    <w:rsid w:val="00E239E3"/>
    <w:rsid w:val="00E23A58"/>
    <w:rsid w:val="00E23A9B"/>
    <w:rsid w:val="00E23AA8"/>
    <w:rsid w:val="00E23AAA"/>
    <w:rsid w:val="00E23AF4"/>
    <w:rsid w:val="00E23C16"/>
    <w:rsid w:val="00E23C5D"/>
    <w:rsid w:val="00E23CAC"/>
    <w:rsid w:val="00E23D1B"/>
    <w:rsid w:val="00E23D37"/>
    <w:rsid w:val="00E23D7D"/>
    <w:rsid w:val="00E23D9B"/>
    <w:rsid w:val="00E23DC0"/>
    <w:rsid w:val="00E23E2C"/>
    <w:rsid w:val="00E23E33"/>
    <w:rsid w:val="00E23F05"/>
    <w:rsid w:val="00E23F72"/>
    <w:rsid w:val="00E23F9A"/>
    <w:rsid w:val="00E24086"/>
    <w:rsid w:val="00E240BE"/>
    <w:rsid w:val="00E24112"/>
    <w:rsid w:val="00E2411D"/>
    <w:rsid w:val="00E24297"/>
    <w:rsid w:val="00E2431F"/>
    <w:rsid w:val="00E2440D"/>
    <w:rsid w:val="00E24420"/>
    <w:rsid w:val="00E24450"/>
    <w:rsid w:val="00E24458"/>
    <w:rsid w:val="00E2446B"/>
    <w:rsid w:val="00E244AB"/>
    <w:rsid w:val="00E24578"/>
    <w:rsid w:val="00E24677"/>
    <w:rsid w:val="00E24714"/>
    <w:rsid w:val="00E247E5"/>
    <w:rsid w:val="00E2480E"/>
    <w:rsid w:val="00E2483C"/>
    <w:rsid w:val="00E24951"/>
    <w:rsid w:val="00E2496F"/>
    <w:rsid w:val="00E24982"/>
    <w:rsid w:val="00E2498B"/>
    <w:rsid w:val="00E249A4"/>
    <w:rsid w:val="00E249C2"/>
    <w:rsid w:val="00E249E0"/>
    <w:rsid w:val="00E24A1C"/>
    <w:rsid w:val="00E24A88"/>
    <w:rsid w:val="00E24A9A"/>
    <w:rsid w:val="00E24B14"/>
    <w:rsid w:val="00E24C0B"/>
    <w:rsid w:val="00E24C13"/>
    <w:rsid w:val="00E24C99"/>
    <w:rsid w:val="00E24CE7"/>
    <w:rsid w:val="00E24D1C"/>
    <w:rsid w:val="00E24D2B"/>
    <w:rsid w:val="00E24D72"/>
    <w:rsid w:val="00E24DD4"/>
    <w:rsid w:val="00E24E9E"/>
    <w:rsid w:val="00E24EAC"/>
    <w:rsid w:val="00E24EC0"/>
    <w:rsid w:val="00E24EEC"/>
    <w:rsid w:val="00E24F0A"/>
    <w:rsid w:val="00E24F32"/>
    <w:rsid w:val="00E24FD8"/>
    <w:rsid w:val="00E25013"/>
    <w:rsid w:val="00E250B8"/>
    <w:rsid w:val="00E250D9"/>
    <w:rsid w:val="00E250FB"/>
    <w:rsid w:val="00E253AA"/>
    <w:rsid w:val="00E253F8"/>
    <w:rsid w:val="00E25452"/>
    <w:rsid w:val="00E25468"/>
    <w:rsid w:val="00E25514"/>
    <w:rsid w:val="00E25597"/>
    <w:rsid w:val="00E255FF"/>
    <w:rsid w:val="00E25667"/>
    <w:rsid w:val="00E256B2"/>
    <w:rsid w:val="00E256C4"/>
    <w:rsid w:val="00E256C7"/>
    <w:rsid w:val="00E25711"/>
    <w:rsid w:val="00E25739"/>
    <w:rsid w:val="00E25799"/>
    <w:rsid w:val="00E257D2"/>
    <w:rsid w:val="00E257E5"/>
    <w:rsid w:val="00E258BA"/>
    <w:rsid w:val="00E258DD"/>
    <w:rsid w:val="00E2594C"/>
    <w:rsid w:val="00E25A02"/>
    <w:rsid w:val="00E25A27"/>
    <w:rsid w:val="00E25AC4"/>
    <w:rsid w:val="00E25AD4"/>
    <w:rsid w:val="00E25B05"/>
    <w:rsid w:val="00E25B73"/>
    <w:rsid w:val="00E25B74"/>
    <w:rsid w:val="00E25C20"/>
    <w:rsid w:val="00E25C29"/>
    <w:rsid w:val="00E25CC1"/>
    <w:rsid w:val="00E25CD3"/>
    <w:rsid w:val="00E25CFC"/>
    <w:rsid w:val="00E25D88"/>
    <w:rsid w:val="00E25DAD"/>
    <w:rsid w:val="00E25DF6"/>
    <w:rsid w:val="00E25E34"/>
    <w:rsid w:val="00E25E58"/>
    <w:rsid w:val="00E25E9C"/>
    <w:rsid w:val="00E25EBA"/>
    <w:rsid w:val="00E25F0B"/>
    <w:rsid w:val="00E25F38"/>
    <w:rsid w:val="00E25FC1"/>
    <w:rsid w:val="00E26194"/>
    <w:rsid w:val="00E26382"/>
    <w:rsid w:val="00E263AC"/>
    <w:rsid w:val="00E263EC"/>
    <w:rsid w:val="00E264C3"/>
    <w:rsid w:val="00E26539"/>
    <w:rsid w:val="00E2654B"/>
    <w:rsid w:val="00E265AA"/>
    <w:rsid w:val="00E265B8"/>
    <w:rsid w:val="00E265B9"/>
    <w:rsid w:val="00E26650"/>
    <w:rsid w:val="00E2669F"/>
    <w:rsid w:val="00E266BD"/>
    <w:rsid w:val="00E26704"/>
    <w:rsid w:val="00E2679B"/>
    <w:rsid w:val="00E267B4"/>
    <w:rsid w:val="00E267C5"/>
    <w:rsid w:val="00E26AF0"/>
    <w:rsid w:val="00E26B11"/>
    <w:rsid w:val="00E26B8F"/>
    <w:rsid w:val="00E26BD2"/>
    <w:rsid w:val="00E26BD3"/>
    <w:rsid w:val="00E26C40"/>
    <w:rsid w:val="00E26C7B"/>
    <w:rsid w:val="00E26CC7"/>
    <w:rsid w:val="00E26D57"/>
    <w:rsid w:val="00E26D58"/>
    <w:rsid w:val="00E26D8B"/>
    <w:rsid w:val="00E26DBC"/>
    <w:rsid w:val="00E26DC2"/>
    <w:rsid w:val="00E26E13"/>
    <w:rsid w:val="00E26F02"/>
    <w:rsid w:val="00E26F27"/>
    <w:rsid w:val="00E26FDC"/>
    <w:rsid w:val="00E27045"/>
    <w:rsid w:val="00E27065"/>
    <w:rsid w:val="00E270A3"/>
    <w:rsid w:val="00E270B4"/>
    <w:rsid w:val="00E27164"/>
    <w:rsid w:val="00E271BF"/>
    <w:rsid w:val="00E272EF"/>
    <w:rsid w:val="00E27325"/>
    <w:rsid w:val="00E2739E"/>
    <w:rsid w:val="00E27446"/>
    <w:rsid w:val="00E27463"/>
    <w:rsid w:val="00E2746F"/>
    <w:rsid w:val="00E27593"/>
    <w:rsid w:val="00E27597"/>
    <w:rsid w:val="00E2766B"/>
    <w:rsid w:val="00E276FF"/>
    <w:rsid w:val="00E27750"/>
    <w:rsid w:val="00E27759"/>
    <w:rsid w:val="00E278C8"/>
    <w:rsid w:val="00E278F7"/>
    <w:rsid w:val="00E27915"/>
    <w:rsid w:val="00E27960"/>
    <w:rsid w:val="00E279D3"/>
    <w:rsid w:val="00E27A3C"/>
    <w:rsid w:val="00E27A55"/>
    <w:rsid w:val="00E27AFE"/>
    <w:rsid w:val="00E27B4F"/>
    <w:rsid w:val="00E27BD3"/>
    <w:rsid w:val="00E27C87"/>
    <w:rsid w:val="00E27C90"/>
    <w:rsid w:val="00E27CA3"/>
    <w:rsid w:val="00E27CA7"/>
    <w:rsid w:val="00E27CA8"/>
    <w:rsid w:val="00E27D71"/>
    <w:rsid w:val="00E27D74"/>
    <w:rsid w:val="00E27D81"/>
    <w:rsid w:val="00E27EDA"/>
    <w:rsid w:val="00E27FB8"/>
    <w:rsid w:val="00E27FC3"/>
    <w:rsid w:val="00E27FFC"/>
    <w:rsid w:val="00E27FFD"/>
    <w:rsid w:val="00E30072"/>
    <w:rsid w:val="00E30134"/>
    <w:rsid w:val="00E30196"/>
    <w:rsid w:val="00E3029D"/>
    <w:rsid w:val="00E3032F"/>
    <w:rsid w:val="00E30443"/>
    <w:rsid w:val="00E30459"/>
    <w:rsid w:val="00E3049B"/>
    <w:rsid w:val="00E304E0"/>
    <w:rsid w:val="00E30528"/>
    <w:rsid w:val="00E30552"/>
    <w:rsid w:val="00E305A4"/>
    <w:rsid w:val="00E306F7"/>
    <w:rsid w:val="00E30757"/>
    <w:rsid w:val="00E307C9"/>
    <w:rsid w:val="00E307E9"/>
    <w:rsid w:val="00E308BC"/>
    <w:rsid w:val="00E30938"/>
    <w:rsid w:val="00E3094F"/>
    <w:rsid w:val="00E3099C"/>
    <w:rsid w:val="00E309BB"/>
    <w:rsid w:val="00E309C6"/>
    <w:rsid w:val="00E309DA"/>
    <w:rsid w:val="00E309E1"/>
    <w:rsid w:val="00E309F2"/>
    <w:rsid w:val="00E30A1A"/>
    <w:rsid w:val="00E30BFA"/>
    <w:rsid w:val="00E30BFB"/>
    <w:rsid w:val="00E30C04"/>
    <w:rsid w:val="00E30C08"/>
    <w:rsid w:val="00E30C20"/>
    <w:rsid w:val="00E30C60"/>
    <w:rsid w:val="00E30CCB"/>
    <w:rsid w:val="00E30D53"/>
    <w:rsid w:val="00E30D95"/>
    <w:rsid w:val="00E30DAE"/>
    <w:rsid w:val="00E30DB7"/>
    <w:rsid w:val="00E30E45"/>
    <w:rsid w:val="00E30EAF"/>
    <w:rsid w:val="00E30EDF"/>
    <w:rsid w:val="00E30EFE"/>
    <w:rsid w:val="00E310E6"/>
    <w:rsid w:val="00E31105"/>
    <w:rsid w:val="00E3112D"/>
    <w:rsid w:val="00E3117C"/>
    <w:rsid w:val="00E3121E"/>
    <w:rsid w:val="00E3127E"/>
    <w:rsid w:val="00E312B4"/>
    <w:rsid w:val="00E31386"/>
    <w:rsid w:val="00E313EB"/>
    <w:rsid w:val="00E31445"/>
    <w:rsid w:val="00E3145F"/>
    <w:rsid w:val="00E314D9"/>
    <w:rsid w:val="00E315B6"/>
    <w:rsid w:val="00E315DA"/>
    <w:rsid w:val="00E3164F"/>
    <w:rsid w:val="00E3167A"/>
    <w:rsid w:val="00E3171C"/>
    <w:rsid w:val="00E3176B"/>
    <w:rsid w:val="00E31793"/>
    <w:rsid w:val="00E317A5"/>
    <w:rsid w:val="00E31844"/>
    <w:rsid w:val="00E318A2"/>
    <w:rsid w:val="00E318EF"/>
    <w:rsid w:val="00E3195F"/>
    <w:rsid w:val="00E31A1C"/>
    <w:rsid w:val="00E31A90"/>
    <w:rsid w:val="00E31A9F"/>
    <w:rsid w:val="00E31B95"/>
    <w:rsid w:val="00E31C3C"/>
    <w:rsid w:val="00E31C66"/>
    <w:rsid w:val="00E31CF8"/>
    <w:rsid w:val="00E31CFB"/>
    <w:rsid w:val="00E31D06"/>
    <w:rsid w:val="00E31D24"/>
    <w:rsid w:val="00E31D72"/>
    <w:rsid w:val="00E31DA7"/>
    <w:rsid w:val="00E31DB0"/>
    <w:rsid w:val="00E31DEB"/>
    <w:rsid w:val="00E31DF3"/>
    <w:rsid w:val="00E31E2A"/>
    <w:rsid w:val="00E31E2B"/>
    <w:rsid w:val="00E31E46"/>
    <w:rsid w:val="00E32028"/>
    <w:rsid w:val="00E32128"/>
    <w:rsid w:val="00E32130"/>
    <w:rsid w:val="00E321FB"/>
    <w:rsid w:val="00E321FD"/>
    <w:rsid w:val="00E32298"/>
    <w:rsid w:val="00E322D4"/>
    <w:rsid w:val="00E32302"/>
    <w:rsid w:val="00E3232C"/>
    <w:rsid w:val="00E32370"/>
    <w:rsid w:val="00E3248D"/>
    <w:rsid w:val="00E324E9"/>
    <w:rsid w:val="00E324F8"/>
    <w:rsid w:val="00E32544"/>
    <w:rsid w:val="00E32577"/>
    <w:rsid w:val="00E325FF"/>
    <w:rsid w:val="00E326BC"/>
    <w:rsid w:val="00E326C4"/>
    <w:rsid w:val="00E326FE"/>
    <w:rsid w:val="00E32717"/>
    <w:rsid w:val="00E3275D"/>
    <w:rsid w:val="00E32781"/>
    <w:rsid w:val="00E328CC"/>
    <w:rsid w:val="00E328D7"/>
    <w:rsid w:val="00E32931"/>
    <w:rsid w:val="00E329CC"/>
    <w:rsid w:val="00E32A01"/>
    <w:rsid w:val="00E32A2C"/>
    <w:rsid w:val="00E32B1B"/>
    <w:rsid w:val="00E32B5F"/>
    <w:rsid w:val="00E32C18"/>
    <w:rsid w:val="00E32C60"/>
    <w:rsid w:val="00E32C9A"/>
    <w:rsid w:val="00E32CD4"/>
    <w:rsid w:val="00E32D7F"/>
    <w:rsid w:val="00E32DDD"/>
    <w:rsid w:val="00E32E71"/>
    <w:rsid w:val="00E32EED"/>
    <w:rsid w:val="00E32F27"/>
    <w:rsid w:val="00E32F3A"/>
    <w:rsid w:val="00E330AC"/>
    <w:rsid w:val="00E3311D"/>
    <w:rsid w:val="00E33122"/>
    <w:rsid w:val="00E3315E"/>
    <w:rsid w:val="00E33162"/>
    <w:rsid w:val="00E331CF"/>
    <w:rsid w:val="00E33214"/>
    <w:rsid w:val="00E332CA"/>
    <w:rsid w:val="00E332D6"/>
    <w:rsid w:val="00E332F7"/>
    <w:rsid w:val="00E33389"/>
    <w:rsid w:val="00E3350C"/>
    <w:rsid w:val="00E33539"/>
    <w:rsid w:val="00E33596"/>
    <w:rsid w:val="00E33605"/>
    <w:rsid w:val="00E33756"/>
    <w:rsid w:val="00E337CD"/>
    <w:rsid w:val="00E337D7"/>
    <w:rsid w:val="00E33824"/>
    <w:rsid w:val="00E33830"/>
    <w:rsid w:val="00E33873"/>
    <w:rsid w:val="00E3393B"/>
    <w:rsid w:val="00E33954"/>
    <w:rsid w:val="00E33A19"/>
    <w:rsid w:val="00E33A2E"/>
    <w:rsid w:val="00E33A45"/>
    <w:rsid w:val="00E33AB5"/>
    <w:rsid w:val="00E33C46"/>
    <w:rsid w:val="00E33DF6"/>
    <w:rsid w:val="00E33E2B"/>
    <w:rsid w:val="00E33E95"/>
    <w:rsid w:val="00E33FE5"/>
    <w:rsid w:val="00E340FA"/>
    <w:rsid w:val="00E341D6"/>
    <w:rsid w:val="00E342D8"/>
    <w:rsid w:val="00E34313"/>
    <w:rsid w:val="00E34392"/>
    <w:rsid w:val="00E343A4"/>
    <w:rsid w:val="00E343CE"/>
    <w:rsid w:val="00E343D2"/>
    <w:rsid w:val="00E34439"/>
    <w:rsid w:val="00E3446F"/>
    <w:rsid w:val="00E34506"/>
    <w:rsid w:val="00E34543"/>
    <w:rsid w:val="00E34618"/>
    <w:rsid w:val="00E34652"/>
    <w:rsid w:val="00E346C2"/>
    <w:rsid w:val="00E346E9"/>
    <w:rsid w:val="00E3472E"/>
    <w:rsid w:val="00E34737"/>
    <w:rsid w:val="00E34776"/>
    <w:rsid w:val="00E34779"/>
    <w:rsid w:val="00E347ED"/>
    <w:rsid w:val="00E348B0"/>
    <w:rsid w:val="00E34930"/>
    <w:rsid w:val="00E34983"/>
    <w:rsid w:val="00E3499E"/>
    <w:rsid w:val="00E34BE1"/>
    <w:rsid w:val="00E34C6C"/>
    <w:rsid w:val="00E34CB6"/>
    <w:rsid w:val="00E34D09"/>
    <w:rsid w:val="00E34D63"/>
    <w:rsid w:val="00E34DC8"/>
    <w:rsid w:val="00E34E36"/>
    <w:rsid w:val="00E34E9F"/>
    <w:rsid w:val="00E34EED"/>
    <w:rsid w:val="00E34FD3"/>
    <w:rsid w:val="00E34FE5"/>
    <w:rsid w:val="00E35008"/>
    <w:rsid w:val="00E3501C"/>
    <w:rsid w:val="00E35022"/>
    <w:rsid w:val="00E35041"/>
    <w:rsid w:val="00E350D8"/>
    <w:rsid w:val="00E35120"/>
    <w:rsid w:val="00E351A6"/>
    <w:rsid w:val="00E351E5"/>
    <w:rsid w:val="00E351EA"/>
    <w:rsid w:val="00E35254"/>
    <w:rsid w:val="00E35274"/>
    <w:rsid w:val="00E352DA"/>
    <w:rsid w:val="00E352F5"/>
    <w:rsid w:val="00E35425"/>
    <w:rsid w:val="00E354A2"/>
    <w:rsid w:val="00E354AC"/>
    <w:rsid w:val="00E3561B"/>
    <w:rsid w:val="00E356EF"/>
    <w:rsid w:val="00E356F1"/>
    <w:rsid w:val="00E35718"/>
    <w:rsid w:val="00E35719"/>
    <w:rsid w:val="00E358A0"/>
    <w:rsid w:val="00E35901"/>
    <w:rsid w:val="00E35A0A"/>
    <w:rsid w:val="00E35A0B"/>
    <w:rsid w:val="00E35A34"/>
    <w:rsid w:val="00E35A56"/>
    <w:rsid w:val="00E35AC2"/>
    <w:rsid w:val="00E35B07"/>
    <w:rsid w:val="00E35B7E"/>
    <w:rsid w:val="00E35C46"/>
    <w:rsid w:val="00E35C4A"/>
    <w:rsid w:val="00E35C68"/>
    <w:rsid w:val="00E35C76"/>
    <w:rsid w:val="00E35C88"/>
    <w:rsid w:val="00E35C8B"/>
    <w:rsid w:val="00E35D0F"/>
    <w:rsid w:val="00E35D40"/>
    <w:rsid w:val="00E35DFD"/>
    <w:rsid w:val="00E35E59"/>
    <w:rsid w:val="00E35EF5"/>
    <w:rsid w:val="00E36010"/>
    <w:rsid w:val="00E3610C"/>
    <w:rsid w:val="00E36275"/>
    <w:rsid w:val="00E362E5"/>
    <w:rsid w:val="00E3634B"/>
    <w:rsid w:val="00E363B2"/>
    <w:rsid w:val="00E363C1"/>
    <w:rsid w:val="00E364F9"/>
    <w:rsid w:val="00E36527"/>
    <w:rsid w:val="00E36563"/>
    <w:rsid w:val="00E36568"/>
    <w:rsid w:val="00E365E2"/>
    <w:rsid w:val="00E3668B"/>
    <w:rsid w:val="00E3680B"/>
    <w:rsid w:val="00E36860"/>
    <w:rsid w:val="00E3688A"/>
    <w:rsid w:val="00E368A4"/>
    <w:rsid w:val="00E3693D"/>
    <w:rsid w:val="00E36963"/>
    <w:rsid w:val="00E36973"/>
    <w:rsid w:val="00E36979"/>
    <w:rsid w:val="00E369F8"/>
    <w:rsid w:val="00E36A15"/>
    <w:rsid w:val="00E36A2B"/>
    <w:rsid w:val="00E36AD7"/>
    <w:rsid w:val="00E36BAD"/>
    <w:rsid w:val="00E36BE7"/>
    <w:rsid w:val="00E36C7E"/>
    <w:rsid w:val="00E36C96"/>
    <w:rsid w:val="00E36CD9"/>
    <w:rsid w:val="00E36D6A"/>
    <w:rsid w:val="00E36E0B"/>
    <w:rsid w:val="00E36E40"/>
    <w:rsid w:val="00E36EAA"/>
    <w:rsid w:val="00E36EC8"/>
    <w:rsid w:val="00E36EF2"/>
    <w:rsid w:val="00E36F66"/>
    <w:rsid w:val="00E3708D"/>
    <w:rsid w:val="00E37145"/>
    <w:rsid w:val="00E3716E"/>
    <w:rsid w:val="00E371CF"/>
    <w:rsid w:val="00E37320"/>
    <w:rsid w:val="00E373BC"/>
    <w:rsid w:val="00E373F7"/>
    <w:rsid w:val="00E37416"/>
    <w:rsid w:val="00E3741D"/>
    <w:rsid w:val="00E3749D"/>
    <w:rsid w:val="00E375F1"/>
    <w:rsid w:val="00E376C4"/>
    <w:rsid w:val="00E377BA"/>
    <w:rsid w:val="00E377D5"/>
    <w:rsid w:val="00E37871"/>
    <w:rsid w:val="00E378BA"/>
    <w:rsid w:val="00E37967"/>
    <w:rsid w:val="00E37A15"/>
    <w:rsid w:val="00E37A59"/>
    <w:rsid w:val="00E37AD5"/>
    <w:rsid w:val="00E37ADC"/>
    <w:rsid w:val="00E37AF6"/>
    <w:rsid w:val="00E37B28"/>
    <w:rsid w:val="00E37B91"/>
    <w:rsid w:val="00E37C81"/>
    <w:rsid w:val="00E37D17"/>
    <w:rsid w:val="00E37D52"/>
    <w:rsid w:val="00E37D99"/>
    <w:rsid w:val="00E37E5E"/>
    <w:rsid w:val="00E37EAE"/>
    <w:rsid w:val="00E37F5A"/>
    <w:rsid w:val="00E40015"/>
    <w:rsid w:val="00E4034F"/>
    <w:rsid w:val="00E403C1"/>
    <w:rsid w:val="00E4043E"/>
    <w:rsid w:val="00E4047F"/>
    <w:rsid w:val="00E404BD"/>
    <w:rsid w:val="00E404E4"/>
    <w:rsid w:val="00E405A7"/>
    <w:rsid w:val="00E405B8"/>
    <w:rsid w:val="00E405BC"/>
    <w:rsid w:val="00E40628"/>
    <w:rsid w:val="00E4074A"/>
    <w:rsid w:val="00E4079F"/>
    <w:rsid w:val="00E4083F"/>
    <w:rsid w:val="00E408B3"/>
    <w:rsid w:val="00E40932"/>
    <w:rsid w:val="00E409B6"/>
    <w:rsid w:val="00E40A66"/>
    <w:rsid w:val="00E40ACA"/>
    <w:rsid w:val="00E40B5F"/>
    <w:rsid w:val="00E40B8B"/>
    <w:rsid w:val="00E40B90"/>
    <w:rsid w:val="00E40C76"/>
    <w:rsid w:val="00E40C84"/>
    <w:rsid w:val="00E40CE7"/>
    <w:rsid w:val="00E40CF9"/>
    <w:rsid w:val="00E40F36"/>
    <w:rsid w:val="00E40F4D"/>
    <w:rsid w:val="00E41056"/>
    <w:rsid w:val="00E410A2"/>
    <w:rsid w:val="00E41130"/>
    <w:rsid w:val="00E41158"/>
    <w:rsid w:val="00E4119E"/>
    <w:rsid w:val="00E41297"/>
    <w:rsid w:val="00E412A9"/>
    <w:rsid w:val="00E4133D"/>
    <w:rsid w:val="00E41370"/>
    <w:rsid w:val="00E413D9"/>
    <w:rsid w:val="00E415DF"/>
    <w:rsid w:val="00E415ED"/>
    <w:rsid w:val="00E41610"/>
    <w:rsid w:val="00E4163A"/>
    <w:rsid w:val="00E41688"/>
    <w:rsid w:val="00E416C0"/>
    <w:rsid w:val="00E41758"/>
    <w:rsid w:val="00E41785"/>
    <w:rsid w:val="00E417A4"/>
    <w:rsid w:val="00E418AF"/>
    <w:rsid w:val="00E418B5"/>
    <w:rsid w:val="00E4191A"/>
    <w:rsid w:val="00E4199E"/>
    <w:rsid w:val="00E419DD"/>
    <w:rsid w:val="00E41AA7"/>
    <w:rsid w:val="00E41AC2"/>
    <w:rsid w:val="00E41ACB"/>
    <w:rsid w:val="00E41B30"/>
    <w:rsid w:val="00E41B31"/>
    <w:rsid w:val="00E41CCD"/>
    <w:rsid w:val="00E41D88"/>
    <w:rsid w:val="00E41DC8"/>
    <w:rsid w:val="00E41DEA"/>
    <w:rsid w:val="00E41DF0"/>
    <w:rsid w:val="00E41E32"/>
    <w:rsid w:val="00E41E70"/>
    <w:rsid w:val="00E41ED6"/>
    <w:rsid w:val="00E41EE8"/>
    <w:rsid w:val="00E41F39"/>
    <w:rsid w:val="00E41F57"/>
    <w:rsid w:val="00E41FD7"/>
    <w:rsid w:val="00E41FF7"/>
    <w:rsid w:val="00E4207A"/>
    <w:rsid w:val="00E420A9"/>
    <w:rsid w:val="00E4215B"/>
    <w:rsid w:val="00E421E4"/>
    <w:rsid w:val="00E42288"/>
    <w:rsid w:val="00E422B2"/>
    <w:rsid w:val="00E422D0"/>
    <w:rsid w:val="00E422F9"/>
    <w:rsid w:val="00E42302"/>
    <w:rsid w:val="00E423A8"/>
    <w:rsid w:val="00E423C7"/>
    <w:rsid w:val="00E423E2"/>
    <w:rsid w:val="00E423FA"/>
    <w:rsid w:val="00E423FC"/>
    <w:rsid w:val="00E42400"/>
    <w:rsid w:val="00E42475"/>
    <w:rsid w:val="00E4249D"/>
    <w:rsid w:val="00E42534"/>
    <w:rsid w:val="00E42562"/>
    <w:rsid w:val="00E425D0"/>
    <w:rsid w:val="00E42600"/>
    <w:rsid w:val="00E4260C"/>
    <w:rsid w:val="00E4262E"/>
    <w:rsid w:val="00E42727"/>
    <w:rsid w:val="00E4274B"/>
    <w:rsid w:val="00E42750"/>
    <w:rsid w:val="00E42752"/>
    <w:rsid w:val="00E427A1"/>
    <w:rsid w:val="00E427C5"/>
    <w:rsid w:val="00E427F7"/>
    <w:rsid w:val="00E4298F"/>
    <w:rsid w:val="00E42A2B"/>
    <w:rsid w:val="00E42A51"/>
    <w:rsid w:val="00E42AC9"/>
    <w:rsid w:val="00E42B0B"/>
    <w:rsid w:val="00E42B31"/>
    <w:rsid w:val="00E42B59"/>
    <w:rsid w:val="00E42BF6"/>
    <w:rsid w:val="00E42CCD"/>
    <w:rsid w:val="00E42DA4"/>
    <w:rsid w:val="00E42E52"/>
    <w:rsid w:val="00E42EB3"/>
    <w:rsid w:val="00E42ED6"/>
    <w:rsid w:val="00E42EF2"/>
    <w:rsid w:val="00E42F0B"/>
    <w:rsid w:val="00E42F58"/>
    <w:rsid w:val="00E42F6F"/>
    <w:rsid w:val="00E42F8B"/>
    <w:rsid w:val="00E42F94"/>
    <w:rsid w:val="00E43122"/>
    <w:rsid w:val="00E43128"/>
    <w:rsid w:val="00E432A7"/>
    <w:rsid w:val="00E432B3"/>
    <w:rsid w:val="00E432C2"/>
    <w:rsid w:val="00E43325"/>
    <w:rsid w:val="00E433E1"/>
    <w:rsid w:val="00E4344B"/>
    <w:rsid w:val="00E4346D"/>
    <w:rsid w:val="00E434CB"/>
    <w:rsid w:val="00E434CE"/>
    <w:rsid w:val="00E434D1"/>
    <w:rsid w:val="00E4352F"/>
    <w:rsid w:val="00E435FD"/>
    <w:rsid w:val="00E43618"/>
    <w:rsid w:val="00E4365B"/>
    <w:rsid w:val="00E4368C"/>
    <w:rsid w:val="00E436E1"/>
    <w:rsid w:val="00E436F3"/>
    <w:rsid w:val="00E43772"/>
    <w:rsid w:val="00E43847"/>
    <w:rsid w:val="00E43871"/>
    <w:rsid w:val="00E438C2"/>
    <w:rsid w:val="00E438D8"/>
    <w:rsid w:val="00E43923"/>
    <w:rsid w:val="00E439FF"/>
    <w:rsid w:val="00E43A34"/>
    <w:rsid w:val="00E43A63"/>
    <w:rsid w:val="00E43AD3"/>
    <w:rsid w:val="00E43B36"/>
    <w:rsid w:val="00E43BC7"/>
    <w:rsid w:val="00E43C24"/>
    <w:rsid w:val="00E43CB1"/>
    <w:rsid w:val="00E43CE1"/>
    <w:rsid w:val="00E43D00"/>
    <w:rsid w:val="00E43DFD"/>
    <w:rsid w:val="00E43E76"/>
    <w:rsid w:val="00E43F55"/>
    <w:rsid w:val="00E43FF6"/>
    <w:rsid w:val="00E4401A"/>
    <w:rsid w:val="00E440B2"/>
    <w:rsid w:val="00E440D0"/>
    <w:rsid w:val="00E440ED"/>
    <w:rsid w:val="00E4410B"/>
    <w:rsid w:val="00E4410F"/>
    <w:rsid w:val="00E4414E"/>
    <w:rsid w:val="00E441B1"/>
    <w:rsid w:val="00E44282"/>
    <w:rsid w:val="00E44308"/>
    <w:rsid w:val="00E44311"/>
    <w:rsid w:val="00E443E8"/>
    <w:rsid w:val="00E44422"/>
    <w:rsid w:val="00E44430"/>
    <w:rsid w:val="00E44586"/>
    <w:rsid w:val="00E446BA"/>
    <w:rsid w:val="00E446F4"/>
    <w:rsid w:val="00E44765"/>
    <w:rsid w:val="00E44774"/>
    <w:rsid w:val="00E44784"/>
    <w:rsid w:val="00E447AE"/>
    <w:rsid w:val="00E44847"/>
    <w:rsid w:val="00E44885"/>
    <w:rsid w:val="00E448AF"/>
    <w:rsid w:val="00E4497E"/>
    <w:rsid w:val="00E44998"/>
    <w:rsid w:val="00E449CF"/>
    <w:rsid w:val="00E44A12"/>
    <w:rsid w:val="00E44A33"/>
    <w:rsid w:val="00E44A75"/>
    <w:rsid w:val="00E44A7C"/>
    <w:rsid w:val="00E44A88"/>
    <w:rsid w:val="00E44B48"/>
    <w:rsid w:val="00E44B9A"/>
    <w:rsid w:val="00E44C0B"/>
    <w:rsid w:val="00E44C41"/>
    <w:rsid w:val="00E44C43"/>
    <w:rsid w:val="00E44C47"/>
    <w:rsid w:val="00E44C92"/>
    <w:rsid w:val="00E44E25"/>
    <w:rsid w:val="00E44E6F"/>
    <w:rsid w:val="00E44FD4"/>
    <w:rsid w:val="00E4504A"/>
    <w:rsid w:val="00E4514F"/>
    <w:rsid w:val="00E45187"/>
    <w:rsid w:val="00E451A2"/>
    <w:rsid w:val="00E45205"/>
    <w:rsid w:val="00E45211"/>
    <w:rsid w:val="00E4524B"/>
    <w:rsid w:val="00E454CB"/>
    <w:rsid w:val="00E454D6"/>
    <w:rsid w:val="00E4559C"/>
    <w:rsid w:val="00E455DF"/>
    <w:rsid w:val="00E455F2"/>
    <w:rsid w:val="00E45680"/>
    <w:rsid w:val="00E45788"/>
    <w:rsid w:val="00E457DF"/>
    <w:rsid w:val="00E457FA"/>
    <w:rsid w:val="00E45846"/>
    <w:rsid w:val="00E45890"/>
    <w:rsid w:val="00E4595C"/>
    <w:rsid w:val="00E4598D"/>
    <w:rsid w:val="00E459A5"/>
    <w:rsid w:val="00E459F9"/>
    <w:rsid w:val="00E45A36"/>
    <w:rsid w:val="00E45A68"/>
    <w:rsid w:val="00E45B33"/>
    <w:rsid w:val="00E45B59"/>
    <w:rsid w:val="00E45BAD"/>
    <w:rsid w:val="00E45BC3"/>
    <w:rsid w:val="00E45C86"/>
    <w:rsid w:val="00E45CC6"/>
    <w:rsid w:val="00E45CD2"/>
    <w:rsid w:val="00E45D39"/>
    <w:rsid w:val="00E45DC0"/>
    <w:rsid w:val="00E45E14"/>
    <w:rsid w:val="00E45E1A"/>
    <w:rsid w:val="00E45F31"/>
    <w:rsid w:val="00E45F69"/>
    <w:rsid w:val="00E45F73"/>
    <w:rsid w:val="00E46087"/>
    <w:rsid w:val="00E460ED"/>
    <w:rsid w:val="00E46107"/>
    <w:rsid w:val="00E46196"/>
    <w:rsid w:val="00E461AA"/>
    <w:rsid w:val="00E461C3"/>
    <w:rsid w:val="00E4626C"/>
    <w:rsid w:val="00E4646E"/>
    <w:rsid w:val="00E4649E"/>
    <w:rsid w:val="00E464B3"/>
    <w:rsid w:val="00E464E6"/>
    <w:rsid w:val="00E46584"/>
    <w:rsid w:val="00E4660C"/>
    <w:rsid w:val="00E46731"/>
    <w:rsid w:val="00E46734"/>
    <w:rsid w:val="00E468B5"/>
    <w:rsid w:val="00E46927"/>
    <w:rsid w:val="00E46984"/>
    <w:rsid w:val="00E46991"/>
    <w:rsid w:val="00E469E8"/>
    <w:rsid w:val="00E46A15"/>
    <w:rsid w:val="00E46A49"/>
    <w:rsid w:val="00E46AAD"/>
    <w:rsid w:val="00E46ADA"/>
    <w:rsid w:val="00E46B86"/>
    <w:rsid w:val="00E46BA0"/>
    <w:rsid w:val="00E46BCC"/>
    <w:rsid w:val="00E46C18"/>
    <w:rsid w:val="00E46DE2"/>
    <w:rsid w:val="00E46DED"/>
    <w:rsid w:val="00E46DF1"/>
    <w:rsid w:val="00E46E77"/>
    <w:rsid w:val="00E46ED5"/>
    <w:rsid w:val="00E46EFA"/>
    <w:rsid w:val="00E4703E"/>
    <w:rsid w:val="00E47155"/>
    <w:rsid w:val="00E472BE"/>
    <w:rsid w:val="00E47383"/>
    <w:rsid w:val="00E4738F"/>
    <w:rsid w:val="00E473D1"/>
    <w:rsid w:val="00E473E2"/>
    <w:rsid w:val="00E4744E"/>
    <w:rsid w:val="00E47681"/>
    <w:rsid w:val="00E47795"/>
    <w:rsid w:val="00E4785C"/>
    <w:rsid w:val="00E478A1"/>
    <w:rsid w:val="00E478CF"/>
    <w:rsid w:val="00E47925"/>
    <w:rsid w:val="00E4794B"/>
    <w:rsid w:val="00E479C8"/>
    <w:rsid w:val="00E47A9A"/>
    <w:rsid w:val="00E47C3C"/>
    <w:rsid w:val="00E47C7E"/>
    <w:rsid w:val="00E47D0D"/>
    <w:rsid w:val="00E47D4E"/>
    <w:rsid w:val="00E47DAA"/>
    <w:rsid w:val="00E47DD6"/>
    <w:rsid w:val="00E47E16"/>
    <w:rsid w:val="00E47E3B"/>
    <w:rsid w:val="00E47F31"/>
    <w:rsid w:val="00E47F35"/>
    <w:rsid w:val="00E47F5F"/>
    <w:rsid w:val="00E5010B"/>
    <w:rsid w:val="00E5010C"/>
    <w:rsid w:val="00E50151"/>
    <w:rsid w:val="00E5023A"/>
    <w:rsid w:val="00E50311"/>
    <w:rsid w:val="00E503CF"/>
    <w:rsid w:val="00E503F3"/>
    <w:rsid w:val="00E504DA"/>
    <w:rsid w:val="00E504E3"/>
    <w:rsid w:val="00E50540"/>
    <w:rsid w:val="00E50541"/>
    <w:rsid w:val="00E50601"/>
    <w:rsid w:val="00E50698"/>
    <w:rsid w:val="00E50978"/>
    <w:rsid w:val="00E5097B"/>
    <w:rsid w:val="00E50ADE"/>
    <w:rsid w:val="00E50AE6"/>
    <w:rsid w:val="00E50AFC"/>
    <w:rsid w:val="00E50B05"/>
    <w:rsid w:val="00E50B1D"/>
    <w:rsid w:val="00E50B25"/>
    <w:rsid w:val="00E50B5C"/>
    <w:rsid w:val="00E50B5D"/>
    <w:rsid w:val="00E50C6D"/>
    <w:rsid w:val="00E50CE7"/>
    <w:rsid w:val="00E50D21"/>
    <w:rsid w:val="00E50EA8"/>
    <w:rsid w:val="00E50FBD"/>
    <w:rsid w:val="00E51052"/>
    <w:rsid w:val="00E51130"/>
    <w:rsid w:val="00E51186"/>
    <w:rsid w:val="00E511F3"/>
    <w:rsid w:val="00E51245"/>
    <w:rsid w:val="00E512A3"/>
    <w:rsid w:val="00E51317"/>
    <w:rsid w:val="00E51349"/>
    <w:rsid w:val="00E513A7"/>
    <w:rsid w:val="00E5142E"/>
    <w:rsid w:val="00E51453"/>
    <w:rsid w:val="00E51460"/>
    <w:rsid w:val="00E51468"/>
    <w:rsid w:val="00E514C3"/>
    <w:rsid w:val="00E51563"/>
    <w:rsid w:val="00E515C9"/>
    <w:rsid w:val="00E51680"/>
    <w:rsid w:val="00E516E4"/>
    <w:rsid w:val="00E5172A"/>
    <w:rsid w:val="00E5173E"/>
    <w:rsid w:val="00E517A8"/>
    <w:rsid w:val="00E51800"/>
    <w:rsid w:val="00E51863"/>
    <w:rsid w:val="00E5192E"/>
    <w:rsid w:val="00E51937"/>
    <w:rsid w:val="00E519A1"/>
    <w:rsid w:val="00E51A11"/>
    <w:rsid w:val="00E51A63"/>
    <w:rsid w:val="00E51ABD"/>
    <w:rsid w:val="00E51B05"/>
    <w:rsid w:val="00E51B23"/>
    <w:rsid w:val="00E51B2D"/>
    <w:rsid w:val="00E51CF2"/>
    <w:rsid w:val="00E51CF3"/>
    <w:rsid w:val="00E51D8C"/>
    <w:rsid w:val="00E51DCA"/>
    <w:rsid w:val="00E51DE0"/>
    <w:rsid w:val="00E51DEE"/>
    <w:rsid w:val="00E51E58"/>
    <w:rsid w:val="00E51F01"/>
    <w:rsid w:val="00E51FB2"/>
    <w:rsid w:val="00E51FD6"/>
    <w:rsid w:val="00E52087"/>
    <w:rsid w:val="00E520A0"/>
    <w:rsid w:val="00E5210A"/>
    <w:rsid w:val="00E52117"/>
    <w:rsid w:val="00E52128"/>
    <w:rsid w:val="00E52161"/>
    <w:rsid w:val="00E521CF"/>
    <w:rsid w:val="00E52225"/>
    <w:rsid w:val="00E52287"/>
    <w:rsid w:val="00E52450"/>
    <w:rsid w:val="00E52454"/>
    <w:rsid w:val="00E524C4"/>
    <w:rsid w:val="00E525E1"/>
    <w:rsid w:val="00E5260C"/>
    <w:rsid w:val="00E5261C"/>
    <w:rsid w:val="00E526CC"/>
    <w:rsid w:val="00E52740"/>
    <w:rsid w:val="00E52839"/>
    <w:rsid w:val="00E52909"/>
    <w:rsid w:val="00E52A1B"/>
    <w:rsid w:val="00E52A5C"/>
    <w:rsid w:val="00E52AFE"/>
    <w:rsid w:val="00E52B3E"/>
    <w:rsid w:val="00E52B6E"/>
    <w:rsid w:val="00E52C7B"/>
    <w:rsid w:val="00E52C90"/>
    <w:rsid w:val="00E52CA1"/>
    <w:rsid w:val="00E52DAD"/>
    <w:rsid w:val="00E52E31"/>
    <w:rsid w:val="00E52E42"/>
    <w:rsid w:val="00E52F3A"/>
    <w:rsid w:val="00E52FE4"/>
    <w:rsid w:val="00E5300D"/>
    <w:rsid w:val="00E53013"/>
    <w:rsid w:val="00E53081"/>
    <w:rsid w:val="00E530F2"/>
    <w:rsid w:val="00E531E7"/>
    <w:rsid w:val="00E53209"/>
    <w:rsid w:val="00E53237"/>
    <w:rsid w:val="00E53295"/>
    <w:rsid w:val="00E53297"/>
    <w:rsid w:val="00E532FB"/>
    <w:rsid w:val="00E533AA"/>
    <w:rsid w:val="00E53415"/>
    <w:rsid w:val="00E53561"/>
    <w:rsid w:val="00E535A1"/>
    <w:rsid w:val="00E53618"/>
    <w:rsid w:val="00E537F9"/>
    <w:rsid w:val="00E53890"/>
    <w:rsid w:val="00E538C8"/>
    <w:rsid w:val="00E538C9"/>
    <w:rsid w:val="00E538D9"/>
    <w:rsid w:val="00E5391E"/>
    <w:rsid w:val="00E53966"/>
    <w:rsid w:val="00E53992"/>
    <w:rsid w:val="00E539FF"/>
    <w:rsid w:val="00E53ACE"/>
    <w:rsid w:val="00E53B22"/>
    <w:rsid w:val="00E53C13"/>
    <w:rsid w:val="00E53C3F"/>
    <w:rsid w:val="00E53CF0"/>
    <w:rsid w:val="00E53D7B"/>
    <w:rsid w:val="00E53D82"/>
    <w:rsid w:val="00E53DED"/>
    <w:rsid w:val="00E53E51"/>
    <w:rsid w:val="00E53E61"/>
    <w:rsid w:val="00E53E99"/>
    <w:rsid w:val="00E53EF8"/>
    <w:rsid w:val="00E54037"/>
    <w:rsid w:val="00E54086"/>
    <w:rsid w:val="00E540C2"/>
    <w:rsid w:val="00E540CF"/>
    <w:rsid w:val="00E541C6"/>
    <w:rsid w:val="00E541CE"/>
    <w:rsid w:val="00E542BE"/>
    <w:rsid w:val="00E542E1"/>
    <w:rsid w:val="00E542F0"/>
    <w:rsid w:val="00E543A9"/>
    <w:rsid w:val="00E5446B"/>
    <w:rsid w:val="00E544A8"/>
    <w:rsid w:val="00E5453C"/>
    <w:rsid w:val="00E545BA"/>
    <w:rsid w:val="00E54601"/>
    <w:rsid w:val="00E54717"/>
    <w:rsid w:val="00E54748"/>
    <w:rsid w:val="00E54790"/>
    <w:rsid w:val="00E5484F"/>
    <w:rsid w:val="00E54883"/>
    <w:rsid w:val="00E549C2"/>
    <w:rsid w:val="00E54A27"/>
    <w:rsid w:val="00E54A62"/>
    <w:rsid w:val="00E54AD1"/>
    <w:rsid w:val="00E54B8C"/>
    <w:rsid w:val="00E54C1A"/>
    <w:rsid w:val="00E54C23"/>
    <w:rsid w:val="00E54C8F"/>
    <w:rsid w:val="00E54D2F"/>
    <w:rsid w:val="00E54D65"/>
    <w:rsid w:val="00E54D6E"/>
    <w:rsid w:val="00E54E5C"/>
    <w:rsid w:val="00E54E61"/>
    <w:rsid w:val="00E54E7C"/>
    <w:rsid w:val="00E54F79"/>
    <w:rsid w:val="00E55143"/>
    <w:rsid w:val="00E55182"/>
    <w:rsid w:val="00E551D6"/>
    <w:rsid w:val="00E55296"/>
    <w:rsid w:val="00E552ED"/>
    <w:rsid w:val="00E55392"/>
    <w:rsid w:val="00E55431"/>
    <w:rsid w:val="00E5543E"/>
    <w:rsid w:val="00E5555B"/>
    <w:rsid w:val="00E5578B"/>
    <w:rsid w:val="00E5584E"/>
    <w:rsid w:val="00E55862"/>
    <w:rsid w:val="00E558FC"/>
    <w:rsid w:val="00E55921"/>
    <w:rsid w:val="00E55951"/>
    <w:rsid w:val="00E55955"/>
    <w:rsid w:val="00E55A01"/>
    <w:rsid w:val="00E55AD7"/>
    <w:rsid w:val="00E55AE3"/>
    <w:rsid w:val="00E55AF4"/>
    <w:rsid w:val="00E55B10"/>
    <w:rsid w:val="00E55B5A"/>
    <w:rsid w:val="00E55C14"/>
    <w:rsid w:val="00E55DDD"/>
    <w:rsid w:val="00E55DEE"/>
    <w:rsid w:val="00E55EA3"/>
    <w:rsid w:val="00E55F35"/>
    <w:rsid w:val="00E55F3A"/>
    <w:rsid w:val="00E55F5A"/>
    <w:rsid w:val="00E55F74"/>
    <w:rsid w:val="00E55FD8"/>
    <w:rsid w:val="00E5605E"/>
    <w:rsid w:val="00E5609B"/>
    <w:rsid w:val="00E560D4"/>
    <w:rsid w:val="00E56161"/>
    <w:rsid w:val="00E5624E"/>
    <w:rsid w:val="00E56263"/>
    <w:rsid w:val="00E5629B"/>
    <w:rsid w:val="00E562BF"/>
    <w:rsid w:val="00E56339"/>
    <w:rsid w:val="00E5635C"/>
    <w:rsid w:val="00E563D6"/>
    <w:rsid w:val="00E5640C"/>
    <w:rsid w:val="00E56452"/>
    <w:rsid w:val="00E564F1"/>
    <w:rsid w:val="00E565BE"/>
    <w:rsid w:val="00E5661D"/>
    <w:rsid w:val="00E56620"/>
    <w:rsid w:val="00E5663A"/>
    <w:rsid w:val="00E56665"/>
    <w:rsid w:val="00E56669"/>
    <w:rsid w:val="00E566DC"/>
    <w:rsid w:val="00E566DF"/>
    <w:rsid w:val="00E566E6"/>
    <w:rsid w:val="00E56850"/>
    <w:rsid w:val="00E568BE"/>
    <w:rsid w:val="00E568CA"/>
    <w:rsid w:val="00E569AA"/>
    <w:rsid w:val="00E569C9"/>
    <w:rsid w:val="00E56A01"/>
    <w:rsid w:val="00E56A35"/>
    <w:rsid w:val="00E56AEA"/>
    <w:rsid w:val="00E56B75"/>
    <w:rsid w:val="00E56BC3"/>
    <w:rsid w:val="00E56C28"/>
    <w:rsid w:val="00E56C3A"/>
    <w:rsid w:val="00E56DAE"/>
    <w:rsid w:val="00E56DF8"/>
    <w:rsid w:val="00E56EB2"/>
    <w:rsid w:val="00E56EB3"/>
    <w:rsid w:val="00E56EE3"/>
    <w:rsid w:val="00E56EF0"/>
    <w:rsid w:val="00E56F1A"/>
    <w:rsid w:val="00E56FEF"/>
    <w:rsid w:val="00E5702D"/>
    <w:rsid w:val="00E57054"/>
    <w:rsid w:val="00E5706E"/>
    <w:rsid w:val="00E5710D"/>
    <w:rsid w:val="00E571A5"/>
    <w:rsid w:val="00E572A2"/>
    <w:rsid w:val="00E572CD"/>
    <w:rsid w:val="00E572E7"/>
    <w:rsid w:val="00E572F8"/>
    <w:rsid w:val="00E57320"/>
    <w:rsid w:val="00E57414"/>
    <w:rsid w:val="00E57443"/>
    <w:rsid w:val="00E5752D"/>
    <w:rsid w:val="00E575CB"/>
    <w:rsid w:val="00E575DB"/>
    <w:rsid w:val="00E575EE"/>
    <w:rsid w:val="00E575F3"/>
    <w:rsid w:val="00E575FB"/>
    <w:rsid w:val="00E57658"/>
    <w:rsid w:val="00E57736"/>
    <w:rsid w:val="00E57745"/>
    <w:rsid w:val="00E57868"/>
    <w:rsid w:val="00E5787B"/>
    <w:rsid w:val="00E57881"/>
    <w:rsid w:val="00E5790E"/>
    <w:rsid w:val="00E57924"/>
    <w:rsid w:val="00E57976"/>
    <w:rsid w:val="00E579B7"/>
    <w:rsid w:val="00E579CC"/>
    <w:rsid w:val="00E57A3A"/>
    <w:rsid w:val="00E57A69"/>
    <w:rsid w:val="00E57A9E"/>
    <w:rsid w:val="00E57B3D"/>
    <w:rsid w:val="00E57B79"/>
    <w:rsid w:val="00E57BAB"/>
    <w:rsid w:val="00E57BE3"/>
    <w:rsid w:val="00E57BE9"/>
    <w:rsid w:val="00E57C5D"/>
    <w:rsid w:val="00E57C80"/>
    <w:rsid w:val="00E57CE9"/>
    <w:rsid w:val="00E57CFD"/>
    <w:rsid w:val="00E57DB3"/>
    <w:rsid w:val="00E57E5E"/>
    <w:rsid w:val="00E57F49"/>
    <w:rsid w:val="00E57FB1"/>
    <w:rsid w:val="00E60011"/>
    <w:rsid w:val="00E60052"/>
    <w:rsid w:val="00E60067"/>
    <w:rsid w:val="00E60125"/>
    <w:rsid w:val="00E60147"/>
    <w:rsid w:val="00E60163"/>
    <w:rsid w:val="00E60186"/>
    <w:rsid w:val="00E6018C"/>
    <w:rsid w:val="00E601A5"/>
    <w:rsid w:val="00E602AC"/>
    <w:rsid w:val="00E60325"/>
    <w:rsid w:val="00E60330"/>
    <w:rsid w:val="00E6043A"/>
    <w:rsid w:val="00E604CE"/>
    <w:rsid w:val="00E604E2"/>
    <w:rsid w:val="00E6050F"/>
    <w:rsid w:val="00E6058E"/>
    <w:rsid w:val="00E605AB"/>
    <w:rsid w:val="00E605C5"/>
    <w:rsid w:val="00E605D7"/>
    <w:rsid w:val="00E606CB"/>
    <w:rsid w:val="00E606F0"/>
    <w:rsid w:val="00E60937"/>
    <w:rsid w:val="00E609CE"/>
    <w:rsid w:val="00E60A5B"/>
    <w:rsid w:val="00E60A77"/>
    <w:rsid w:val="00E60B46"/>
    <w:rsid w:val="00E60B6C"/>
    <w:rsid w:val="00E60BD2"/>
    <w:rsid w:val="00E60C46"/>
    <w:rsid w:val="00E60D4E"/>
    <w:rsid w:val="00E60D65"/>
    <w:rsid w:val="00E60D7F"/>
    <w:rsid w:val="00E60DAA"/>
    <w:rsid w:val="00E60DC9"/>
    <w:rsid w:val="00E60F25"/>
    <w:rsid w:val="00E60F51"/>
    <w:rsid w:val="00E60F9E"/>
    <w:rsid w:val="00E61047"/>
    <w:rsid w:val="00E61061"/>
    <w:rsid w:val="00E610BE"/>
    <w:rsid w:val="00E61109"/>
    <w:rsid w:val="00E6111B"/>
    <w:rsid w:val="00E61156"/>
    <w:rsid w:val="00E61173"/>
    <w:rsid w:val="00E611A9"/>
    <w:rsid w:val="00E6123F"/>
    <w:rsid w:val="00E6124B"/>
    <w:rsid w:val="00E61272"/>
    <w:rsid w:val="00E612A8"/>
    <w:rsid w:val="00E612F1"/>
    <w:rsid w:val="00E61319"/>
    <w:rsid w:val="00E614A3"/>
    <w:rsid w:val="00E6160A"/>
    <w:rsid w:val="00E61651"/>
    <w:rsid w:val="00E61668"/>
    <w:rsid w:val="00E616A6"/>
    <w:rsid w:val="00E616C9"/>
    <w:rsid w:val="00E61795"/>
    <w:rsid w:val="00E617AC"/>
    <w:rsid w:val="00E618A5"/>
    <w:rsid w:val="00E61921"/>
    <w:rsid w:val="00E61AA2"/>
    <w:rsid w:val="00E61BB2"/>
    <w:rsid w:val="00E61C08"/>
    <w:rsid w:val="00E61C98"/>
    <w:rsid w:val="00E61CAD"/>
    <w:rsid w:val="00E61D42"/>
    <w:rsid w:val="00E61D8A"/>
    <w:rsid w:val="00E61DAA"/>
    <w:rsid w:val="00E61DE1"/>
    <w:rsid w:val="00E61DF9"/>
    <w:rsid w:val="00E61E4B"/>
    <w:rsid w:val="00E61EB1"/>
    <w:rsid w:val="00E61FDB"/>
    <w:rsid w:val="00E61FF9"/>
    <w:rsid w:val="00E62090"/>
    <w:rsid w:val="00E62169"/>
    <w:rsid w:val="00E621CE"/>
    <w:rsid w:val="00E6221C"/>
    <w:rsid w:val="00E622EF"/>
    <w:rsid w:val="00E622F3"/>
    <w:rsid w:val="00E6230E"/>
    <w:rsid w:val="00E623A8"/>
    <w:rsid w:val="00E623F1"/>
    <w:rsid w:val="00E62477"/>
    <w:rsid w:val="00E624F9"/>
    <w:rsid w:val="00E62544"/>
    <w:rsid w:val="00E62563"/>
    <w:rsid w:val="00E62572"/>
    <w:rsid w:val="00E62672"/>
    <w:rsid w:val="00E62675"/>
    <w:rsid w:val="00E626DD"/>
    <w:rsid w:val="00E62726"/>
    <w:rsid w:val="00E62729"/>
    <w:rsid w:val="00E6273A"/>
    <w:rsid w:val="00E627AB"/>
    <w:rsid w:val="00E62855"/>
    <w:rsid w:val="00E6288F"/>
    <w:rsid w:val="00E628BB"/>
    <w:rsid w:val="00E628BC"/>
    <w:rsid w:val="00E62916"/>
    <w:rsid w:val="00E6291D"/>
    <w:rsid w:val="00E62923"/>
    <w:rsid w:val="00E629EF"/>
    <w:rsid w:val="00E62A3E"/>
    <w:rsid w:val="00E62AAC"/>
    <w:rsid w:val="00E62ACB"/>
    <w:rsid w:val="00E62AF1"/>
    <w:rsid w:val="00E62BC4"/>
    <w:rsid w:val="00E62BF5"/>
    <w:rsid w:val="00E62C38"/>
    <w:rsid w:val="00E62C3C"/>
    <w:rsid w:val="00E62C6C"/>
    <w:rsid w:val="00E62CF7"/>
    <w:rsid w:val="00E62D2F"/>
    <w:rsid w:val="00E62D7B"/>
    <w:rsid w:val="00E62DD1"/>
    <w:rsid w:val="00E62E2F"/>
    <w:rsid w:val="00E62E83"/>
    <w:rsid w:val="00E62EA6"/>
    <w:rsid w:val="00E62EC3"/>
    <w:rsid w:val="00E62F43"/>
    <w:rsid w:val="00E62F72"/>
    <w:rsid w:val="00E62F74"/>
    <w:rsid w:val="00E630EE"/>
    <w:rsid w:val="00E63175"/>
    <w:rsid w:val="00E63217"/>
    <w:rsid w:val="00E63218"/>
    <w:rsid w:val="00E6336D"/>
    <w:rsid w:val="00E63377"/>
    <w:rsid w:val="00E6343E"/>
    <w:rsid w:val="00E63482"/>
    <w:rsid w:val="00E634A0"/>
    <w:rsid w:val="00E634C8"/>
    <w:rsid w:val="00E635ED"/>
    <w:rsid w:val="00E635FA"/>
    <w:rsid w:val="00E636A0"/>
    <w:rsid w:val="00E636C3"/>
    <w:rsid w:val="00E636D7"/>
    <w:rsid w:val="00E6371B"/>
    <w:rsid w:val="00E63836"/>
    <w:rsid w:val="00E63848"/>
    <w:rsid w:val="00E63851"/>
    <w:rsid w:val="00E63881"/>
    <w:rsid w:val="00E63A54"/>
    <w:rsid w:val="00E63A6C"/>
    <w:rsid w:val="00E63AC7"/>
    <w:rsid w:val="00E63BA5"/>
    <w:rsid w:val="00E63CAC"/>
    <w:rsid w:val="00E63DA4"/>
    <w:rsid w:val="00E63DFB"/>
    <w:rsid w:val="00E63E08"/>
    <w:rsid w:val="00E63E5E"/>
    <w:rsid w:val="00E63E9A"/>
    <w:rsid w:val="00E63FAB"/>
    <w:rsid w:val="00E63FDE"/>
    <w:rsid w:val="00E64083"/>
    <w:rsid w:val="00E6411F"/>
    <w:rsid w:val="00E64141"/>
    <w:rsid w:val="00E64198"/>
    <w:rsid w:val="00E641B7"/>
    <w:rsid w:val="00E641F1"/>
    <w:rsid w:val="00E64225"/>
    <w:rsid w:val="00E64246"/>
    <w:rsid w:val="00E64274"/>
    <w:rsid w:val="00E642FF"/>
    <w:rsid w:val="00E64335"/>
    <w:rsid w:val="00E6436F"/>
    <w:rsid w:val="00E644E9"/>
    <w:rsid w:val="00E645E9"/>
    <w:rsid w:val="00E6460F"/>
    <w:rsid w:val="00E64881"/>
    <w:rsid w:val="00E64891"/>
    <w:rsid w:val="00E648A0"/>
    <w:rsid w:val="00E648A3"/>
    <w:rsid w:val="00E64A38"/>
    <w:rsid w:val="00E64AB0"/>
    <w:rsid w:val="00E64AE5"/>
    <w:rsid w:val="00E64B51"/>
    <w:rsid w:val="00E64BCA"/>
    <w:rsid w:val="00E64D13"/>
    <w:rsid w:val="00E64D3C"/>
    <w:rsid w:val="00E64F94"/>
    <w:rsid w:val="00E64FC1"/>
    <w:rsid w:val="00E64FC4"/>
    <w:rsid w:val="00E65056"/>
    <w:rsid w:val="00E6505B"/>
    <w:rsid w:val="00E650AB"/>
    <w:rsid w:val="00E650FD"/>
    <w:rsid w:val="00E65154"/>
    <w:rsid w:val="00E65188"/>
    <w:rsid w:val="00E651C6"/>
    <w:rsid w:val="00E651EB"/>
    <w:rsid w:val="00E653A6"/>
    <w:rsid w:val="00E653D5"/>
    <w:rsid w:val="00E6541E"/>
    <w:rsid w:val="00E654AC"/>
    <w:rsid w:val="00E654F0"/>
    <w:rsid w:val="00E65506"/>
    <w:rsid w:val="00E65512"/>
    <w:rsid w:val="00E655B1"/>
    <w:rsid w:val="00E65686"/>
    <w:rsid w:val="00E6568A"/>
    <w:rsid w:val="00E6569B"/>
    <w:rsid w:val="00E656C4"/>
    <w:rsid w:val="00E657A1"/>
    <w:rsid w:val="00E657AC"/>
    <w:rsid w:val="00E657EE"/>
    <w:rsid w:val="00E65877"/>
    <w:rsid w:val="00E658A2"/>
    <w:rsid w:val="00E65951"/>
    <w:rsid w:val="00E65994"/>
    <w:rsid w:val="00E65A08"/>
    <w:rsid w:val="00E65A33"/>
    <w:rsid w:val="00E65AA6"/>
    <w:rsid w:val="00E65AAE"/>
    <w:rsid w:val="00E65B29"/>
    <w:rsid w:val="00E65B2A"/>
    <w:rsid w:val="00E65B4D"/>
    <w:rsid w:val="00E65B8A"/>
    <w:rsid w:val="00E65BAB"/>
    <w:rsid w:val="00E65BC4"/>
    <w:rsid w:val="00E65BC5"/>
    <w:rsid w:val="00E65BE9"/>
    <w:rsid w:val="00E65BEF"/>
    <w:rsid w:val="00E65C04"/>
    <w:rsid w:val="00E65D49"/>
    <w:rsid w:val="00E65D97"/>
    <w:rsid w:val="00E65E2F"/>
    <w:rsid w:val="00E65E6C"/>
    <w:rsid w:val="00E65ED8"/>
    <w:rsid w:val="00E65EF2"/>
    <w:rsid w:val="00E65FC3"/>
    <w:rsid w:val="00E6605A"/>
    <w:rsid w:val="00E66102"/>
    <w:rsid w:val="00E661F1"/>
    <w:rsid w:val="00E662CE"/>
    <w:rsid w:val="00E66443"/>
    <w:rsid w:val="00E66489"/>
    <w:rsid w:val="00E6648D"/>
    <w:rsid w:val="00E664D1"/>
    <w:rsid w:val="00E66584"/>
    <w:rsid w:val="00E665A3"/>
    <w:rsid w:val="00E6660F"/>
    <w:rsid w:val="00E6662E"/>
    <w:rsid w:val="00E6667E"/>
    <w:rsid w:val="00E666A1"/>
    <w:rsid w:val="00E66720"/>
    <w:rsid w:val="00E66739"/>
    <w:rsid w:val="00E667EF"/>
    <w:rsid w:val="00E668AE"/>
    <w:rsid w:val="00E66A11"/>
    <w:rsid w:val="00E66A26"/>
    <w:rsid w:val="00E66AD6"/>
    <w:rsid w:val="00E66C2A"/>
    <w:rsid w:val="00E66CF2"/>
    <w:rsid w:val="00E66D99"/>
    <w:rsid w:val="00E66DC2"/>
    <w:rsid w:val="00E66DF6"/>
    <w:rsid w:val="00E66E7A"/>
    <w:rsid w:val="00E66F07"/>
    <w:rsid w:val="00E66F53"/>
    <w:rsid w:val="00E66F5C"/>
    <w:rsid w:val="00E6702A"/>
    <w:rsid w:val="00E67192"/>
    <w:rsid w:val="00E671C1"/>
    <w:rsid w:val="00E67243"/>
    <w:rsid w:val="00E672DC"/>
    <w:rsid w:val="00E672F1"/>
    <w:rsid w:val="00E67386"/>
    <w:rsid w:val="00E673A1"/>
    <w:rsid w:val="00E673B3"/>
    <w:rsid w:val="00E673FE"/>
    <w:rsid w:val="00E6744F"/>
    <w:rsid w:val="00E674C4"/>
    <w:rsid w:val="00E67514"/>
    <w:rsid w:val="00E67530"/>
    <w:rsid w:val="00E6760A"/>
    <w:rsid w:val="00E67618"/>
    <w:rsid w:val="00E67707"/>
    <w:rsid w:val="00E6774B"/>
    <w:rsid w:val="00E6775B"/>
    <w:rsid w:val="00E6783E"/>
    <w:rsid w:val="00E67857"/>
    <w:rsid w:val="00E6789B"/>
    <w:rsid w:val="00E678A4"/>
    <w:rsid w:val="00E678C2"/>
    <w:rsid w:val="00E678EF"/>
    <w:rsid w:val="00E678F8"/>
    <w:rsid w:val="00E67935"/>
    <w:rsid w:val="00E67988"/>
    <w:rsid w:val="00E67A95"/>
    <w:rsid w:val="00E67A99"/>
    <w:rsid w:val="00E67AD0"/>
    <w:rsid w:val="00E67B3B"/>
    <w:rsid w:val="00E67B87"/>
    <w:rsid w:val="00E67C02"/>
    <w:rsid w:val="00E67C42"/>
    <w:rsid w:val="00E67D10"/>
    <w:rsid w:val="00E67DAB"/>
    <w:rsid w:val="00E67E4F"/>
    <w:rsid w:val="00E67E73"/>
    <w:rsid w:val="00E67ECD"/>
    <w:rsid w:val="00E67F43"/>
    <w:rsid w:val="00E67FB0"/>
    <w:rsid w:val="00E6D5B3"/>
    <w:rsid w:val="00E70008"/>
    <w:rsid w:val="00E7005F"/>
    <w:rsid w:val="00E70193"/>
    <w:rsid w:val="00E70216"/>
    <w:rsid w:val="00E70367"/>
    <w:rsid w:val="00E703EC"/>
    <w:rsid w:val="00E7040E"/>
    <w:rsid w:val="00E7042C"/>
    <w:rsid w:val="00E70439"/>
    <w:rsid w:val="00E705CA"/>
    <w:rsid w:val="00E705EF"/>
    <w:rsid w:val="00E70654"/>
    <w:rsid w:val="00E706AA"/>
    <w:rsid w:val="00E70731"/>
    <w:rsid w:val="00E707BF"/>
    <w:rsid w:val="00E7081E"/>
    <w:rsid w:val="00E70853"/>
    <w:rsid w:val="00E708A0"/>
    <w:rsid w:val="00E708DE"/>
    <w:rsid w:val="00E70914"/>
    <w:rsid w:val="00E70920"/>
    <w:rsid w:val="00E70951"/>
    <w:rsid w:val="00E709B1"/>
    <w:rsid w:val="00E70AD3"/>
    <w:rsid w:val="00E70ADD"/>
    <w:rsid w:val="00E70B03"/>
    <w:rsid w:val="00E70BCC"/>
    <w:rsid w:val="00E70BCF"/>
    <w:rsid w:val="00E70C04"/>
    <w:rsid w:val="00E70C0D"/>
    <w:rsid w:val="00E70C43"/>
    <w:rsid w:val="00E70D15"/>
    <w:rsid w:val="00E70D23"/>
    <w:rsid w:val="00E70D71"/>
    <w:rsid w:val="00E70D98"/>
    <w:rsid w:val="00E70DBD"/>
    <w:rsid w:val="00E70DC6"/>
    <w:rsid w:val="00E70DDA"/>
    <w:rsid w:val="00E70E21"/>
    <w:rsid w:val="00E70E34"/>
    <w:rsid w:val="00E70E3F"/>
    <w:rsid w:val="00E70E72"/>
    <w:rsid w:val="00E70E7F"/>
    <w:rsid w:val="00E70ECF"/>
    <w:rsid w:val="00E70EF8"/>
    <w:rsid w:val="00E70F48"/>
    <w:rsid w:val="00E710C5"/>
    <w:rsid w:val="00E710CB"/>
    <w:rsid w:val="00E710E9"/>
    <w:rsid w:val="00E711C9"/>
    <w:rsid w:val="00E711D6"/>
    <w:rsid w:val="00E71226"/>
    <w:rsid w:val="00E712CA"/>
    <w:rsid w:val="00E7133E"/>
    <w:rsid w:val="00E71381"/>
    <w:rsid w:val="00E71382"/>
    <w:rsid w:val="00E71385"/>
    <w:rsid w:val="00E713EB"/>
    <w:rsid w:val="00E7144F"/>
    <w:rsid w:val="00E714F2"/>
    <w:rsid w:val="00E71535"/>
    <w:rsid w:val="00E71605"/>
    <w:rsid w:val="00E71648"/>
    <w:rsid w:val="00E716B7"/>
    <w:rsid w:val="00E71859"/>
    <w:rsid w:val="00E71980"/>
    <w:rsid w:val="00E719BE"/>
    <w:rsid w:val="00E719E8"/>
    <w:rsid w:val="00E71A8C"/>
    <w:rsid w:val="00E71AB7"/>
    <w:rsid w:val="00E71B5B"/>
    <w:rsid w:val="00E71BFC"/>
    <w:rsid w:val="00E71C35"/>
    <w:rsid w:val="00E71CA4"/>
    <w:rsid w:val="00E71D90"/>
    <w:rsid w:val="00E71DDD"/>
    <w:rsid w:val="00E71DEF"/>
    <w:rsid w:val="00E71EEA"/>
    <w:rsid w:val="00E71EEE"/>
    <w:rsid w:val="00E71F1F"/>
    <w:rsid w:val="00E71F67"/>
    <w:rsid w:val="00E71F68"/>
    <w:rsid w:val="00E71F6B"/>
    <w:rsid w:val="00E71F7B"/>
    <w:rsid w:val="00E71FA1"/>
    <w:rsid w:val="00E71FDF"/>
    <w:rsid w:val="00E71FE3"/>
    <w:rsid w:val="00E71FEB"/>
    <w:rsid w:val="00E7208F"/>
    <w:rsid w:val="00E72095"/>
    <w:rsid w:val="00E720A5"/>
    <w:rsid w:val="00E720DE"/>
    <w:rsid w:val="00E720FC"/>
    <w:rsid w:val="00E721A6"/>
    <w:rsid w:val="00E721F6"/>
    <w:rsid w:val="00E72242"/>
    <w:rsid w:val="00E7231F"/>
    <w:rsid w:val="00E72342"/>
    <w:rsid w:val="00E72360"/>
    <w:rsid w:val="00E7239F"/>
    <w:rsid w:val="00E7244A"/>
    <w:rsid w:val="00E72522"/>
    <w:rsid w:val="00E725C1"/>
    <w:rsid w:val="00E7261F"/>
    <w:rsid w:val="00E72687"/>
    <w:rsid w:val="00E72786"/>
    <w:rsid w:val="00E727E8"/>
    <w:rsid w:val="00E72908"/>
    <w:rsid w:val="00E7297D"/>
    <w:rsid w:val="00E7298B"/>
    <w:rsid w:val="00E729FE"/>
    <w:rsid w:val="00E72A0E"/>
    <w:rsid w:val="00E72A44"/>
    <w:rsid w:val="00E72A47"/>
    <w:rsid w:val="00E72A50"/>
    <w:rsid w:val="00E72ACD"/>
    <w:rsid w:val="00E72B26"/>
    <w:rsid w:val="00E72B45"/>
    <w:rsid w:val="00E72B5A"/>
    <w:rsid w:val="00E72B64"/>
    <w:rsid w:val="00E72CCE"/>
    <w:rsid w:val="00E72D01"/>
    <w:rsid w:val="00E72D63"/>
    <w:rsid w:val="00E72D89"/>
    <w:rsid w:val="00E72EB6"/>
    <w:rsid w:val="00E72F07"/>
    <w:rsid w:val="00E72F7F"/>
    <w:rsid w:val="00E7308B"/>
    <w:rsid w:val="00E73152"/>
    <w:rsid w:val="00E7317C"/>
    <w:rsid w:val="00E731AF"/>
    <w:rsid w:val="00E731B1"/>
    <w:rsid w:val="00E7332D"/>
    <w:rsid w:val="00E734C1"/>
    <w:rsid w:val="00E7353E"/>
    <w:rsid w:val="00E73690"/>
    <w:rsid w:val="00E736E5"/>
    <w:rsid w:val="00E7379C"/>
    <w:rsid w:val="00E73858"/>
    <w:rsid w:val="00E738E8"/>
    <w:rsid w:val="00E7390F"/>
    <w:rsid w:val="00E7391D"/>
    <w:rsid w:val="00E73937"/>
    <w:rsid w:val="00E739A6"/>
    <w:rsid w:val="00E739EE"/>
    <w:rsid w:val="00E739FF"/>
    <w:rsid w:val="00E73A08"/>
    <w:rsid w:val="00E73B18"/>
    <w:rsid w:val="00E73BCD"/>
    <w:rsid w:val="00E73BCF"/>
    <w:rsid w:val="00E73BFF"/>
    <w:rsid w:val="00E73C1E"/>
    <w:rsid w:val="00E73CED"/>
    <w:rsid w:val="00E73CF2"/>
    <w:rsid w:val="00E73D09"/>
    <w:rsid w:val="00E73D99"/>
    <w:rsid w:val="00E73DA3"/>
    <w:rsid w:val="00E73E0B"/>
    <w:rsid w:val="00E73E5E"/>
    <w:rsid w:val="00E73F6A"/>
    <w:rsid w:val="00E73FA3"/>
    <w:rsid w:val="00E74024"/>
    <w:rsid w:val="00E740DB"/>
    <w:rsid w:val="00E7416A"/>
    <w:rsid w:val="00E74200"/>
    <w:rsid w:val="00E7424B"/>
    <w:rsid w:val="00E742CD"/>
    <w:rsid w:val="00E742CE"/>
    <w:rsid w:val="00E74315"/>
    <w:rsid w:val="00E7432A"/>
    <w:rsid w:val="00E7433D"/>
    <w:rsid w:val="00E7435E"/>
    <w:rsid w:val="00E74398"/>
    <w:rsid w:val="00E743A7"/>
    <w:rsid w:val="00E744F3"/>
    <w:rsid w:val="00E74563"/>
    <w:rsid w:val="00E7459D"/>
    <w:rsid w:val="00E745A1"/>
    <w:rsid w:val="00E745AE"/>
    <w:rsid w:val="00E745C5"/>
    <w:rsid w:val="00E745F9"/>
    <w:rsid w:val="00E746C8"/>
    <w:rsid w:val="00E746E2"/>
    <w:rsid w:val="00E74720"/>
    <w:rsid w:val="00E7472D"/>
    <w:rsid w:val="00E74747"/>
    <w:rsid w:val="00E7477E"/>
    <w:rsid w:val="00E7479B"/>
    <w:rsid w:val="00E74870"/>
    <w:rsid w:val="00E748A8"/>
    <w:rsid w:val="00E74988"/>
    <w:rsid w:val="00E74A9A"/>
    <w:rsid w:val="00E74AED"/>
    <w:rsid w:val="00E74AF0"/>
    <w:rsid w:val="00E74B29"/>
    <w:rsid w:val="00E74BE2"/>
    <w:rsid w:val="00E74BF4"/>
    <w:rsid w:val="00E74CD8"/>
    <w:rsid w:val="00E74D19"/>
    <w:rsid w:val="00E74D4B"/>
    <w:rsid w:val="00E74DAD"/>
    <w:rsid w:val="00E74DD6"/>
    <w:rsid w:val="00E74E87"/>
    <w:rsid w:val="00E74EEA"/>
    <w:rsid w:val="00E74F41"/>
    <w:rsid w:val="00E74FA6"/>
    <w:rsid w:val="00E74FFE"/>
    <w:rsid w:val="00E75003"/>
    <w:rsid w:val="00E75020"/>
    <w:rsid w:val="00E75055"/>
    <w:rsid w:val="00E7509C"/>
    <w:rsid w:val="00E750B2"/>
    <w:rsid w:val="00E7512F"/>
    <w:rsid w:val="00E75135"/>
    <w:rsid w:val="00E75165"/>
    <w:rsid w:val="00E751FB"/>
    <w:rsid w:val="00E75355"/>
    <w:rsid w:val="00E75435"/>
    <w:rsid w:val="00E756EF"/>
    <w:rsid w:val="00E7571D"/>
    <w:rsid w:val="00E7576E"/>
    <w:rsid w:val="00E758F6"/>
    <w:rsid w:val="00E75918"/>
    <w:rsid w:val="00E7599A"/>
    <w:rsid w:val="00E75B7C"/>
    <w:rsid w:val="00E75BE2"/>
    <w:rsid w:val="00E75BF2"/>
    <w:rsid w:val="00E75C7A"/>
    <w:rsid w:val="00E75CA7"/>
    <w:rsid w:val="00E75CDC"/>
    <w:rsid w:val="00E75E69"/>
    <w:rsid w:val="00E75F33"/>
    <w:rsid w:val="00E75F90"/>
    <w:rsid w:val="00E75FCB"/>
    <w:rsid w:val="00E75FD8"/>
    <w:rsid w:val="00E75FF3"/>
    <w:rsid w:val="00E76057"/>
    <w:rsid w:val="00E76078"/>
    <w:rsid w:val="00E762A7"/>
    <w:rsid w:val="00E76417"/>
    <w:rsid w:val="00E76426"/>
    <w:rsid w:val="00E76449"/>
    <w:rsid w:val="00E764E0"/>
    <w:rsid w:val="00E765E3"/>
    <w:rsid w:val="00E76606"/>
    <w:rsid w:val="00E76617"/>
    <w:rsid w:val="00E7665A"/>
    <w:rsid w:val="00E7668B"/>
    <w:rsid w:val="00E76693"/>
    <w:rsid w:val="00E76695"/>
    <w:rsid w:val="00E76715"/>
    <w:rsid w:val="00E76716"/>
    <w:rsid w:val="00E7677B"/>
    <w:rsid w:val="00E767CB"/>
    <w:rsid w:val="00E767D1"/>
    <w:rsid w:val="00E76871"/>
    <w:rsid w:val="00E768BA"/>
    <w:rsid w:val="00E768C6"/>
    <w:rsid w:val="00E769A7"/>
    <w:rsid w:val="00E769D6"/>
    <w:rsid w:val="00E76A3A"/>
    <w:rsid w:val="00E76A6E"/>
    <w:rsid w:val="00E76B53"/>
    <w:rsid w:val="00E76B67"/>
    <w:rsid w:val="00E76BFF"/>
    <w:rsid w:val="00E76C03"/>
    <w:rsid w:val="00E76C1A"/>
    <w:rsid w:val="00E76DB1"/>
    <w:rsid w:val="00E76E0E"/>
    <w:rsid w:val="00E76E3F"/>
    <w:rsid w:val="00E76E57"/>
    <w:rsid w:val="00E76E6A"/>
    <w:rsid w:val="00E76EAB"/>
    <w:rsid w:val="00E76EBF"/>
    <w:rsid w:val="00E76FBC"/>
    <w:rsid w:val="00E77086"/>
    <w:rsid w:val="00E771A1"/>
    <w:rsid w:val="00E7720A"/>
    <w:rsid w:val="00E77211"/>
    <w:rsid w:val="00E7725C"/>
    <w:rsid w:val="00E7730B"/>
    <w:rsid w:val="00E773FC"/>
    <w:rsid w:val="00E773FF"/>
    <w:rsid w:val="00E7741F"/>
    <w:rsid w:val="00E77482"/>
    <w:rsid w:val="00E7748F"/>
    <w:rsid w:val="00E77491"/>
    <w:rsid w:val="00E774BA"/>
    <w:rsid w:val="00E77543"/>
    <w:rsid w:val="00E776A6"/>
    <w:rsid w:val="00E776AB"/>
    <w:rsid w:val="00E776F5"/>
    <w:rsid w:val="00E77719"/>
    <w:rsid w:val="00E77742"/>
    <w:rsid w:val="00E77765"/>
    <w:rsid w:val="00E77815"/>
    <w:rsid w:val="00E77851"/>
    <w:rsid w:val="00E7786D"/>
    <w:rsid w:val="00E77884"/>
    <w:rsid w:val="00E77892"/>
    <w:rsid w:val="00E77955"/>
    <w:rsid w:val="00E7797B"/>
    <w:rsid w:val="00E779AF"/>
    <w:rsid w:val="00E77A0C"/>
    <w:rsid w:val="00E77A16"/>
    <w:rsid w:val="00E77B4F"/>
    <w:rsid w:val="00E77B53"/>
    <w:rsid w:val="00E77BAC"/>
    <w:rsid w:val="00E77C0C"/>
    <w:rsid w:val="00E77C0F"/>
    <w:rsid w:val="00E77D05"/>
    <w:rsid w:val="00E77D24"/>
    <w:rsid w:val="00E77EA4"/>
    <w:rsid w:val="00E77EEE"/>
    <w:rsid w:val="00E77EF2"/>
    <w:rsid w:val="00E77FD7"/>
    <w:rsid w:val="00E7A669"/>
    <w:rsid w:val="00E8001E"/>
    <w:rsid w:val="00E8017E"/>
    <w:rsid w:val="00E801B1"/>
    <w:rsid w:val="00E801D0"/>
    <w:rsid w:val="00E801E4"/>
    <w:rsid w:val="00E801F7"/>
    <w:rsid w:val="00E80285"/>
    <w:rsid w:val="00E802DC"/>
    <w:rsid w:val="00E8030F"/>
    <w:rsid w:val="00E8031D"/>
    <w:rsid w:val="00E80331"/>
    <w:rsid w:val="00E8034F"/>
    <w:rsid w:val="00E8037A"/>
    <w:rsid w:val="00E803BB"/>
    <w:rsid w:val="00E80491"/>
    <w:rsid w:val="00E804F5"/>
    <w:rsid w:val="00E80597"/>
    <w:rsid w:val="00E805B7"/>
    <w:rsid w:val="00E80660"/>
    <w:rsid w:val="00E806AD"/>
    <w:rsid w:val="00E8070E"/>
    <w:rsid w:val="00E80769"/>
    <w:rsid w:val="00E807BD"/>
    <w:rsid w:val="00E8080D"/>
    <w:rsid w:val="00E8092B"/>
    <w:rsid w:val="00E8094C"/>
    <w:rsid w:val="00E8097A"/>
    <w:rsid w:val="00E809B2"/>
    <w:rsid w:val="00E809CA"/>
    <w:rsid w:val="00E809CD"/>
    <w:rsid w:val="00E809D3"/>
    <w:rsid w:val="00E809EC"/>
    <w:rsid w:val="00E80A26"/>
    <w:rsid w:val="00E80B22"/>
    <w:rsid w:val="00E80B24"/>
    <w:rsid w:val="00E80BC2"/>
    <w:rsid w:val="00E80BEB"/>
    <w:rsid w:val="00E80C1F"/>
    <w:rsid w:val="00E80C39"/>
    <w:rsid w:val="00E80DDC"/>
    <w:rsid w:val="00E80DE3"/>
    <w:rsid w:val="00E80E13"/>
    <w:rsid w:val="00E80E55"/>
    <w:rsid w:val="00E80E59"/>
    <w:rsid w:val="00E80E6D"/>
    <w:rsid w:val="00E80E9D"/>
    <w:rsid w:val="00E80EBA"/>
    <w:rsid w:val="00E80EE2"/>
    <w:rsid w:val="00E80F98"/>
    <w:rsid w:val="00E81087"/>
    <w:rsid w:val="00E81149"/>
    <w:rsid w:val="00E81173"/>
    <w:rsid w:val="00E81175"/>
    <w:rsid w:val="00E81226"/>
    <w:rsid w:val="00E81243"/>
    <w:rsid w:val="00E81288"/>
    <w:rsid w:val="00E8130C"/>
    <w:rsid w:val="00E81387"/>
    <w:rsid w:val="00E813AC"/>
    <w:rsid w:val="00E8140A"/>
    <w:rsid w:val="00E8143A"/>
    <w:rsid w:val="00E814A1"/>
    <w:rsid w:val="00E814A6"/>
    <w:rsid w:val="00E814B3"/>
    <w:rsid w:val="00E8151F"/>
    <w:rsid w:val="00E81579"/>
    <w:rsid w:val="00E81598"/>
    <w:rsid w:val="00E815AD"/>
    <w:rsid w:val="00E815DC"/>
    <w:rsid w:val="00E815E5"/>
    <w:rsid w:val="00E8167B"/>
    <w:rsid w:val="00E816B3"/>
    <w:rsid w:val="00E816DC"/>
    <w:rsid w:val="00E8175B"/>
    <w:rsid w:val="00E8178E"/>
    <w:rsid w:val="00E818A1"/>
    <w:rsid w:val="00E818C5"/>
    <w:rsid w:val="00E81935"/>
    <w:rsid w:val="00E81957"/>
    <w:rsid w:val="00E8198F"/>
    <w:rsid w:val="00E819E1"/>
    <w:rsid w:val="00E81AB2"/>
    <w:rsid w:val="00E81BE4"/>
    <w:rsid w:val="00E81C0D"/>
    <w:rsid w:val="00E81C9A"/>
    <w:rsid w:val="00E81D08"/>
    <w:rsid w:val="00E81D2E"/>
    <w:rsid w:val="00E81DAB"/>
    <w:rsid w:val="00E81ED1"/>
    <w:rsid w:val="00E81F00"/>
    <w:rsid w:val="00E81F12"/>
    <w:rsid w:val="00E81FA1"/>
    <w:rsid w:val="00E81FCE"/>
    <w:rsid w:val="00E81FD4"/>
    <w:rsid w:val="00E82007"/>
    <w:rsid w:val="00E82086"/>
    <w:rsid w:val="00E82095"/>
    <w:rsid w:val="00E8213E"/>
    <w:rsid w:val="00E822D6"/>
    <w:rsid w:val="00E82314"/>
    <w:rsid w:val="00E8232D"/>
    <w:rsid w:val="00E82389"/>
    <w:rsid w:val="00E823CB"/>
    <w:rsid w:val="00E823EE"/>
    <w:rsid w:val="00E82402"/>
    <w:rsid w:val="00E8240D"/>
    <w:rsid w:val="00E82421"/>
    <w:rsid w:val="00E82469"/>
    <w:rsid w:val="00E8246F"/>
    <w:rsid w:val="00E824BA"/>
    <w:rsid w:val="00E824F2"/>
    <w:rsid w:val="00E8268C"/>
    <w:rsid w:val="00E82710"/>
    <w:rsid w:val="00E82926"/>
    <w:rsid w:val="00E82998"/>
    <w:rsid w:val="00E82B80"/>
    <w:rsid w:val="00E82BFA"/>
    <w:rsid w:val="00E82C02"/>
    <w:rsid w:val="00E82C60"/>
    <w:rsid w:val="00E82C63"/>
    <w:rsid w:val="00E82D22"/>
    <w:rsid w:val="00E82D24"/>
    <w:rsid w:val="00E82D26"/>
    <w:rsid w:val="00E82D2A"/>
    <w:rsid w:val="00E82D36"/>
    <w:rsid w:val="00E82D48"/>
    <w:rsid w:val="00E82DA7"/>
    <w:rsid w:val="00E82DAF"/>
    <w:rsid w:val="00E82E09"/>
    <w:rsid w:val="00E82E1F"/>
    <w:rsid w:val="00E82E22"/>
    <w:rsid w:val="00E82EEB"/>
    <w:rsid w:val="00E82F72"/>
    <w:rsid w:val="00E82FC3"/>
    <w:rsid w:val="00E83020"/>
    <w:rsid w:val="00E8307E"/>
    <w:rsid w:val="00E830F2"/>
    <w:rsid w:val="00E83110"/>
    <w:rsid w:val="00E8312B"/>
    <w:rsid w:val="00E8325F"/>
    <w:rsid w:val="00E83265"/>
    <w:rsid w:val="00E83272"/>
    <w:rsid w:val="00E83280"/>
    <w:rsid w:val="00E83295"/>
    <w:rsid w:val="00E832B0"/>
    <w:rsid w:val="00E832BC"/>
    <w:rsid w:val="00E832D9"/>
    <w:rsid w:val="00E833C3"/>
    <w:rsid w:val="00E8341F"/>
    <w:rsid w:val="00E8342F"/>
    <w:rsid w:val="00E83448"/>
    <w:rsid w:val="00E834B4"/>
    <w:rsid w:val="00E8369B"/>
    <w:rsid w:val="00E8371C"/>
    <w:rsid w:val="00E83724"/>
    <w:rsid w:val="00E83779"/>
    <w:rsid w:val="00E83794"/>
    <w:rsid w:val="00E837E4"/>
    <w:rsid w:val="00E837E5"/>
    <w:rsid w:val="00E8382B"/>
    <w:rsid w:val="00E83888"/>
    <w:rsid w:val="00E8388D"/>
    <w:rsid w:val="00E8391E"/>
    <w:rsid w:val="00E8392D"/>
    <w:rsid w:val="00E8399C"/>
    <w:rsid w:val="00E839EA"/>
    <w:rsid w:val="00E839F1"/>
    <w:rsid w:val="00E839FC"/>
    <w:rsid w:val="00E839FF"/>
    <w:rsid w:val="00E83A01"/>
    <w:rsid w:val="00E83A05"/>
    <w:rsid w:val="00E83A48"/>
    <w:rsid w:val="00E83A85"/>
    <w:rsid w:val="00E83A92"/>
    <w:rsid w:val="00E83AA1"/>
    <w:rsid w:val="00E83B58"/>
    <w:rsid w:val="00E83BC4"/>
    <w:rsid w:val="00E83C2E"/>
    <w:rsid w:val="00E83C68"/>
    <w:rsid w:val="00E83CDA"/>
    <w:rsid w:val="00E83CFE"/>
    <w:rsid w:val="00E83DAA"/>
    <w:rsid w:val="00E83DD0"/>
    <w:rsid w:val="00E83DD5"/>
    <w:rsid w:val="00E83E8E"/>
    <w:rsid w:val="00E83EE0"/>
    <w:rsid w:val="00E83FF5"/>
    <w:rsid w:val="00E8402C"/>
    <w:rsid w:val="00E84050"/>
    <w:rsid w:val="00E84079"/>
    <w:rsid w:val="00E8409C"/>
    <w:rsid w:val="00E84124"/>
    <w:rsid w:val="00E84128"/>
    <w:rsid w:val="00E84179"/>
    <w:rsid w:val="00E8425C"/>
    <w:rsid w:val="00E843B6"/>
    <w:rsid w:val="00E843F0"/>
    <w:rsid w:val="00E84424"/>
    <w:rsid w:val="00E8444C"/>
    <w:rsid w:val="00E84496"/>
    <w:rsid w:val="00E8451E"/>
    <w:rsid w:val="00E84546"/>
    <w:rsid w:val="00E845E6"/>
    <w:rsid w:val="00E8461D"/>
    <w:rsid w:val="00E84689"/>
    <w:rsid w:val="00E8468C"/>
    <w:rsid w:val="00E846E7"/>
    <w:rsid w:val="00E846EC"/>
    <w:rsid w:val="00E84732"/>
    <w:rsid w:val="00E84783"/>
    <w:rsid w:val="00E847AA"/>
    <w:rsid w:val="00E847BE"/>
    <w:rsid w:val="00E847D8"/>
    <w:rsid w:val="00E8485B"/>
    <w:rsid w:val="00E8492C"/>
    <w:rsid w:val="00E8497D"/>
    <w:rsid w:val="00E84980"/>
    <w:rsid w:val="00E84A89"/>
    <w:rsid w:val="00E84A9C"/>
    <w:rsid w:val="00E84AC0"/>
    <w:rsid w:val="00E84B20"/>
    <w:rsid w:val="00E84B79"/>
    <w:rsid w:val="00E84C8C"/>
    <w:rsid w:val="00E84CD0"/>
    <w:rsid w:val="00E84D07"/>
    <w:rsid w:val="00E84D67"/>
    <w:rsid w:val="00E84DB7"/>
    <w:rsid w:val="00E84DE0"/>
    <w:rsid w:val="00E84E21"/>
    <w:rsid w:val="00E84E64"/>
    <w:rsid w:val="00E84EF4"/>
    <w:rsid w:val="00E84F05"/>
    <w:rsid w:val="00E84F1A"/>
    <w:rsid w:val="00E84F5F"/>
    <w:rsid w:val="00E84FA1"/>
    <w:rsid w:val="00E84FB7"/>
    <w:rsid w:val="00E84FFF"/>
    <w:rsid w:val="00E85012"/>
    <w:rsid w:val="00E8509F"/>
    <w:rsid w:val="00E850C1"/>
    <w:rsid w:val="00E85124"/>
    <w:rsid w:val="00E851AD"/>
    <w:rsid w:val="00E851E1"/>
    <w:rsid w:val="00E851E3"/>
    <w:rsid w:val="00E852D5"/>
    <w:rsid w:val="00E85356"/>
    <w:rsid w:val="00E85389"/>
    <w:rsid w:val="00E853B7"/>
    <w:rsid w:val="00E853D2"/>
    <w:rsid w:val="00E854F9"/>
    <w:rsid w:val="00E85508"/>
    <w:rsid w:val="00E85597"/>
    <w:rsid w:val="00E85677"/>
    <w:rsid w:val="00E8569E"/>
    <w:rsid w:val="00E8580B"/>
    <w:rsid w:val="00E8583B"/>
    <w:rsid w:val="00E858EB"/>
    <w:rsid w:val="00E858F8"/>
    <w:rsid w:val="00E859A8"/>
    <w:rsid w:val="00E859EE"/>
    <w:rsid w:val="00E85A86"/>
    <w:rsid w:val="00E85AA1"/>
    <w:rsid w:val="00E85BB7"/>
    <w:rsid w:val="00E85BFE"/>
    <w:rsid w:val="00E85C30"/>
    <w:rsid w:val="00E85CB1"/>
    <w:rsid w:val="00E85CB4"/>
    <w:rsid w:val="00E85CFA"/>
    <w:rsid w:val="00E85D1C"/>
    <w:rsid w:val="00E85D2B"/>
    <w:rsid w:val="00E85E73"/>
    <w:rsid w:val="00E85E7D"/>
    <w:rsid w:val="00E85EC7"/>
    <w:rsid w:val="00E85F1C"/>
    <w:rsid w:val="00E86029"/>
    <w:rsid w:val="00E86057"/>
    <w:rsid w:val="00E8605D"/>
    <w:rsid w:val="00E8608B"/>
    <w:rsid w:val="00E860DF"/>
    <w:rsid w:val="00E86102"/>
    <w:rsid w:val="00E861CB"/>
    <w:rsid w:val="00E861D4"/>
    <w:rsid w:val="00E86238"/>
    <w:rsid w:val="00E8625D"/>
    <w:rsid w:val="00E8629A"/>
    <w:rsid w:val="00E86332"/>
    <w:rsid w:val="00E8643B"/>
    <w:rsid w:val="00E86521"/>
    <w:rsid w:val="00E865DF"/>
    <w:rsid w:val="00E865E5"/>
    <w:rsid w:val="00E8660B"/>
    <w:rsid w:val="00E86620"/>
    <w:rsid w:val="00E8664E"/>
    <w:rsid w:val="00E866CE"/>
    <w:rsid w:val="00E86788"/>
    <w:rsid w:val="00E867A7"/>
    <w:rsid w:val="00E867E7"/>
    <w:rsid w:val="00E8690D"/>
    <w:rsid w:val="00E8691A"/>
    <w:rsid w:val="00E8691C"/>
    <w:rsid w:val="00E86930"/>
    <w:rsid w:val="00E86958"/>
    <w:rsid w:val="00E86A2B"/>
    <w:rsid w:val="00E86A96"/>
    <w:rsid w:val="00E86AF5"/>
    <w:rsid w:val="00E86C36"/>
    <w:rsid w:val="00E86C84"/>
    <w:rsid w:val="00E86CF7"/>
    <w:rsid w:val="00E86D3A"/>
    <w:rsid w:val="00E86E54"/>
    <w:rsid w:val="00E86ED0"/>
    <w:rsid w:val="00E86EF7"/>
    <w:rsid w:val="00E87026"/>
    <w:rsid w:val="00E8707D"/>
    <w:rsid w:val="00E870A7"/>
    <w:rsid w:val="00E870B2"/>
    <w:rsid w:val="00E870D2"/>
    <w:rsid w:val="00E870DB"/>
    <w:rsid w:val="00E870E7"/>
    <w:rsid w:val="00E87232"/>
    <w:rsid w:val="00E872E7"/>
    <w:rsid w:val="00E87385"/>
    <w:rsid w:val="00E8739F"/>
    <w:rsid w:val="00E87446"/>
    <w:rsid w:val="00E8749F"/>
    <w:rsid w:val="00E874A4"/>
    <w:rsid w:val="00E87525"/>
    <w:rsid w:val="00E87575"/>
    <w:rsid w:val="00E875EA"/>
    <w:rsid w:val="00E87618"/>
    <w:rsid w:val="00E876B8"/>
    <w:rsid w:val="00E87735"/>
    <w:rsid w:val="00E87881"/>
    <w:rsid w:val="00E87A2E"/>
    <w:rsid w:val="00E87AE1"/>
    <w:rsid w:val="00E87B1F"/>
    <w:rsid w:val="00E87B52"/>
    <w:rsid w:val="00E87B66"/>
    <w:rsid w:val="00E87BF8"/>
    <w:rsid w:val="00E87C83"/>
    <w:rsid w:val="00E87C92"/>
    <w:rsid w:val="00E87CC9"/>
    <w:rsid w:val="00E87CF8"/>
    <w:rsid w:val="00E87D29"/>
    <w:rsid w:val="00E87D63"/>
    <w:rsid w:val="00E87D68"/>
    <w:rsid w:val="00E87E01"/>
    <w:rsid w:val="00E87ED2"/>
    <w:rsid w:val="00E87F21"/>
    <w:rsid w:val="00E87F31"/>
    <w:rsid w:val="00E9002D"/>
    <w:rsid w:val="00E900A5"/>
    <w:rsid w:val="00E900F5"/>
    <w:rsid w:val="00E900F9"/>
    <w:rsid w:val="00E9014B"/>
    <w:rsid w:val="00E90160"/>
    <w:rsid w:val="00E901D0"/>
    <w:rsid w:val="00E902B2"/>
    <w:rsid w:val="00E9031B"/>
    <w:rsid w:val="00E9038C"/>
    <w:rsid w:val="00E90484"/>
    <w:rsid w:val="00E90485"/>
    <w:rsid w:val="00E90487"/>
    <w:rsid w:val="00E904C1"/>
    <w:rsid w:val="00E9052B"/>
    <w:rsid w:val="00E9060E"/>
    <w:rsid w:val="00E90632"/>
    <w:rsid w:val="00E90636"/>
    <w:rsid w:val="00E906A0"/>
    <w:rsid w:val="00E907AE"/>
    <w:rsid w:val="00E90816"/>
    <w:rsid w:val="00E90825"/>
    <w:rsid w:val="00E90977"/>
    <w:rsid w:val="00E90990"/>
    <w:rsid w:val="00E90A80"/>
    <w:rsid w:val="00E90BB8"/>
    <w:rsid w:val="00E90BCE"/>
    <w:rsid w:val="00E90BFB"/>
    <w:rsid w:val="00E90C2E"/>
    <w:rsid w:val="00E90C50"/>
    <w:rsid w:val="00E90CF2"/>
    <w:rsid w:val="00E90D73"/>
    <w:rsid w:val="00E90E2D"/>
    <w:rsid w:val="00E90E72"/>
    <w:rsid w:val="00E90E9A"/>
    <w:rsid w:val="00E90EB6"/>
    <w:rsid w:val="00E90EDE"/>
    <w:rsid w:val="00E90F28"/>
    <w:rsid w:val="00E90F80"/>
    <w:rsid w:val="00E90F82"/>
    <w:rsid w:val="00E90F86"/>
    <w:rsid w:val="00E91015"/>
    <w:rsid w:val="00E91052"/>
    <w:rsid w:val="00E9107E"/>
    <w:rsid w:val="00E91091"/>
    <w:rsid w:val="00E910CA"/>
    <w:rsid w:val="00E91207"/>
    <w:rsid w:val="00E9120B"/>
    <w:rsid w:val="00E912DB"/>
    <w:rsid w:val="00E912E6"/>
    <w:rsid w:val="00E91364"/>
    <w:rsid w:val="00E9136C"/>
    <w:rsid w:val="00E9143E"/>
    <w:rsid w:val="00E9148E"/>
    <w:rsid w:val="00E9149F"/>
    <w:rsid w:val="00E914B7"/>
    <w:rsid w:val="00E91528"/>
    <w:rsid w:val="00E915CA"/>
    <w:rsid w:val="00E9161F"/>
    <w:rsid w:val="00E9168C"/>
    <w:rsid w:val="00E91784"/>
    <w:rsid w:val="00E91799"/>
    <w:rsid w:val="00E91935"/>
    <w:rsid w:val="00E91948"/>
    <w:rsid w:val="00E919D2"/>
    <w:rsid w:val="00E91B02"/>
    <w:rsid w:val="00E91B2D"/>
    <w:rsid w:val="00E91B99"/>
    <w:rsid w:val="00E91C11"/>
    <w:rsid w:val="00E91C15"/>
    <w:rsid w:val="00E91C2B"/>
    <w:rsid w:val="00E91C4D"/>
    <w:rsid w:val="00E91C5A"/>
    <w:rsid w:val="00E91C65"/>
    <w:rsid w:val="00E91C7E"/>
    <w:rsid w:val="00E91CFB"/>
    <w:rsid w:val="00E91D0A"/>
    <w:rsid w:val="00E91D26"/>
    <w:rsid w:val="00E91D31"/>
    <w:rsid w:val="00E91D88"/>
    <w:rsid w:val="00E91E25"/>
    <w:rsid w:val="00E91EB0"/>
    <w:rsid w:val="00E91ECD"/>
    <w:rsid w:val="00E91F45"/>
    <w:rsid w:val="00E91F9B"/>
    <w:rsid w:val="00E92019"/>
    <w:rsid w:val="00E920BF"/>
    <w:rsid w:val="00E92222"/>
    <w:rsid w:val="00E922C3"/>
    <w:rsid w:val="00E92303"/>
    <w:rsid w:val="00E92318"/>
    <w:rsid w:val="00E923A8"/>
    <w:rsid w:val="00E923CC"/>
    <w:rsid w:val="00E923E6"/>
    <w:rsid w:val="00E923E9"/>
    <w:rsid w:val="00E92462"/>
    <w:rsid w:val="00E924D7"/>
    <w:rsid w:val="00E9254A"/>
    <w:rsid w:val="00E9255A"/>
    <w:rsid w:val="00E925C0"/>
    <w:rsid w:val="00E9264D"/>
    <w:rsid w:val="00E9269B"/>
    <w:rsid w:val="00E9271C"/>
    <w:rsid w:val="00E92774"/>
    <w:rsid w:val="00E92812"/>
    <w:rsid w:val="00E92878"/>
    <w:rsid w:val="00E928AE"/>
    <w:rsid w:val="00E928CD"/>
    <w:rsid w:val="00E929F0"/>
    <w:rsid w:val="00E92BF4"/>
    <w:rsid w:val="00E92C08"/>
    <w:rsid w:val="00E92D0A"/>
    <w:rsid w:val="00E92D13"/>
    <w:rsid w:val="00E92D3C"/>
    <w:rsid w:val="00E92D8B"/>
    <w:rsid w:val="00E92D9D"/>
    <w:rsid w:val="00E92DE6"/>
    <w:rsid w:val="00E92F76"/>
    <w:rsid w:val="00E92FD0"/>
    <w:rsid w:val="00E9301E"/>
    <w:rsid w:val="00E93139"/>
    <w:rsid w:val="00E93157"/>
    <w:rsid w:val="00E93195"/>
    <w:rsid w:val="00E931BC"/>
    <w:rsid w:val="00E931F2"/>
    <w:rsid w:val="00E932DA"/>
    <w:rsid w:val="00E933B0"/>
    <w:rsid w:val="00E9343A"/>
    <w:rsid w:val="00E93457"/>
    <w:rsid w:val="00E934BF"/>
    <w:rsid w:val="00E934C0"/>
    <w:rsid w:val="00E934E5"/>
    <w:rsid w:val="00E9351B"/>
    <w:rsid w:val="00E935CC"/>
    <w:rsid w:val="00E935E1"/>
    <w:rsid w:val="00E93605"/>
    <w:rsid w:val="00E93619"/>
    <w:rsid w:val="00E9363F"/>
    <w:rsid w:val="00E93658"/>
    <w:rsid w:val="00E936A0"/>
    <w:rsid w:val="00E93706"/>
    <w:rsid w:val="00E93725"/>
    <w:rsid w:val="00E93854"/>
    <w:rsid w:val="00E9390D"/>
    <w:rsid w:val="00E93A01"/>
    <w:rsid w:val="00E93A71"/>
    <w:rsid w:val="00E93A8E"/>
    <w:rsid w:val="00E93AF2"/>
    <w:rsid w:val="00E93B49"/>
    <w:rsid w:val="00E93C36"/>
    <w:rsid w:val="00E93C7B"/>
    <w:rsid w:val="00E93C8E"/>
    <w:rsid w:val="00E93CA2"/>
    <w:rsid w:val="00E93CB8"/>
    <w:rsid w:val="00E93CC4"/>
    <w:rsid w:val="00E93D4A"/>
    <w:rsid w:val="00E93E1A"/>
    <w:rsid w:val="00E93EC8"/>
    <w:rsid w:val="00E93EF1"/>
    <w:rsid w:val="00E93F1B"/>
    <w:rsid w:val="00E93F1F"/>
    <w:rsid w:val="00E93FA3"/>
    <w:rsid w:val="00E93FBE"/>
    <w:rsid w:val="00E94014"/>
    <w:rsid w:val="00E94023"/>
    <w:rsid w:val="00E940A3"/>
    <w:rsid w:val="00E9412B"/>
    <w:rsid w:val="00E941D7"/>
    <w:rsid w:val="00E9421A"/>
    <w:rsid w:val="00E94337"/>
    <w:rsid w:val="00E94377"/>
    <w:rsid w:val="00E9437E"/>
    <w:rsid w:val="00E94541"/>
    <w:rsid w:val="00E94574"/>
    <w:rsid w:val="00E94646"/>
    <w:rsid w:val="00E946F3"/>
    <w:rsid w:val="00E946FF"/>
    <w:rsid w:val="00E94703"/>
    <w:rsid w:val="00E9472E"/>
    <w:rsid w:val="00E94888"/>
    <w:rsid w:val="00E948D4"/>
    <w:rsid w:val="00E94A3E"/>
    <w:rsid w:val="00E94A8C"/>
    <w:rsid w:val="00E94A9E"/>
    <w:rsid w:val="00E94AB5"/>
    <w:rsid w:val="00E94ACB"/>
    <w:rsid w:val="00E94B50"/>
    <w:rsid w:val="00E94C22"/>
    <w:rsid w:val="00E94C68"/>
    <w:rsid w:val="00E94D00"/>
    <w:rsid w:val="00E94D0A"/>
    <w:rsid w:val="00E94D6B"/>
    <w:rsid w:val="00E94D74"/>
    <w:rsid w:val="00E94DAB"/>
    <w:rsid w:val="00E94E6E"/>
    <w:rsid w:val="00E94E98"/>
    <w:rsid w:val="00E94EEB"/>
    <w:rsid w:val="00E94F0D"/>
    <w:rsid w:val="00E94F18"/>
    <w:rsid w:val="00E94F6B"/>
    <w:rsid w:val="00E95034"/>
    <w:rsid w:val="00E951C1"/>
    <w:rsid w:val="00E951CF"/>
    <w:rsid w:val="00E95289"/>
    <w:rsid w:val="00E95292"/>
    <w:rsid w:val="00E952E4"/>
    <w:rsid w:val="00E9533E"/>
    <w:rsid w:val="00E95363"/>
    <w:rsid w:val="00E953C4"/>
    <w:rsid w:val="00E954FB"/>
    <w:rsid w:val="00E95552"/>
    <w:rsid w:val="00E95613"/>
    <w:rsid w:val="00E95689"/>
    <w:rsid w:val="00E956F7"/>
    <w:rsid w:val="00E95766"/>
    <w:rsid w:val="00E95781"/>
    <w:rsid w:val="00E957F6"/>
    <w:rsid w:val="00E95833"/>
    <w:rsid w:val="00E9590F"/>
    <w:rsid w:val="00E959B2"/>
    <w:rsid w:val="00E959C1"/>
    <w:rsid w:val="00E95A3B"/>
    <w:rsid w:val="00E95A72"/>
    <w:rsid w:val="00E95B7D"/>
    <w:rsid w:val="00E95BAA"/>
    <w:rsid w:val="00E95BB7"/>
    <w:rsid w:val="00E95BD5"/>
    <w:rsid w:val="00E95BE7"/>
    <w:rsid w:val="00E95C39"/>
    <w:rsid w:val="00E95C43"/>
    <w:rsid w:val="00E95C5F"/>
    <w:rsid w:val="00E95C91"/>
    <w:rsid w:val="00E95CE8"/>
    <w:rsid w:val="00E95CEE"/>
    <w:rsid w:val="00E95D22"/>
    <w:rsid w:val="00E95D31"/>
    <w:rsid w:val="00E95D84"/>
    <w:rsid w:val="00E95D87"/>
    <w:rsid w:val="00E95D8B"/>
    <w:rsid w:val="00E95E07"/>
    <w:rsid w:val="00E95E27"/>
    <w:rsid w:val="00E95E2E"/>
    <w:rsid w:val="00E95E3E"/>
    <w:rsid w:val="00E95E44"/>
    <w:rsid w:val="00E95E6C"/>
    <w:rsid w:val="00E95E8D"/>
    <w:rsid w:val="00E95EBC"/>
    <w:rsid w:val="00E95EE0"/>
    <w:rsid w:val="00E95F09"/>
    <w:rsid w:val="00E9601A"/>
    <w:rsid w:val="00E960D2"/>
    <w:rsid w:val="00E96105"/>
    <w:rsid w:val="00E9614D"/>
    <w:rsid w:val="00E9616C"/>
    <w:rsid w:val="00E96252"/>
    <w:rsid w:val="00E962B6"/>
    <w:rsid w:val="00E96341"/>
    <w:rsid w:val="00E9634E"/>
    <w:rsid w:val="00E963EC"/>
    <w:rsid w:val="00E96440"/>
    <w:rsid w:val="00E964DC"/>
    <w:rsid w:val="00E9651E"/>
    <w:rsid w:val="00E96527"/>
    <w:rsid w:val="00E965D7"/>
    <w:rsid w:val="00E965E2"/>
    <w:rsid w:val="00E965EF"/>
    <w:rsid w:val="00E96628"/>
    <w:rsid w:val="00E96686"/>
    <w:rsid w:val="00E96691"/>
    <w:rsid w:val="00E966D5"/>
    <w:rsid w:val="00E966FD"/>
    <w:rsid w:val="00E96728"/>
    <w:rsid w:val="00E967D8"/>
    <w:rsid w:val="00E9682B"/>
    <w:rsid w:val="00E9684B"/>
    <w:rsid w:val="00E968F3"/>
    <w:rsid w:val="00E96923"/>
    <w:rsid w:val="00E96975"/>
    <w:rsid w:val="00E96981"/>
    <w:rsid w:val="00E969E1"/>
    <w:rsid w:val="00E96AA4"/>
    <w:rsid w:val="00E96AC4"/>
    <w:rsid w:val="00E96B0F"/>
    <w:rsid w:val="00E96B4A"/>
    <w:rsid w:val="00E96CAF"/>
    <w:rsid w:val="00E96CD2"/>
    <w:rsid w:val="00E96D49"/>
    <w:rsid w:val="00E96D79"/>
    <w:rsid w:val="00E96DCD"/>
    <w:rsid w:val="00E96E24"/>
    <w:rsid w:val="00E96E93"/>
    <w:rsid w:val="00E96F9E"/>
    <w:rsid w:val="00E96FD4"/>
    <w:rsid w:val="00E97004"/>
    <w:rsid w:val="00E97060"/>
    <w:rsid w:val="00E9706B"/>
    <w:rsid w:val="00E970A9"/>
    <w:rsid w:val="00E970E3"/>
    <w:rsid w:val="00E9717B"/>
    <w:rsid w:val="00E97223"/>
    <w:rsid w:val="00E97246"/>
    <w:rsid w:val="00E9726C"/>
    <w:rsid w:val="00E97270"/>
    <w:rsid w:val="00E97401"/>
    <w:rsid w:val="00E9743D"/>
    <w:rsid w:val="00E97441"/>
    <w:rsid w:val="00E97446"/>
    <w:rsid w:val="00E97464"/>
    <w:rsid w:val="00E97484"/>
    <w:rsid w:val="00E9756A"/>
    <w:rsid w:val="00E9759E"/>
    <w:rsid w:val="00E975C7"/>
    <w:rsid w:val="00E975EB"/>
    <w:rsid w:val="00E975F6"/>
    <w:rsid w:val="00E9763C"/>
    <w:rsid w:val="00E976A9"/>
    <w:rsid w:val="00E976BB"/>
    <w:rsid w:val="00E97758"/>
    <w:rsid w:val="00E97803"/>
    <w:rsid w:val="00E978F0"/>
    <w:rsid w:val="00E979DA"/>
    <w:rsid w:val="00E97A1C"/>
    <w:rsid w:val="00E97A38"/>
    <w:rsid w:val="00E97B0E"/>
    <w:rsid w:val="00E97BB6"/>
    <w:rsid w:val="00E97C27"/>
    <w:rsid w:val="00E97C99"/>
    <w:rsid w:val="00E97D2D"/>
    <w:rsid w:val="00E97DB0"/>
    <w:rsid w:val="00E97E32"/>
    <w:rsid w:val="00E97F01"/>
    <w:rsid w:val="00E97F29"/>
    <w:rsid w:val="00E97F34"/>
    <w:rsid w:val="00EA008D"/>
    <w:rsid w:val="00EA014E"/>
    <w:rsid w:val="00EA01D4"/>
    <w:rsid w:val="00EA020E"/>
    <w:rsid w:val="00EA0272"/>
    <w:rsid w:val="00EA0294"/>
    <w:rsid w:val="00EA0395"/>
    <w:rsid w:val="00EA03A7"/>
    <w:rsid w:val="00EA0477"/>
    <w:rsid w:val="00EA04F8"/>
    <w:rsid w:val="00EA0532"/>
    <w:rsid w:val="00EA054A"/>
    <w:rsid w:val="00EA0608"/>
    <w:rsid w:val="00EA0613"/>
    <w:rsid w:val="00EA084D"/>
    <w:rsid w:val="00EA0956"/>
    <w:rsid w:val="00EA09B7"/>
    <w:rsid w:val="00EA0A19"/>
    <w:rsid w:val="00EA0B0A"/>
    <w:rsid w:val="00EA0BA5"/>
    <w:rsid w:val="00EA0BBE"/>
    <w:rsid w:val="00EA0BBF"/>
    <w:rsid w:val="00EA0C24"/>
    <w:rsid w:val="00EA0CAA"/>
    <w:rsid w:val="00EA0E0F"/>
    <w:rsid w:val="00EA0E10"/>
    <w:rsid w:val="00EA0EE1"/>
    <w:rsid w:val="00EA0F97"/>
    <w:rsid w:val="00EA0FB5"/>
    <w:rsid w:val="00EA0FF3"/>
    <w:rsid w:val="00EA1034"/>
    <w:rsid w:val="00EA105B"/>
    <w:rsid w:val="00EA111E"/>
    <w:rsid w:val="00EA1360"/>
    <w:rsid w:val="00EA1378"/>
    <w:rsid w:val="00EA140F"/>
    <w:rsid w:val="00EA1441"/>
    <w:rsid w:val="00EA145D"/>
    <w:rsid w:val="00EA14E4"/>
    <w:rsid w:val="00EA1575"/>
    <w:rsid w:val="00EA15D9"/>
    <w:rsid w:val="00EA15FF"/>
    <w:rsid w:val="00EA1658"/>
    <w:rsid w:val="00EA1681"/>
    <w:rsid w:val="00EA169A"/>
    <w:rsid w:val="00EA16C6"/>
    <w:rsid w:val="00EA1705"/>
    <w:rsid w:val="00EA1734"/>
    <w:rsid w:val="00EA176D"/>
    <w:rsid w:val="00EA1786"/>
    <w:rsid w:val="00EA1793"/>
    <w:rsid w:val="00EA17BE"/>
    <w:rsid w:val="00EA1930"/>
    <w:rsid w:val="00EA1947"/>
    <w:rsid w:val="00EA1982"/>
    <w:rsid w:val="00EA1A39"/>
    <w:rsid w:val="00EA1A51"/>
    <w:rsid w:val="00EA1A76"/>
    <w:rsid w:val="00EA1AE8"/>
    <w:rsid w:val="00EA1AEE"/>
    <w:rsid w:val="00EA1AF3"/>
    <w:rsid w:val="00EA1B2F"/>
    <w:rsid w:val="00EA1C05"/>
    <w:rsid w:val="00EA1D34"/>
    <w:rsid w:val="00EA1D35"/>
    <w:rsid w:val="00EA1D56"/>
    <w:rsid w:val="00EA1D5A"/>
    <w:rsid w:val="00EA1D7F"/>
    <w:rsid w:val="00EA1D82"/>
    <w:rsid w:val="00EA1E49"/>
    <w:rsid w:val="00EA1E5A"/>
    <w:rsid w:val="00EA1E5C"/>
    <w:rsid w:val="00EA1EF8"/>
    <w:rsid w:val="00EA1F0F"/>
    <w:rsid w:val="00EA1F25"/>
    <w:rsid w:val="00EA1F71"/>
    <w:rsid w:val="00EA1F75"/>
    <w:rsid w:val="00EA1FEB"/>
    <w:rsid w:val="00EA208B"/>
    <w:rsid w:val="00EA2092"/>
    <w:rsid w:val="00EA20B7"/>
    <w:rsid w:val="00EA20BF"/>
    <w:rsid w:val="00EA213A"/>
    <w:rsid w:val="00EA218C"/>
    <w:rsid w:val="00EA219C"/>
    <w:rsid w:val="00EA21F0"/>
    <w:rsid w:val="00EA224B"/>
    <w:rsid w:val="00EA2273"/>
    <w:rsid w:val="00EA22C3"/>
    <w:rsid w:val="00EA23F7"/>
    <w:rsid w:val="00EA24A5"/>
    <w:rsid w:val="00EA24F2"/>
    <w:rsid w:val="00EA24FB"/>
    <w:rsid w:val="00EA25A1"/>
    <w:rsid w:val="00EA25E8"/>
    <w:rsid w:val="00EA26F8"/>
    <w:rsid w:val="00EA281E"/>
    <w:rsid w:val="00EA2883"/>
    <w:rsid w:val="00EA2918"/>
    <w:rsid w:val="00EA2921"/>
    <w:rsid w:val="00EA2931"/>
    <w:rsid w:val="00EA29EF"/>
    <w:rsid w:val="00EA2A9C"/>
    <w:rsid w:val="00EA2B39"/>
    <w:rsid w:val="00EA2BF7"/>
    <w:rsid w:val="00EA2C38"/>
    <w:rsid w:val="00EA2C46"/>
    <w:rsid w:val="00EA2C76"/>
    <w:rsid w:val="00EA2C7B"/>
    <w:rsid w:val="00EA2C99"/>
    <w:rsid w:val="00EA2CA0"/>
    <w:rsid w:val="00EA2CB1"/>
    <w:rsid w:val="00EA2CF4"/>
    <w:rsid w:val="00EA2D24"/>
    <w:rsid w:val="00EA2D76"/>
    <w:rsid w:val="00EA2EB4"/>
    <w:rsid w:val="00EA2F1A"/>
    <w:rsid w:val="00EA2F6E"/>
    <w:rsid w:val="00EA2F78"/>
    <w:rsid w:val="00EA2FBA"/>
    <w:rsid w:val="00EA3003"/>
    <w:rsid w:val="00EA309C"/>
    <w:rsid w:val="00EA310F"/>
    <w:rsid w:val="00EA311A"/>
    <w:rsid w:val="00EA31A7"/>
    <w:rsid w:val="00EA31EB"/>
    <w:rsid w:val="00EA323B"/>
    <w:rsid w:val="00EA3295"/>
    <w:rsid w:val="00EA32DC"/>
    <w:rsid w:val="00EA3304"/>
    <w:rsid w:val="00EA3373"/>
    <w:rsid w:val="00EA3522"/>
    <w:rsid w:val="00EA358D"/>
    <w:rsid w:val="00EA3703"/>
    <w:rsid w:val="00EA3886"/>
    <w:rsid w:val="00EA38B4"/>
    <w:rsid w:val="00EA38D1"/>
    <w:rsid w:val="00EA38F9"/>
    <w:rsid w:val="00EA3A78"/>
    <w:rsid w:val="00EA3C19"/>
    <w:rsid w:val="00EA3C1B"/>
    <w:rsid w:val="00EA3C69"/>
    <w:rsid w:val="00EA3CA4"/>
    <w:rsid w:val="00EA3CA9"/>
    <w:rsid w:val="00EA3CAD"/>
    <w:rsid w:val="00EA3D67"/>
    <w:rsid w:val="00EA3D82"/>
    <w:rsid w:val="00EA3E90"/>
    <w:rsid w:val="00EA3EA7"/>
    <w:rsid w:val="00EA3EBF"/>
    <w:rsid w:val="00EA402F"/>
    <w:rsid w:val="00EA40A0"/>
    <w:rsid w:val="00EA40A9"/>
    <w:rsid w:val="00EA40AE"/>
    <w:rsid w:val="00EA413D"/>
    <w:rsid w:val="00EA4143"/>
    <w:rsid w:val="00EA41DF"/>
    <w:rsid w:val="00EA425C"/>
    <w:rsid w:val="00EA42A3"/>
    <w:rsid w:val="00EA4311"/>
    <w:rsid w:val="00EA4320"/>
    <w:rsid w:val="00EA4397"/>
    <w:rsid w:val="00EA4595"/>
    <w:rsid w:val="00EA4598"/>
    <w:rsid w:val="00EA4690"/>
    <w:rsid w:val="00EA46BC"/>
    <w:rsid w:val="00EA46E5"/>
    <w:rsid w:val="00EA471A"/>
    <w:rsid w:val="00EA474D"/>
    <w:rsid w:val="00EA4785"/>
    <w:rsid w:val="00EA47BB"/>
    <w:rsid w:val="00EA47FD"/>
    <w:rsid w:val="00EA4812"/>
    <w:rsid w:val="00EA4820"/>
    <w:rsid w:val="00EA48BE"/>
    <w:rsid w:val="00EA48D0"/>
    <w:rsid w:val="00EA48D5"/>
    <w:rsid w:val="00EA4929"/>
    <w:rsid w:val="00EA4982"/>
    <w:rsid w:val="00EA49A5"/>
    <w:rsid w:val="00EA4A87"/>
    <w:rsid w:val="00EA4A8F"/>
    <w:rsid w:val="00EA4AC3"/>
    <w:rsid w:val="00EA4B1D"/>
    <w:rsid w:val="00EA4B53"/>
    <w:rsid w:val="00EA4BA8"/>
    <w:rsid w:val="00EA4CAD"/>
    <w:rsid w:val="00EA4D1B"/>
    <w:rsid w:val="00EA4D58"/>
    <w:rsid w:val="00EA4DBB"/>
    <w:rsid w:val="00EA4F3C"/>
    <w:rsid w:val="00EA4F7A"/>
    <w:rsid w:val="00EA4FAE"/>
    <w:rsid w:val="00EA4FBA"/>
    <w:rsid w:val="00EA500D"/>
    <w:rsid w:val="00EA506E"/>
    <w:rsid w:val="00EA5096"/>
    <w:rsid w:val="00EA50AC"/>
    <w:rsid w:val="00EA50DE"/>
    <w:rsid w:val="00EA50EB"/>
    <w:rsid w:val="00EA5133"/>
    <w:rsid w:val="00EA517C"/>
    <w:rsid w:val="00EA5219"/>
    <w:rsid w:val="00EA5226"/>
    <w:rsid w:val="00EA524B"/>
    <w:rsid w:val="00EA52A4"/>
    <w:rsid w:val="00EA535C"/>
    <w:rsid w:val="00EA537D"/>
    <w:rsid w:val="00EA53AE"/>
    <w:rsid w:val="00EA5414"/>
    <w:rsid w:val="00EA5520"/>
    <w:rsid w:val="00EA555C"/>
    <w:rsid w:val="00EA55AC"/>
    <w:rsid w:val="00EA55C9"/>
    <w:rsid w:val="00EA55D6"/>
    <w:rsid w:val="00EA5604"/>
    <w:rsid w:val="00EA5697"/>
    <w:rsid w:val="00EA569B"/>
    <w:rsid w:val="00EA5771"/>
    <w:rsid w:val="00EA57CA"/>
    <w:rsid w:val="00EA580D"/>
    <w:rsid w:val="00EA5889"/>
    <w:rsid w:val="00EA58AA"/>
    <w:rsid w:val="00EA59E3"/>
    <w:rsid w:val="00EA5A37"/>
    <w:rsid w:val="00EA5A80"/>
    <w:rsid w:val="00EA5ABB"/>
    <w:rsid w:val="00EA5AE6"/>
    <w:rsid w:val="00EA5B31"/>
    <w:rsid w:val="00EA5B98"/>
    <w:rsid w:val="00EA5C06"/>
    <w:rsid w:val="00EA5CA9"/>
    <w:rsid w:val="00EA5CC1"/>
    <w:rsid w:val="00EA5D4B"/>
    <w:rsid w:val="00EA5D9B"/>
    <w:rsid w:val="00EA5DF6"/>
    <w:rsid w:val="00EA5DFC"/>
    <w:rsid w:val="00EA5E1F"/>
    <w:rsid w:val="00EA5E2E"/>
    <w:rsid w:val="00EA5EA1"/>
    <w:rsid w:val="00EA5F71"/>
    <w:rsid w:val="00EA6007"/>
    <w:rsid w:val="00EA6047"/>
    <w:rsid w:val="00EA605B"/>
    <w:rsid w:val="00EA60C1"/>
    <w:rsid w:val="00EA61B8"/>
    <w:rsid w:val="00EA61DD"/>
    <w:rsid w:val="00EA6256"/>
    <w:rsid w:val="00EA62E1"/>
    <w:rsid w:val="00EA6335"/>
    <w:rsid w:val="00EA645A"/>
    <w:rsid w:val="00EA6491"/>
    <w:rsid w:val="00EA64A0"/>
    <w:rsid w:val="00EA656E"/>
    <w:rsid w:val="00EA65A2"/>
    <w:rsid w:val="00EA65C5"/>
    <w:rsid w:val="00EA6670"/>
    <w:rsid w:val="00EA66C5"/>
    <w:rsid w:val="00EA674B"/>
    <w:rsid w:val="00EA674F"/>
    <w:rsid w:val="00EA68BA"/>
    <w:rsid w:val="00EA6979"/>
    <w:rsid w:val="00EA698F"/>
    <w:rsid w:val="00EA69B7"/>
    <w:rsid w:val="00EA69C2"/>
    <w:rsid w:val="00EA69E0"/>
    <w:rsid w:val="00EA69E3"/>
    <w:rsid w:val="00EA6BB9"/>
    <w:rsid w:val="00EA6BD9"/>
    <w:rsid w:val="00EA6BE3"/>
    <w:rsid w:val="00EA6C18"/>
    <w:rsid w:val="00EA6C45"/>
    <w:rsid w:val="00EA6E15"/>
    <w:rsid w:val="00EA6E6F"/>
    <w:rsid w:val="00EA6F0B"/>
    <w:rsid w:val="00EA6FAD"/>
    <w:rsid w:val="00EA706D"/>
    <w:rsid w:val="00EA7075"/>
    <w:rsid w:val="00EA70BC"/>
    <w:rsid w:val="00EA7130"/>
    <w:rsid w:val="00EA720C"/>
    <w:rsid w:val="00EA721D"/>
    <w:rsid w:val="00EA7243"/>
    <w:rsid w:val="00EA735E"/>
    <w:rsid w:val="00EA7366"/>
    <w:rsid w:val="00EA7520"/>
    <w:rsid w:val="00EA7529"/>
    <w:rsid w:val="00EA7556"/>
    <w:rsid w:val="00EA75EB"/>
    <w:rsid w:val="00EA76BF"/>
    <w:rsid w:val="00EA7707"/>
    <w:rsid w:val="00EA7713"/>
    <w:rsid w:val="00EA7757"/>
    <w:rsid w:val="00EA7791"/>
    <w:rsid w:val="00EA7814"/>
    <w:rsid w:val="00EA78A0"/>
    <w:rsid w:val="00EA78C3"/>
    <w:rsid w:val="00EA78E0"/>
    <w:rsid w:val="00EA78F2"/>
    <w:rsid w:val="00EA79A2"/>
    <w:rsid w:val="00EA79D5"/>
    <w:rsid w:val="00EA7B1E"/>
    <w:rsid w:val="00EA7B2D"/>
    <w:rsid w:val="00EA7B61"/>
    <w:rsid w:val="00EA7BCA"/>
    <w:rsid w:val="00EA7C6D"/>
    <w:rsid w:val="00EA7CAC"/>
    <w:rsid w:val="00EA7CD3"/>
    <w:rsid w:val="00EA7CDA"/>
    <w:rsid w:val="00EA7DCF"/>
    <w:rsid w:val="00EA7E88"/>
    <w:rsid w:val="00EA7EFB"/>
    <w:rsid w:val="00EA7F7D"/>
    <w:rsid w:val="00EA7F8D"/>
    <w:rsid w:val="00EA7FE4"/>
    <w:rsid w:val="00EAFC52"/>
    <w:rsid w:val="00EB0037"/>
    <w:rsid w:val="00EB007E"/>
    <w:rsid w:val="00EB0161"/>
    <w:rsid w:val="00EB0176"/>
    <w:rsid w:val="00EB0197"/>
    <w:rsid w:val="00EB019F"/>
    <w:rsid w:val="00EB01DF"/>
    <w:rsid w:val="00EB0244"/>
    <w:rsid w:val="00EB02A4"/>
    <w:rsid w:val="00EB03F8"/>
    <w:rsid w:val="00EB047C"/>
    <w:rsid w:val="00EB049F"/>
    <w:rsid w:val="00EB04F6"/>
    <w:rsid w:val="00EB051E"/>
    <w:rsid w:val="00EB056F"/>
    <w:rsid w:val="00EB0618"/>
    <w:rsid w:val="00EB06CF"/>
    <w:rsid w:val="00EB077B"/>
    <w:rsid w:val="00EB078C"/>
    <w:rsid w:val="00EB084E"/>
    <w:rsid w:val="00EB0864"/>
    <w:rsid w:val="00EB08D4"/>
    <w:rsid w:val="00EB0919"/>
    <w:rsid w:val="00EB0977"/>
    <w:rsid w:val="00EB0A0D"/>
    <w:rsid w:val="00EB0A1C"/>
    <w:rsid w:val="00EB0A85"/>
    <w:rsid w:val="00EB0B80"/>
    <w:rsid w:val="00EB0BA5"/>
    <w:rsid w:val="00EB0BAB"/>
    <w:rsid w:val="00EB0D23"/>
    <w:rsid w:val="00EB0D76"/>
    <w:rsid w:val="00EB0D78"/>
    <w:rsid w:val="00EB0D79"/>
    <w:rsid w:val="00EB0D8B"/>
    <w:rsid w:val="00EB0E1E"/>
    <w:rsid w:val="00EB0E23"/>
    <w:rsid w:val="00EB0E5A"/>
    <w:rsid w:val="00EB0E95"/>
    <w:rsid w:val="00EB0EA7"/>
    <w:rsid w:val="00EB0ECD"/>
    <w:rsid w:val="00EB0FA2"/>
    <w:rsid w:val="00EB0FF0"/>
    <w:rsid w:val="00EB1078"/>
    <w:rsid w:val="00EB10EC"/>
    <w:rsid w:val="00EB112E"/>
    <w:rsid w:val="00EB1131"/>
    <w:rsid w:val="00EB1157"/>
    <w:rsid w:val="00EB11C9"/>
    <w:rsid w:val="00EB1270"/>
    <w:rsid w:val="00EB1284"/>
    <w:rsid w:val="00EB1358"/>
    <w:rsid w:val="00EB135A"/>
    <w:rsid w:val="00EB139B"/>
    <w:rsid w:val="00EB145C"/>
    <w:rsid w:val="00EB1466"/>
    <w:rsid w:val="00EB155B"/>
    <w:rsid w:val="00EB15DB"/>
    <w:rsid w:val="00EB15F1"/>
    <w:rsid w:val="00EB1613"/>
    <w:rsid w:val="00EB1631"/>
    <w:rsid w:val="00EB163F"/>
    <w:rsid w:val="00EB1703"/>
    <w:rsid w:val="00EB1793"/>
    <w:rsid w:val="00EB1846"/>
    <w:rsid w:val="00EB186B"/>
    <w:rsid w:val="00EB18E3"/>
    <w:rsid w:val="00EB195A"/>
    <w:rsid w:val="00EB19A6"/>
    <w:rsid w:val="00EB1A9A"/>
    <w:rsid w:val="00EB1A9F"/>
    <w:rsid w:val="00EB1B21"/>
    <w:rsid w:val="00EB1B2E"/>
    <w:rsid w:val="00EB1B6B"/>
    <w:rsid w:val="00EB1BB1"/>
    <w:rsid w:val="00EB1BB2"/>
    <w:rsid w:val="00EB1C0A"/>
    <w:rsid w:val="00EB1C2A"/>
    <w:rsid w:val="00EB1C32"/>
    <w:rsid w:val="00EB1D54"/>
    <w:rsid w:val="00EB1D7A"/>
    <w:rsid w:val="00EB1DEA"/>
    <w:rsid w:val="00EB1E3D"/>
    <w:rsid w:val="00EB1E5C"/>
    <w:rsid w:val="00EB1E8E"/>
    <w:rsid w:val="00EB1E99"/>
    <w:rsid w:val="00EB1EED"/>
    <w:rsid w:val="00EB1F53"/>
    <w:rsid w:val="00EB1FC9"/>
    <w:rsid w:val="00EB2032"/>
    <w:rsid w:val="00EB206C"/>
    <w:rsid w:val="00EB207B"/>
    <w:rsid w:val="00EB2159"/>
    <w:rsid w:val="00EB221B"/>
    <w:rsid w:val="00EB2224"/>
    <w:rsid w:val="00EB228A"/>
    <w:rsid w:val="00EB22C0"/>
    <w:rsid w:val="00EB231B"/>
    <w:rsid w:val="00EB233B"/>
    <w:rsid w:val="00EB2404"/>
    <w:rsid w:val="00EB2540"/>
    <w:rsid w:val="00EB2550"/>
    <w:rsid w:val="00EB2590"/>
    <w:rsid w:val="00EB26A0"/>
    <w:rsid w:val="00EB2742"/>
    <w:rsid w:val="00EB2764"/>
    <w:rsid w:val="00EB277D"/>
    <w:rsid w:val="00EB27A4"/>
    <w:rsid w:val="00EB27C2"/>
    <w:rsid w:val="00EB2812"/>
    <w:rsid w:val="00EB28F0"/>
    <w:rsid w:val="00EB292A"/>
    <w:rsid w:val="00EB2968"/>
    <w:rsid w:val="00EB29C2"/>
    <w:rsid w:val="00EB2A14"/>
    <w:rsid w:val="00EB2B1F"/>
    <w:rsid w:val="00EB2B61"/>
    <w:rsid w:val="00EB2BEE"/>
    <w:rsid w:val="00EB2D2F"/>
    <w:rsid w:val="00EB2DE8"/>
    <w:rsid w:val="00EB2E06"/>
    <w:rsid w:val="00EB2FB0"/>
    <w:rsid w:val="00EB308F"/>
    <w:rsid w:val="00EB30A5"/>
    <w:rsid w:val="00EB30E2"/>
    <w:rsid w:val="00EB30EB"/>
    <w:rsid w:val="00EB31F7"/>
    <w:rsid w:val="00EB3220"/>
    <w:rsid w:val="00EB3224"/>
    <w:rsid w:val="00EB322E"/>
    <w:rsid w:val="00EB3243"/>
    <w:rsid w:val="00EB32BF"/>
    <w:rsid w:val="00EB32FC"/>
    <w:rsid w:val="00EB3313"/>
    <w:rsid w:val="00EB332A"/>
    <w:rsid w:val="00EB3364"/>
    <w:rsid w:val="00EB3383"/>
    <w:rsid w:val="00EB33F8"/>
    <w:rsid w:val="00EB341C"/>
    <w:rsid w:val="00EB343C"/>
    <w:rsid w:val="00EB3492"/>
    <w:rsid w:val="00EB35BA"/>
    <w:rsid w:val="00EB35D4"/>
    <w:rsid w:val="00EB3611"/>
    <w:rsid w:val="00EB3626"/>
    <w:rsid w:val="00EB362B"/>
    <w:rsid w:val="00EB3826"/>
    <w:rsid w:val="00EB382B"/>
    <w:rsid w:val="00EB3920"/>
    <w:rsid w:val="00EB3949"/>
    <w:rsid w:val="00EB399E"/>
    <w:rsid w:val="00EB3A24"/>
    <w:rsid w:val="00EB3B7C"/>
    <w:rsid w:val="00EB3B8F"/>
    <w:rsid w:val="00EB3DC9"/>
    <w:rsid w:val="00EB3DE0"/>
    <w:rsid w:val="00EB3E39"/>
    <w:rsid w:val="00EB3E4D"/>
    <w:rsid w:val="00EB3E9B"/>
    <w:rsid w:val="00EB3EB5"/>
    <w:rsid w:val="00EB3EB7"/>
    <w:rsid w:val="00EB3F2A"/>
    <w:rsid w:val="00EB3F6A"/>
    <w:rsid w:val="00EB3F8D"/>
    <w:rsid w:val="00EB3FD9"/>
    <w:rsid w:val="00EB4078"/>
    <w:rsid w:val="00EB40D2"/>
    <w:rsid w:val="00EB40FE"/>
    <w:rsid w:val="00EB4129"/>
    <w:rsid w:val="00EB414C"/>
    <w:rsid w:val="00EB425F"/>
    <w:rsid w:val="00EB43C2"/>
    <w:rsid w:val="00EB45EF"/>
    <w:rsid w:val="00EB45F7"/>
    <w:rsid w:val="00EB468A"/>
    <w:rsid w:val="00EB46CB"/>
    <w:rsid w:val="00EB4716"/>
    <w:rsid w:val="00EB471A"/>
    <w:rsid w:val="00EB471D"/>
    <w:rsid w:val="00EB4729"/>
    <w:rsid w:val="00EB474A"/>
    <w:rsid w:val="00EB477D"/>
    <w:rsid w:val="00EB4795"/>
    <w:rsid w:val="00EB47F2"/>
    <w:rsid w:val="00EB4838"/>
    <w:rsid w:val="00EB4852"/>
    <w:rsid w:val="00EB4860"/>
    <w:rsid w:val="00EB492E"/>
    <w:rsid w:val="00EB498E"/>
    <w:rsid w:val="00EB499C"/>
    <w:rsid w:val="00EB49AA"/>
    <w:rsid w:val="00EB49D9"/>
    <w:rsid w:val="00EB4A02"/>
    <w:rsid w:val="00EB4A1B"/>
    <w:rsid w:val="00EB4A40"/>
    <w:rsid w:val="00EB4BE6"/>
    <w:rsid w:val="00EB4DAA"/>
    <w:rsid w:val="00EB4E4C"/>
    <w:rsid w:val="00EB4E81"/>
    <w:rsid w:val="00EB4ED8"/>
    <w:rsid w:val="00EB4F11"/>
    <w:rsid w:val="00EB4F31"/>
    <w:rsid w:val="00EB4FCE"/>
    <w:rsid w:val="00EB5091"/>
    <w:rsid w:val="00EB5105"/>
    <w:rsid w:val="00EB5135"/>
    <w:rsid w:val="00EB5296"/>
    <w:rsid w:val="00EB52E6"/>
    <w:rsid w:val="00EB53E1"/>
    <w:rsid w:val="00EB541F"/>
    <w:rsid w:val="00EB5475"/>
    <w:rsid w:val="00EB549C"/>
    <w:rsid w:val="00EB5656"/>
    <w:rsid w:val="00EB5699"/>
    <w:rsid w:val="00EB5734"/>
    <w:rsid w:val="00EB575A"/>
    <w:rsid w:val="00EB576E"/>
    <w:rsid w:val="00EB57BC"/>
    <w:rsid w:val="00EB584B"/>
    <w:rsid w:val="00EB5883"/>
    <w:rsid w:val="00EB58B3"/>
    <w:rsid w:val="00EB5918"/>
    <w:rsid w:val="00EB5983"/>
    <w:rsid w:val="00EB5A4A"/>
    <w:rsid w:val="00EB5B27"/>
    <w:rsid w:val="00EB5B30"/>
    <w:rsid w:val="00EB5C46"/>
    <w:rsid w:val="00EB5D9B"/>
    <w:rsid w:val="00EB5ECA"/>
    <w:rsid w:val="00EB5F3A"/>
    <w:rsid w:val="00EB5F47"/>
    <w:rsid w:val="00EB5FD0"/>
    <w:rsid w:val="00EB5FF3"/>
    <w:rsid w:val="00EB606C"/>
    <w:rsid w:val="00EB6087"/>
    <w:rsid w:val="00EB60DA"/>
    <w:rsid w:val="00EB60FA"/>
    <w:rsid w:val="00EB6257"/>
    <w:rsid w:val="00EB630D"/>
    <w:rsid w:val="00EB635E"/>
    <w:rsid w:val="00EB63A4"/>
    <w:rsid w:val="00EB64A7"/>
    <w:rsid w:val="00EB6535"/>
    <w:rsid w:val="00EB67D3"/>
    <w:rsid w:val="00EB67E8"/>
    <w:rsid w:val="00EB6864"/>
    <w:rsid w:val="00EB68BC"/>
    <w:rsid w:val="00EB68C0"/>
    <w:rsid w:val="00EB6960"/>
    <w:rsid w:val="00EB6990"/>
    <w:rsid w:val="00EB6A65"/>
    <w:rsid w:val="00EB6AE8"/>
    <w:rsid w:val="00EB6AF4"/>
    <w:rsid w:val="00EB6BEC"/>
    <w:rsid w:val="00EB6C06"/>
    <w:rsid w:val="00EB6CA4"/>
    <w:rsid w:val="00EB6CB0"/>
    <w:rsid w:val="00EB6CD2"/>
    <w:rsid w:val="00EB6D29"/>
    <w:rsid w:val="00EB6D37"/>
    <w:rsid w:val="00EB6D3C"/>
    <w:rsid w:val="00EB6D7C"/>
    <w:rsid w:val="00EB6DA4"/>
    <w:rsid w:val="00EB6DBE"/>
    <w:rsid w:val="00EB6DF6"/>
    <w:rsid w:val="00EB6E42"/>
    <w:rsid w:val="00EB6EA9"/>
    <w:rsid w:val="00EB6F29"/>
    <w:rsid w:val="00EB6F50"/>
    <w:rsid w:val="00EB6F52"/>
    <w:rsid w:val="00EB6F5F"/>
    <w:rsid w:val="00EB6F72"/>
    <w:rsid w:val="00EB7002"/>
    <w:rsid w:val="00EB7012"/>
    <w:rsid w:val="00EB7030"/>
    <w:rsid w:val="00EB7098"/>
    <w:rsid w:val="00EB713E"/>
    <w:rsid w:val="00EB71DE"/>
    <w:rsid w:val="00EB729D"/>
    <w:rsid w:val="00EB72D7"/>
    <w:rsid w:val="00EB7311"/>
    <w:rsid w:val="00EB731A"/>
    <w:rsid w:val="00EB7346"/>
    <w:rsid w:val="00EB73FE"/>
    <w:rsid w:val="00EB741F"/>
    <w:rsid w:val="00EB747D"/>
    <w:rsid w:val="00EB766D"/>
    <w:rsid w:val="00EB7694"/>
    <w:rsid w:val="00EB76B8"/>
    <w:rsid w:val="00EB7761"/>
    <w:rsid w:val="00EB77B5"/>
    <w:rsid w:val="00EB780F"/>
    <w:rsid w:val="00EB7837"/>
    <w:rsid w:val="00EB7895"/>
    <w:rsid w:val="00EB7927"/>
    <w:rsid w:val="00EB794E"/>
    <w:rsid w:val="00EB79E8"/>
    <w:rsid w:val="00EB79F7"/>
    <w:rsid w:val="00EB7A7E"/>
    <w:rsid w:val="00EB7AD4"/>
    <w:rsid w:val="00EB7B41"/>
    <w:rsid w:val="00EB7C3D"/>
    <w:rsid w:val="00EB7CB3"/>
    <w:rsid w:val="00EB7CBA"/>
    <w:rsid w:val="00EB7CD9"/>
    <w:rsid w:val="00EB7D7F"/>
    <w:rsid w:val="00EB7DAE"/>
    <w:rsid w:val="00EB7DFD"/>
    <w:rsid w:val="00EB7E47"/>
    <w:rsid w:val="00EB7FCA"/>
    <w:rsid w:val="00EB7FD8"/>
    <w:rsid w:val="00EC001F"/>
    <w:rsid w:val="00EC00C4"/>
    <w:rsid w:val="00EC0119"/>
    <w:rsid w:val="00EC011B"/>
    <w:rsid w:val="00EC0134"/>
    <w:rsid w:val="00EC0219"/>
    <w:rsid w:val="00EC0272"/>
    <w:rsid w:val="00EC0276"/>
    <w:rsid w:val="00EC0279"/>
    <w:rsid w:val="00EC02E3"/>
    <w:rsid w:val="00EC02E4"/>
    <w:rsid w:val="00EC02EF"/>
    <w:rsid w:val="00EC02F2"/>
    <w:rsid w:val="00EC0368"/>
    <w:rsid w:val="00EC037C"/>
    <w:rsid w:val="00EC0405"/>
    <w:rsid w:val="00EC0428"/>
    <w:rsid w:val="00EC049B"/>
    <w:rsid w:val="00EC04C8"/>
    <w:rsid w:val="00EC0545"/>
    <w:rsid w:val="00EC055A"/>
    <w:rsid w:val="00EC065C"/>
    <w:rsid w:val="00EC0674"/>
    <w:rsid w:val="00EC0696"/>
    <w:rsid w:val="00EC06C9"/>
    <w:rsid w:val="00EC0708"/>
    <w:rsid w:val="00EC0715"/>
    <w:rsid w:val="00EC0836"/>
    <w:rsid w:val="00EC08FD"/>
    <w:rsid w:val="00EC0924"/>
    <w:rsid w:val="00EC09B5"/>
    <w:rsid w:val="00EC0A31"/>
    <w:rsid w:val="00EC0A38"/>
    <w:rsid w:val="00EC0B2F"/>
    <w:rsid w:val="00EC0B77"/>
    <w:rsid w:val="00EC0B90"/>
    <w:rsid w:val="00EC0C65"/>
    <w:rsid w:val="00EC0C78"/>
    <w:rsid w:val="00EC0C88"/>
    <w:rsid w:val="00EC0D5C"/>
    <w:rsid w:val="00EC0D8C"/>
    <w:rsid w:val="00EC0E40"/>
    <w:rsid w:val="00EC0EE3"/>
    <w:rsid w:val="00EC1005"/>
    <w:rsid w:val="00EC10D7"/>
    <w:rsid w:val="00EC1171"/>
    <w:rsid w:val="00EC11D5"/>
    <w:rsid w:val="00EC1279"/>
    <w:rsid w:val="00EC12D1"/>
    <w:rsid w:val="00EC1322"/>
    <w:rsid w:val="00EC13A2"/>
    <w:rsid w:val="00EC15CF"/>
    <w:rsid w:val="00EC1642"/>
    <w:rsid w:val="00EC1677"/>
    <w:rsid w:val="00EC1689"/>
    <w:rsid w:val="00EC1709"/>
    <w:rsid w:val="00EC172B"/>
    <w:rsid w:val="00EC1765"/>
    <w:rsid w:val="00EC176A"/>
    <w:rsid w:val="00EC17BD"/>
    <w:rsid w:val="00EC1817"/>
    <w:rsid w:val="00EC1899"/>
    <w:rsid w:val="00EC18E9"/>
    <w:rsid w:val="00EC190B"/>
    <w:rsid w:val="00EC1958"/>
    <w:rsid w:val="00EC19D3"/>
    <w:rsid w:val="00EC1A1A"/>
    <w:rsid w:val="00EC1A65"/>
    <w:rsid w:val="00EC1B00"/>
    <w:rsid w:val="00EC1BD7"/>
    <w:rsid w:val="00EC1BEE"/>
    <w:rsid w:val="00EC1C4F"/>
    <w:rsid w:val="00EC1CD7"/>
    <w:rsid w:val="00EC1D33"/>
    <w:rsid w:val="00EC1D5E"/>
    <w:rsid w:val="00EC1DEA"/>
    <w:rsid w:val="00EC1E7F"/>
    <w:rsid w:val="00EC1EB5"/>
    <w:rsid w:val="00EC1FE2"/>
    <w:rsid w:val="00EC2016"/>
    <w:rsid w:val="00EC2047"/>
    <w:rsid w:val="00EC206A"/>
    <w:rsid w:val="00EC206B"/>
    <w:rsid w:val="00EC209E"/>
    <w:rsid w:val="00EC20CC"/>
    <w:rsid w:val="00EC210C"/>
    <w:rsid w:val="00EC216B"/>
    <w:rsid w:val="00EC2173"/>
    <w:rsid w:val="00EC2188"/>
    <w:rsid w:val="00EC21C4"/>
    <w:rsid w:val="00EC21E0"/>
    <w:rsid w:val="00EC229F"/>
    <w:rsid w:val="00EC2311"/>
    <w:rsid w:val="00EC23A1"/>
    <w:rsid w:val="00EC245E"/>
    <w:rsid w:val="00EC24B3"/>
    <w:rsid w:val="00EC24C3"/>
    <w:rsid w:val="00EC2546"/>
    <w:rsid w:val="00EC25AD"/>
    <w:rsid w:val="00EC25B1"/>
    <w:rsid w:val="00EC2600"/>
    <w:rsid w:val="00EC2648"/>
    <w:rsid w:val="00EC26DA"/>
    <w:rsid w:val="00EC273D"/>
    <w:rsid w:val="00EC2747"/>
    <w:rsid w:val="00EC2765"/>
    <w:rsid w:val="00EC276A"/>
    <w:rsid w:val="00EC276D"/>
    <w:rsid w:val="00EC27EF"/>
    <w:rsid w:val="00EC27F4"/>
    <w:rsid w:val="00EC2829"/>
    <w:rsid w:val="00EC28A1"/>
    <w:rsid w:val="00EC28E3"/>
    <w:rsid w:val="00EC2939"/>
    <w:rsid w:val="00EC2965"/>
    <w:rsid w:val="00EC29B0"/>
    <w:rsid w:val="00EC2A2C"/>
    <w:rsid w:val="00EC2A4B"/>
    <w:rsid w:val="00EC2A4E"/>
    <w:rsid w:val="00EC2AA6"/>
    <w:rsid w:val="00EC2B6B"/>
    <w:rsid w:val="00EC2BF4"/>
    <w:rsid w:val="00EC2C1D"/>
    <w:rsid w:val="00EC2C39"/>
    <w:rsid w:val="00EC2C7E"/>
    <w:rsid w:val="00EC2CAE"/>
    <w:rsid w:val="00EC2E07"/>
    <w:rsid w:val="00EC2E64"/>
    <w:rsid w:val="00EC2EA4"/>
    <w:rsid w:val="00EC2EFF"/>
    <w:rsid w:val="00EC2F3C"/>
    <w:rsid w:val="00EC3054"/>
    <w:rsid w:val="00EC3115"/>
    <w:rsid w:val="00EC3120"/>
    <w:rsid w:val="00EC312B"/>
    <w:rsid w:val="00EC32FA"/>
    <w:rsid w:val="00EC3398"/>
    <w:rsid w:val="00EC348E"/>
    <w:rsid w:val="00EC3631"/>
    <w:rsid w:val="00EC3787"/>
    <w:rsid w:val="00EC37AA"/>
    <w:rsid w:val="00EC37DA"/>
    <w:rsid w:val="00EC37EC"/>
    <w:rsid w:val="00EC3850"/>
    <w:rsid w:val="00EC3853"/>
    <w:rsid w:val="00EC3976"/>
    <w:rsid w:val="00EC39DA"/>
    <w:rsid w:val="00EC3A53"/>
    <w:rsid w:val="00EC3B0B"/>
    <w:rsid w:val="00EC3BBB"/>
    <w:rsid w:val="00EC3BCD"/>
    <w:rsid w:val="00EC3BFE"/>
    <w:rsid w:val="00EC3DA7"/>
    <w:rsid w:val="00EC3E5D"/>
    <w:rsid w:val="00EC3E79"/>
    <w:rsid w:val="00EC3ED0"/>
    <w:rsid w:val="00EC3EE2"/>
    <w:rsid w:val="00EC3F48"/>
    <w:rsid w:val="00EC3F5F"/>
    <w:rsid w:val="00EC3F86"/>
    <w:rsid w:val="00EC400F"/>
    <w:rsid w:val="00EC40D5"/>
    <w:rsid w:val="00EC416A"/>
    <w:rsid w:val="00EC4222"/>
    <w:rsid w:val="00EC424A"/>
    <w:rsid w:val="00EC4257"/>
    <w:rsid w:val="00EC4301"/>
    <w:rsid w:val="00EC431E"/>
    <w:rsid w:val="00EC43A4"/>
    <w:rsid w:val="00EC43EB"/>
    <w:rsid w:val="00EC4450"/>
    <w:rsid w:val="00EC4478"/>
    <w:rsid w:val="00EC44EA"/>
    <w:rsid w:val="00EC4595"/>
    <w:rsid w:val="00EC45A6"/>
    <w:rsid w:val="00EC4659"/>
    <w:rsid w:val="00EC483D"/>
    <w:rsid w:val="00EC4898"/>
    <w:rsid w:val="00EC48A0"/>
    <w:rsid w:val="00EC4994"/>
    <w:rsid w:val="00EC499E"/>
    <w:rsid w:val="00EC49BB"/>
    <w:rsid w:val="00EC49D6"/>
    <w:rsid w:val="00EC4AB5"/>
    <w:rsid w:val="00EC4BBF"/>
    <w:rsid w:val="00EC4BE2"/>
    <w:rsid w:val="00EC4C3A"/>
    <w:rsid w:val="00EC4C76"/>
    <w:rsid w:val="00EC4CEF"/>
    <w:rsid w:val="00EC4DA7"/>
    <w:rsid w:val="00EC4DDD"/>
    <w:rsid w:val="00EC4FD3"/>
    <w:rsid w:val="00EC4FEB"/>
    <w:rsid w:val="00EC5004"/>
    <w:rsid w:val="00EC50AB"/>
    <w:rsid w:val="00EC50C3"/>
    <w:rsid w:val="00EC50DB"/>
    <w:rsid w:val="00EC50DC"/>
    <w:rsid w:val="00EC5145"/>
    <w:rsid w:val="00EC5198"/>
    <w:rsid w:val="00EC51C4"/>
    <w:rsid w:val="00EC51F6"/>
    <w:rsid w:val="00EC526F"/>
    <w:rsid w:val="00EC52E4"/>
    <w:rsid w:val="00EC53B9"/>
    <w:rsid w:val="00EC540B"/>
    <w:rsid w:val="00EC5468"/>
    <w:rsid w:val="00EC5522"/>
    <w:rsid w:val="00EC5545"/>
    <w:rsid w:val="00EC5552"/>
    <w:rsid w:val="00EC5567"/>
    <w:rsid w:val="00EC559F"/>
    <w:rsid w:val="00EC55C8"/>
    <w:rsid w:val="00EC55FB"/>
    <w:rsid w:val="00EC5653"/>
    <w:rsid w:val="00EC5704"/>
    <w:rsid w:val="00EC571F"/>
    <w:rsid w:val="00EC5734"/>
    <w:rsid w:val="00EC573D"/>
    <w:rsid w:val="00EC575B"/>
    <w:rsid w:val="00EC5789"/>
    <w:rsid w:val="00EC57AD"/>
    <w:rsid w:val="00EC5889"/>
    <w:rsid w:val="00EC58BA"/>
    <w:rsid w:val="00EC5920"/>
    <w:rsid w:val="00EC59AA"/>
    <w:rsid w:val="00EC5A12"/>
    <w:rsid w:val="00EC5A69"/>
    <w:rsid w:val="00EC5B1F"/>
    <w:rsid w:val="00EC5B96"/>
    <w:rsid w:val="00EC5BB6"/>
    <w:rsid w:val="00EC5C5F"/>
    <w:rsid w:val="00EC5C9F"/>
    <w:rsid w:val="00EC5CC2"/>
    <w:rsid w:val="00EC5E65"/>
    <w:rsid w:val="00EC6009"/>
    <w:rsid w:val="00EC600A"/>
    <w:rsid w:val="00EC6086"/>
    <w:rsid w:val="00EC60A5"/>
    <w:rsid w:val="00EC613C"/>
    <w:rsid w:val="00EC6153"/>
    <w:rsid w:val="00EC6177"/>
    <w:rsid w:val="00EC61EF"/>
    <w:rsid w:val="00EC623F"/>
    <w:rsid w:val="00EC625D"/>
    <w:rsid w:val="00EC62DD"/>
    <w:rsid w:val="00EC62E3"/>
    <w:rsid w:val="00EC6328"/>
    <w:rsid w:val="00EC634C"/>
    <w:rsid w:val="00EC64AD"/>
    <w:rsid w:val="00EC64F0"/>
    <w:rsid w:val="00EC650E"/>
    <w:rsid w:val="00EC65C7"/>
    <w:rsid w:val="00EC660A"/>
    <w:rsid w:val="00EC667F"/>
    <w:rsid w:val="00EC66A6"/>
    <w:rsid w:val="00EC66CA"/>
    <w:rsid w:val="00EC67B7"/>
    <w:rsid w:val="00EC67CE"/>
    <w:rsid w:val="00EC6832"/>
    <w:rsid w:val="00EC6A06"/>
    <w:rsid w:val="00EC6A79"/>
    <w:rsid w:val="00EC6AF8"/>
    <w:rsid w:val="00EC6B95"/>
    <w:rsid w:val="00EC6BA4"/>
    <w:rsid w:val="00EC6BC0"/>
    <w:rsid w:val="00EC6CA5"/>
    <w:rsid w:val="00EC6CE2"/>
    <w:rsid w:val="00EC6E6A"/>
    <w:rsid w:val="00EC6EBB"/>
    <w:rsid w:val="00EC6F33"/>
    <w:rsid w:val="00EC6FA6"/>
    <w:rsid w:val="00EC6FFD"/>
    <w:rsid w:val="00EC705C"/>
    <w:rsid w:val="00EC709F"/>
    <w:rsid w:val="00EC70A8"/>
    <w:rsid w:val="00EC70BC"/>
    <w:rsid w:val="00EC70E3"/>
    <w:rsid w:val="00EC7127"/>
    <w:rsid w:val="00EC7141"/>
    <w:rsid w:val="00EC7187"/>
    <w:rsid w:val="00EC7252"/>
    <w:rsid w:val="00EC7301"/>
    <w:rsid w:val="00EC7354"/>
    <w:rsid w:val="00EC740C"/>
    <w:rsid w:val="00EC7537"/>
    <w:rsid w:val="00EC75DA"/>
    <w:rsid w:val="00EC75E2"/>
    <w:rsid w:val="00EC771C"/>
    <w:rsid w:val="00EC772E"/>
    <w:rsid w:val="00EC774F"/>
    <w:rsid w:val="00EC7753"/>
    <w:rsid w:val="00EC7864"/>
    <w:rsid w:val="00EC7894"/>
    <w:rsid w:val="00EC7A9F"/>
    <w:rsid w:val="00EC7D1F"/>
    <w:rsid w:val="00EC7D7A"/>
    <w:rsid w:val="00EC7DB1"/>
    <w:rsid w:val="00EC7DC6"/>
    <w:rsid w:val="00EC7E4E"/>
    <w:rsid w:val="00EC7E7E"/>
    <w:rsid w:val="00EC7EB2"/>
    <w:rsid w:val="00EC7EE0"/>
    <w:rsid w:val="00EC7EE9"/>
    <w:rsid w:val="00EC7F1B"/>
    <w:rsid w:val="00ED002A"/>
    <w:rsid w:val="00ED00CD"/>
    <w:rsid w:val="00ED0146"/>
    <w:rsid w:val="00ED033B"/>
    <w:rsid w:val="00ED034A"/>
    <w:rsid w:val="00ED034E"/>
    <w:rsid w:val="00ED035A"/>
    <w:rsid w:val="00ED0419"/>
    <w:rsid w:val="00ED049F"/>
    <w:rsid w:val="00ED050E"/>
    <w:rsid w:val="00ED0518"/>
    <w:rsid w:val="00ED057F"/>
    <w:rsid w:val="00ED05E3"/>
    <w:rsid w:val="00ED074A"/>
    <w:rsid w:val="00ED075D"/>
    <w:rsid w:val="00ED0766"/>
    <w:rsid w:val="00ED07A9"/>
    <w:rsid w:val="00ED07AF"/>
    <w:rsid w:val="00ED08BC"/>
    <w:rsid w:val="00ED08E4"/>
    <w:rsid w:val="00ED0941"/>
    <w:rsid w:val="00ED0974"/>
    <w:rsid w:val="00ED0990"/>
    <w:rsid w:val="00ED09DC"/>
    <w:rsid w:val="00ED0A66"/>
    <w:rsid w:val="00ED0AC7"/>
    <w:rsid w:val="00ED0AE2"/>
    <w:rsid w:val="00ED0AFB"/>
    <w:rsid w:val="00ED0C94"/>
    <w:rsid w:val="00ED0CE4"/>
    <w:rsid w:val="00ED0D24"/>
    <w:rsid w:val="00ED0D59"/>
    <w:rsid w:val="00ED0D63"/>
    <w:rsid w:val="00ED0DCE"/>
    <w:rsid w:val="00ED0E8A"/>
    <w:rsid w:val="00ED0F67"/>
    <w:rsid w:val="00ED0F90"/>
    <w:rsid w:val="00ED0F96"/>
    <w:rsid w:val="00ED0FD7"/>
    <w:rsid w:val="00ED112C"/>
    <w:rsid w:val="00ED1148"/>
    <w:rsid w:val="00ED114E"/>
    <w:rsid w:val="00ED1235"/>
    <w:rsid w:val="00ED126B"/>
    <w:rsid w:val="00ED1301"/>
    <w:rsid w:val="00ED1381"/>
    <w:rsid w:val="00ED13DE"/>
    <w:rsid w:val="00ED146E"/>
    <w:rsid w:val="00ED1475"/>
    <w:rsid w:val="00ED14CC"/>
    <w:rsid w:val="00ED1503"/>
    <w:rsid w:val="00ED1519"/>
    <w:rsid w:val="00ED15A5"/>
    <w:rsid w:val="00ED1689"/>
    <w:rsid w:val="00ED16EC"/>
    <w:rsid w:val="00ED1720"/>
    <w:rsid w:val="00ED1724"/>
    <w:rsid w:val="00ED172A"/>
    <w:rsid w:val="00ED17E8"/>
    <w:rsid w:val="00ED1892"/>
    <w:rsid w:val="00ED18DD"/>
    <w:rsid w:val="00ED1969"/>
    <w:rsid w:val="00ED1978"/>
    <w:rsid w:val="00ED19C2"/>
    <w:rsid w:val="00ED1A15"/>
    <w:rsid w:val="00ED1B0E"/>
    <w:rsid w:val="00ED1B15"/>
    <w:rsid w:val="00ED1B27"/>
    <w:rsid w:val="00ED1C45"/>
    <w:rsid w:val="00ED1D98"/>
    <w:rsid w:val="00ED1DC6"/>
    <w:rsid w:val="00ED1E2B"/>
    <w:rsid w:val="00ED1E30"/>
    <w:rsid w:val="00ED1E53"/>
    <w:rsid w:val="00ED1F70"/>
    <w:rsid w:val="00ED1F99"/>
    <w:rsid w:val="00ED1F9B"/>
    <w:rsid w:val="00ED1FB0"/>
    <w:rsid w:val="00ED1FC9"/>
    <w:rsid w:val="00ED1FD8"/>
    <w:rsid w:val="00ED2127"/>
    <w:rsid w:val="00ED214C"/>
    <w:rsid w:val="00ED21CF"/>
    <w:rsid w:val="00ED21F1"/>
    <w:rsid w:val="00ED2269"/>
    <w:rsid w:val="00ED232A"/>
    <w:rsid w:val="00ED23F1"/>
    <w:rsid w:val="00ED243B"/>
    <w:rsid w:val="00ED243C"/>
    <w:rsid w:val="00ED2458"/>
    <w:rsid w:val="00ED246A"/>
    <w:rsid w:val="00ED2475"/>
    <w:rsid w:val="00ED2498"/>
    <w:rsid w:val="00ED249E"/>
    <w:rsid w:val="00ED24F9"/>
    <w:rsid w:val="00ED2517"/>
    <w:rsid w:val="00ED2535"/>
    <w:rsid w:val="00ED2551"/>
    <w:rsid w:val="00ED2566"/>
    <w:rsid w:val="00ED269E"/>
    <w:rsid w:val="00ED26AB"/>
    <w:rsid w:val="00ED26E2"/>
    <w:rsid w:val="00ED279C"/>
    <w:rsid w:val="00ED27AC"/>
    <w:rsid w:val="00ED2849"/>
    <w:rsid w:val="00ED286E"/>
    <w:rsid w:val="00ED291B"/>
    <w:rsid w:val="00ED2955"/>
    <w:rsid w:val="00ED298E"/>
    <w:rsid w:val="00ED29FA"/>
    <w:rsid w:val="00ED2AAF"/>
    <w:rsid w:val="00ED2AEC"/>
    <w:rsid w:val="00ED2B16"/>
    <w:rsid w:val="00ED2B18"/>
    <w:rsid w:val="00ED2B63"/>
    <w:rsid w:val="00ED2D1B"/>
    <w:rsid w:val="00ED2D3E"/>
    <w:rsid w:val="00ED2D51"/>
    <w:rsid w:val="00ED2D89"/>
    <w:rsid w:val="00ED2D91"/>
    <w:rsid w:val="00ED2E00"/>
    <w:rsid w:val="00ED2E5B"/>
    <w:rsid w:val="00ED2E6C"/>
    <w:rsid w:val="00ED2F54"/>
    <w:rsid w:val="00ED2FC3"/>
    <w:rsid w:val="00ED2FF2"/>
    <w:rsid w:val="00ED2FF9"/>
    <w:rsid w:val="00ED301A"/>
    <w:rsid w:val="00ED3033"/>
    <w:rsid w:val="00ED303F"/>
    <w:rsid w:val="00ED30A8"/>
    <w:rsid w:val="00ED311C"/>
    <w:rsid w:val="00ED3127"/>
    <w:rsid w:val="00ED31B7"/>
    <w:rsid w:val="00ED31E0"/>
    <w:rsid w:val="00ED32BA"/>
    <w:rsid w:val="00ED32F9"/>
    <w:rsid w:val="00ED3308"/>
    <w:rsid w:val="00ED3399"/>
    <w:rsid w:val="00ED33A6"/>
    <w:rsid w:val="00ED340B"/>
    <w:rsid w:val="00ED347B"/>
    <w:rsid w:val="00ED34F7"/>
    <w:rsid w:val="00ED351B"/>
    <w:rsid w:val="00ED357A"/>
    <w:rsid w:val="00ED361B"/>
    <w:rsid w:val="00ED369C"/>
    <w:rsid w:val="00ED36C0"/>
    <w:rsid w:val="00ED36ED"/>
    <w:rsid w:val="00ED3738"/>
    <w:rsid w:val="00ED3832"/>
    <w:rsid w:val="00ED383E"/>
    <w:rsid w:val="00ED3886"/>
    <w:rsid w:val="00ED3995"/>
    <w:rsid w:val="00ED39BA"/>
    <w:rsid w:val="00ED39D1"/>
    <w:rsid w:val="00ED3A30"/>
    <w:rsid w:val="00ED3A74"/>
    <w:rsid w:val="00ED3AE5"/>
    <w:rsid w:val="00ED3B40"/>
    <w:rsid w:val="00ED3C83"/>
    <w:rsid w:val="00ED3D2D"/>
    <w:rsid w:val="00ED3D3D"/>
    <w:rsid w:val="00ED3F16"/>
    <w:rsid w:val="00ED3F35"/>
    <w:rsid w:val="00ED3F69"/>
    <w:rsid w:val="00ED3FCC"/>
    <w:rsid w:val="00ED407A"/>
    <w:rsid w:val="00ED407F"/>
    <w:rsid w:val="00ED40CA"/>
    <w:rsid w:val="00ED40E8"/>
    <w:rsid w:val="00ED40F6"/>
    <w:rsid w:val="00ED411B"/>
    <w:rsid w:val="00ED41DD"/>
    <w:rsid w:val="00ED42DA"/>
    <w:rsid w:val="00ED42F1"/>
    <w:rsid w:val="00ED43A0"/>
    <w:rsid w:val="00ED448A"/>
    <w:rsid w:val="00ED44D8"/>
    <w:rsid w:val="00ED44FD"/>
    <w:rsid w:val="00ED4503"/>
    <w:rsid w:val="00ED4538"/>
    <w:rsid w:val="00ED45FD"/>
    <w:rsid w:val="00ED464D"/>
    <w:rsid w:val="00ED466B"/>
    <w:rsid w:val="00ED4740"/>
    <w:rsid w:val="00ED474C"/>
    <w:rsid w:val="00ED4777"/>
    <w:rsid w:val="00ED47AE"/>
    <w:rsid w:val="00ED47D8"/>
    <w:rsid w:val="00ED4810"/>
    <w:rsid w:val="00ED48A7"/>
    <w:rsid w:val="00ED48B4"/>
    <w:rsid w:val="00ED48FA"/>
    <w:rsid w:val="00ED497B"/>
    <w:rsid w:val="00ED49AA"/>
    <w:rsid w:val="00ED49E4"/>
    <w:rsid w:val="00ED4A22"/>
    <w:rsid w:val="00ED4A51"/>
    <w:rsid w:val="00ED4A9B"/>
    <w:rsid w:val="00ED4AC4"/>
    <w:rsid w:val="00ED4AF9"/>
    <w:rsid w:val="00ED4B19"/>
    <w:rsid w:val="00ED4B8D"/>
    <w:rsid w:val="00ED4BCD"/>
    <w:rsid w:val="00ED4BE6"/>
    <w:rsid w:val="00ED4C49"/>
    <w:rsid w:val="00ED4CD0"/>
    <w:rsid w:val="00ED4CDF"/>
    <w:rsid w:val="00ED4DEA"/>
    <w:rsid w:val="00ED4EBD"/>
    <w:rsid w:val="00ED4ED5"/>
    <w:rsid w:val="00ED4F47"/>
    <w:rsid w:val="00ED5024"/>
    <w:rsid w:val="00ED5025"/>
    <w:rsid w:val="00ED509E"/>
    <w:rsid w:val="00ED50D9"/>
    <w:rsid w:val="00ED51B8"/>
    <w:rsid w:val="00ED525F"/>
    <w:rsid w:val="00ED52A0"/>
    <w:rsid w:val="00ED52F6"/>
    <w:rsid w:val="00ED52F8"/>
    <w:rsid w:val="00ED52FC"/>
    <w:rsid w:val="00ED5319"/>
    <w:rsid w:val="00ED5388"/>
    <w:rsid w:val="00ED5493"/>
    <w:rsid w:val="00ED554E"/>
    <w:rsid w:val="00ED5551"/>
    <w:rsid w:val="00ED5595"/>
    <w:rsid w:val="00ED560F"/>
    <w:rsid w:val="00ED5649"/>
    <w:rsid w:val="00ED5796"/>
    <w:rsid w:val="00ED581F"/>
    <w:rsid w:val="00ED5834"/>
    <w:rsid w:val="00ED5895"/>
    <w:rsid w:val="00ED58D4"/>
    <w:rsid w:val="00ED593F"/>
    <w:rsid w:val="00ED5981"/>
    <w:rsid w:val="00ED5A20"/>
    <w:rsid w:val="00ED5AF6"/>
    <w:rsid w:val="00ED5B7F"/>
    <w:rsid w:val="00ED5BBC"/>
    <w:rsid w:val="00ED5BCB"/>
    <w:rsid w:val="00ED5BDB"/>
    <w:rsid w:val="00ED5C50"/>
    <w:rsid w:val="00ED5CF9"/>
    <w:rsid w:val="00ED5D1E"/>
    <w:rsid w:val="00ED5D4E"/>
    <w:rsid w:val="00ED5E1D"/>
    <w:rsid w:val="00ED5EF2"/>
    <w:rsid w:val="00ED5F29"/>
    <w:rsid w:val="00ED5F6C"/>
    <w:rsid w:val="00ED5FC7"/>
    <w:rsid w:val="00ED5FC9"/>
    <w:rsid w:val="00ED5FD4"/>
    <w:rsid w:val="00ED60F8"/>
    <w:rsid w:val="00ED6121"/>
    <w:rsid w:val="00ED6141"/>
    <w:rsid w:val="00ED61A7"/>
    <w:rsid w:val="00ED61B8"/>
    <w:rsid w:val="00ED61CD"/>
    <w:rsid w:val="00ED61F2"/>
    <w:rsid w:val="00ED6225"/>
    <w:rsid w:val="00ED62D1"/>
    <w:rsid w:val="00ED6328"/>
    <w:rsid w:val="00ED6379"/>
    <w:rsid w:val="00ED63DB"/>
    <w:rsid w:val="00ED64F9"/>
    <w:rsid w:val="00ED6578"/>
    <w:rsid w:val="00ED6655"/>
    <w:rsid w:val="00ED6682"/>
    <w:rsid w:val="00ED66D1"/>
    <w:rsid w:val="00ED66D7"/>
    <w:rsid w:val="00ED670A"/>
    <w:rsid w:val="00ED672C"/>
    <w:rsid w:val="00ED67A0"/>
    <w:rsid w:val="00ED67ED"/>
    <w:rsid w:val="00ED681F"/>
    <w:rsid w:val="00ED69ED"/>
    <w:rsid w:val="00ED6A1A"/>
    <w:rsid w:val="00ED6A74"/>
    <w:rsid w:val="00ED6A77"/>
    <w:rsid w:val="00ED6AA4"/>
    <w:rsid w:val="00ED6B36"/>
    <w:rsid w:val="00ED6B63"/>
    <w:rsid w:val="00ED6B6B"/>
    <w:rsid w:val="00ED6B72"/>
    <w:rsid w:val="00ED6BC7"/>
    <w:rsid w:val="00ED6CDD"/>
    <w:rsid w:val="00ED6DC8"/>
    <w:rsid w:val="00ED6E58"/>
    <w:rsid w:val="00ED6F0D"/>
    <w:rsid w:val="00ED7010"/>
    <w:rsid w:val="00ED70AE"/>
    <w:rsid w:val="00ED70CA"/>
    <w:rsid w:val="00ED713B"/>
    <w:rsid w:val="00ED7168"/>
    <w:rsid w:val="00ED718E"/>
    <w:rsid w:val="00ED7286"/>
    <w:rsid w:val="00ED72C9"/>
    <w:rsid w:val="00ED73BC"/>
    <w:rsid w:val="00ED73D5"/>
    <w:rsid w:val="00ED755C"/>
    <w:rsid w:val="00ED773E"/>
    <w:rsid w:val="00ED77AB"/>
    <w:rsid w:val="00ED77CD"/>
    <w:rsid w:val="00ED77DB"/>
    <w:rsid w:val="00ED7918"/>
    <w:rsid w:val="00ED7930"/>
    <w:rsid w:val="00ED7970"/>
    <w:rsid w:val="00ED7981"/>
    <w:rsid w:val="00ED79F7"/>
    <w:rsid w:val="00ED7A04"/>
    <w:rsid w:val="00ED7B94"/>
    <w:rsid w:val="00ED7BE3"/>
    <w:rsid w:val="00ED7C57"/>
    <w:rsid w:val="00ED7C9A"/>
    <w:rsid w:val="00ED7D0F"/>
    <w:rsid w:val="00ED7D57"/>
    <w:rsid w:val="00ED7D8A"/>
    <w:rsid w:val="00ED7DAD"/>
    <w:rsid w:val="00ED7E13"/>
    <w:rsid w:val="00ED7E66"/>
    <w:rsid w:val="00ED7E79"/>
    <w:rsid w:val="00ED7EED"/>
    <w:rsid w:val="00ED7F08"/>
    <w:rsid w:val="00ED7F31"/>
    <w:rsid w:val="00EE00B2"/>
    <w:rsid w:val="00EE0176"/>
    <w:rsid w:val="00EE017A"/>
    <w:rsid w:val="00EE01EE"/>
    <w:rsid w:val="00EE0238"/>
    <w:rsid w:val="00EE036D"/>
    <w:rsid w:val="00EE03A2"/>
    <w:rsid w:val="00EE03F0"/>
    <w:rsid w:val="00EE0424"/>
    <w:rsid w:val="00EE042E"/>
    <w:rsid w:val="00EE0540"/>
    <w:rsid w:val="00EE0586"/>
    <w:rsid w:val="00EE05B1"/>
    <w:rsid w:val="00EE05BD"/>
    <w:rsid w:val="00EE063C"/>
    <w:rsid w:val="00EE0693"/>
    <w:rsid w:val="00EE06E8"/>
    <w:rsid w:val="00EE089E"/>
    <w:rsid w:val="00EE0A8A"/>
    <w:rsid w:val="00EE0AE4"/>
    <w:rsid w:val="00EE0B3D"/>
    <w:rsid w:val="00EE0BC2"/>
    <w:rsid w:val="00EE0BDA"/>
    <w:rsid w:val="00EE0BFE"/>
    <w:rsid w:val="00EE0C12"/>
    <w:rsid w:val="00EE0C14"/>
    <w:rsid w:val="00EE0C39"/>
    <w:rsid w:val="00EE0C42"/>
    <w:rsid w:val="00EE0C6A"/>
    <w:rsid w:val="00EE0C73"/>
    <w:rsid w:val="00EE0C8B"/>
    <w:rsid w:val="00EE0DBD"/>
    <w:rsid w:val="00EE0E4A"/>
    <w:rsid w:val="00EE0E84"/>
    <w:rsid w:val="00EE0E93"/>
    <w:rsid w:val="00EE0EBB"/>
    <w:rsid w:val="00EE1026"/>
    <w:rsid w:val="00EE109A"/>
    <w:rsid w:val="00EE10CB"/>
    <w:rsid w:val="00EE110D"/>
    <w:rsid w:val="00EE11CD"/>
    <w:rsid w:val="00EE121A"/>
    <w:rsid w:val="00EE1243"/>
    <w:rsid w:val="00EE12BC"/>
    <w:rsid w:val="00EE12CB"/>
    <w:rsid w:val="00EE12DC"/>
    <w:rsid w:val="00EE12F6"/>
    <w:rsid w:val="00EE1302"/>
    <w:rsid w:val="00EE130E"/>
    <w:rsid w:val="00EE131F"/>
    <w:rsid w:val="00EE1395"/>
    <w:rsid w:val="00EE13D8"/>
    <w:rsid w:val="00EE1420"/>
    <w:rsid w:val="00EE1483"/>
    <w:rsid w:val="00EE14EA"/>
    <w:rsid w:val="00EE1504"/>
    <w:rsid w:val="00EE1555"/>
    <w:rsid w:val="00EE15D8"/>
    <w:rsid w:val="00EE1651"/>
    <w:rsid w:val="00EE16C7"/>
    <w:rsid w:val="00EE16E0"/>
    <w:rsid w:val="00EE16F4"/>
    <w:rsid w:val="00EE1758"/>
    <w:rsid w:val="00EE1783"/>
    <w:rsid w:val="00EE17B3"/>
    <w:rsid w:val="00EE18BF"/>
    <w:rsid w:val="00EE18DC"/>
    <w:rsid w:val="00EE1998"/>
    <w:rsid w:val="00EE1AB1"/>
    <w:rsid w:val="00EE1B41"/>
    <w:rsid w:val="00EE1B54"/>
    <w:rsid w:val="00EE1BB9"/>
    <w:rsid w:val="00EE1C21"/>
    <w:rsid w:val="00EE1C34"/>
    <w:rsid w:val="00EE1C63"/>
    <w:rsid w:val="00EE1C7A"/>
    <w:rsid w:val="00EE1CF0"/>
    <w:rsid w:val="00EE1D7D"/>
    <w:rsid w:val="00EE1DA0"/>
    <w:rsid w:val="00EE1E89"/>
    <w:rsid w:val="00EE1EBF"/>
    <w:rsid w:val="00EE1EC5"/>
    <w:rsid w:val="00EE1F35"/>
    <w:rsid w:val="00EE1FC0"/>
    <w:rsid w:val="00EE1FD0"/>
    <w:rsid w:val="00EE1FD1"/>
    <w:rsid w:val="00EE2017"/>
    <w:rsid w:val="00EE202D"/>
    <w:rsid w:val="00EE2048"/>
    <w:rsid w:val="00EE2065"/>
    <w:rsid w:val="00EE20B3"/>
    <w:rsid w:val="00EE2139"/>
    <w:rsid w:val="00EE213A"/>
    <w:rsid w:val="00EE2193"/>
    <w:rsid w:val="00EE21C8"/>
    <w:rsid w:val="00EE224F"/>
    <w:rsid w:val="00EE22C8"/>
    <w:rsid w:val="00EE22F9"/>
    <w:rsid w:val="00EE22FE"/>
    <w:rsid w:val="00EE233A"/>
    <w:rsid w:val="00EE2407"/>
    <w:rsid w:val="00EE2463"/>
    <w:rsid w:val="00EE248E"/>
    <w:rsid w:val="00EE24A7"/>
    <w:rsid w:val="00EE24AC"/>
    <w:rsid w:val="00EE24B8"/>
    <w:rsid w:val="00EE24D2"/>
    <w:rsid w:val="00EE2502"/>
    <w:rsid w:val="00EE258D"/>
    <w:rsid w:val="00EE259D"/>
    <w:rsid w:val="00EE25CC"/>
    <w:rsid w:val="00EE25DB"/>
    <w:rsid w:val="00EE26C1"/>
    <w:rsid w:val="00EE274A"/>
    <w:rsid w:val="00EE2753"/>
    <w:rsid w:val="00EE2794"/>
    <w:rsid w:val="00EE27A0"/>
    <w:rsid w:val="00EE27CF"/>
    <w:rsid w:val="00EE28B6"/>
    <w:rsid w:val="00EE28E8"/>
    <w:rsid w:val="00EE28F3"/>
    <w:rsid w:val="00EE2A08"/>
    <w:rsid w:val="00EE2AB7"/>
    <w:rsid w:val="00EE2AE9"/>
    <w:rsid w:val="00EE2B24"/>
    <w:rsid w:val="00EE2B2F"/>
    <w:rsid w:val="00EE2B74"/>
    <w:rsid w:val="00EE2C18"/>
    <w:rsid w:val="00EE2D39"/>
    <w:rsid w:val="00EE2DB0"/>
    <w:rsid w:val="00EE2DD2"/>
    <w:rsid w:val="00EE2E55"/>
    <w:rsid w:val="00EE2E7B"/>
    <w:rsid w:val="00EE2ED1"/>
    <w:rsid w:val="00EE2F11"/>
    <w:rsid w:val="00EE2F35"/>
    <w:rsid w:val="00EE2F47"/>
    <w:rsid w:val="00EE2F62"/>
    <w:rsid w:val="00EE2FD8"/>
    <w:rsid w:val="00EE3038"/>
    <w:rsid w:val="00EE30A9"/>
    <w:rsid w:val="00EE31B1"/>
    <w:rsid w:val="00EE3243"/>
    <w:rsid w:val="00EE3267"/>
    <w:rsid w:val="00EE326F"/>
    <w:rsid w:val="00EE3295"/>
    <w:rsid w:val="00EE3299"/>
    <w:rsid w:val="00EE32C3"/>
    <w:rsid w:val="00EE3374"/>
    <w:rsid w:val="00EE3390"/>
    <w:rsid w:val="00EE3399"/>
    <w:rsid w:val="00EE33C1"/>
    <w:rsid w:val="00EE33CF"/>
    <w:rsid w:val="00EE33DB"/>
    <w:rsid w:val="00EE341B"/>
    <w:rsid w:val="00EE3431"/>
    <w:rsid w:val="00EE3457"/>
    <w:rsid w:val="00EE359C"/>
    <w:rsid w:val="00EE35FF"/>
    <w:rsid w:val="00EE3640"/>
    <w:rsid w:val="00EE36C1"/>
    <w:rsid w:val="00EE36D5"/>
    <w:rsid w:val="00EE36F9"/>
    <w:rsid w:val="00EE3714"/>
    <w:rsid w:val="00EE389C"/>
    <w:rsid w:val="00EE38BA"/>
    <w:rsid w:val="00EE38D8"/>
    <w:rsid w:val="00EE396A"/>
    <w:rsid w:val="00EE3AAF"/>
    <w:rsid w:val="00EE3BF1"/>
    <w:rsid w:val="00EE3C09"/>
    <w:rsid w:val="00EE3C12"/>
    <w:rsid w:val="00EE3C18"/>
    <w:rsid w:val="00EE3C22"/>
    <w:rsid w:val="00EE3C49"/>
    <w:rsid w:val="00EE3C82"/>
    <w:rsid w:val="00EE3DD5"/>
    <w:rsid w:val="00EE3E43"/>
    <w:rsid w:val="00EE3E8A"/>
    <w:rsid w:val="00EE3EA3"/>
    <w:rsid w:val="00EE3EFF"/>
    <w:rsid w:val="00EE3F41"/>
    <w:rsid w:val="00EE405F"/>
    <w:rsid w:val="00EE4095"/>
    <w:rsid w:val="00EE40DE"/>
    <w:rsid w:val="00EE4111"/>
    <w:rsid w:val="00EE416C"/>
    <w:rsid w:val="00EE41E6"/>
    <w:rsid w:val="00EE42A6"/>
    <w:rsid w:val="00EE42FA"/>
    <w:rsid w:val="00EE4358"/>
    <w:rsid w:val="00EE43DA"/>
    <w:rsid w:val="00EE440D"/>
    <w:rsid w:val="00EE44C1"/>
    <w:rsid w:val="00EE453C"/>
    <w:rsid w:val="00EE454B"/>
    <w:rsid w:val="00EE45A2"/>
    <w:rsid w:val="00EE45A3"/>
    <w:rsid w:val="00EE45F9"/>
    <w:rsid w:val="00EE4658"/>
    <w:rsid w:val="00EE4684"/>
    <w:rsid w:val="00EE46E5"/>
    <w:rsid w:val="00EE476E"/>
    <w:rsid w:val="00EE4775"/>
    <w:rsid w:val="00EE478D"/>
    <w:rsid w:val="00EE4809"/>
    <w:rsid w:val="00EE485E"/>
    <w:rsid w:val="00EE4943"/>
    <w:rsid w:val="00EE49D1"/>
    <w:rsid w:val="00EE4A06"/>
    <w:rsid w:val="00EE4A21"/>
    <w:rsid w:val="00EE4A95"/>
    <w:rsid w:val="00EE4ABE"/>
    <w:rsid w:val="00EE4B11"/>
    <w:rsid w:val="00EE4B48"/>
    <w:rsid w:val="00EE4B90"/>
    <w:rsid w:val="00EE4BC5"/>
    <w:rsid w:val="00EE4E44"/>
    <w:rsid w:val="00EE4E55"/>
    <w:rsid w:val="00EE4E98"/>
    <w:rsid w:val="00EE4EDC"/>
    <w:rsid w:val="00EE4EF4"/>
    <w:rsid w:val="00EE4FEF"/>
    <w:rsid w:val="00EE504F"/>
    <w:rsid w:val="00EE50EF"/>
    <w:rsid w:val="00EE5119"/>
    <w:rsid w:val="00EE522B"/>
    <w:rsid w:val="00EE52C2"/>
    <w:rsid w:val="00EE52E9"/>
    <w:rsid w:val="00EE5330"/>
    <w:rsid w:val="00EE537C"/>
    <w:rsid w:val="00EE53BC"/>
    <w:rsid w:val="00EE544B"/>
    <w:rsid w:val="00EE5534"/>
    <w:rsid w:val="00EE5548"/>
    <w:rsid w:val="00EE5564"/>
    <w:rsid w:val="00EE55FE"/>
    <w:rsid w:val="00EE5603"/>
    <w:rsid w:val="00EE5614"/>
    <w:rsid w:val="00EE566E"/>
    <w:rsid w:val="00EE5699"/>
    <w:rsid w:val="00EE56FA"/>
    <w:rsid w:val="00EE577C"/>
    <w:rsid w:val="00EE5825"/>
    <w:rsid w:val="00EE586F"/>
    <w:rsid w:val="00EE5916"/>
    <w:rsid w:val="00EE592B"/>
    <w:rsid w:val="00EE595D"/>
    <w:rsid w:val="00EE5A3D"/>
    <w:rsid w:val="00EE5A6C"/>
    <w:rsid w:val="00EE5A6D"/>
    <w:rsid w:val="00EE5AFE"/>
    <w:rsid w:val="00EE5B1E"/>
    <w:rsid w:val="00EE5B2D"/>
    <w:rsid w:val="00EE5B72"/>
    <w:rsid w:val="00EE5BA8"/>
    <w:rsid w:val="00EE5BEB"/>
    <w:rsid w:val="00EE5C1A"/>
    <w:rsid w:val="00EE5C86"/>
    <w:rsid w:val="00EE5CAF"/>
    <w:rsid w:val="00EE5D8B"/>
    <w:rsid w:val="00EE5E0F"/>
    <w:rsid w:val="00EE5E36"/>
    <w:rsid w:val="00EE5E37"/>
    <w:rsid w:val="00EE5E4A"/>
    <w:rsid w:val="00EE5ED4"/>
    <w:rsid w:val="00EE5EF1"/>
    <w:rsid w:val="00EE5F46"/>
    <w:rsid w:val="00EE5F7C"/>
    <w:rsid w:val="00EE5FD0"/>
    <w:rsid w:val="00EE603F"/>
    <w:rsid w:val="00EE6063"/>
    <w:rsid w:val="00EE6094"/>
    <w:rsid w:val="00EE60EE"/>
    <w:rsid w:val="00EE60F7"/>
    <w:rsid w:val="00EE610F"/>
    <w:rsid w:val="00EE612D"/>
    <w:rsid w:val="00EE613A"/>
    <w:rsid w:val="00EE61FF"/>
    <w:rsid w:val="00EE621F"/>
    <w:rsid w:val="00EE62C4"/>
    <w:rsid w:val="00EE62F8"/>
    <w:rsid w:val="00EE6327"/>
    <w:rsid w:val="00EE632D"/>
    <w:rsid w:val="00EE6345"/>
    <w:rsid w:val="00EE6407"/>
    <w:rsid w:val="00EE6419"/>
    <w:rsid w:val="00EE6476"/>
    <w:rsid w:val="00EE6527"/>
    <w:rsid w:val="00EE65DC"/>
    <w:rsid w:val="00EE65E7"/>
    <w:rsid w:val="00EE65F8"/>
    <w:rsid w:val="00EE663D"/>
    <w:rsid w:val="00EE669E"/>
    <w:rsid w:val="00EE66A3"/>
    <w:rsid w:val="00EE66BE"/>
    <w:rsid w:val="00EE68FC"/>
    <w:rsid w:val="00EE6932"/>
    <w:rsid w:val="00EE6944"/>
    <w:rsid w:val="00EE69DC"/>
    <w:rsid w:val="00EE69E7"/>
    <w:rsid w:val="00EE69EE"/>
    <w:rsid w:val="00EE6A25"/>
    <w:rsid w:val="00EE6AF8"/>
    <w:rsid w:val="00EE6B17"/>
    <w:rsid w:val="00EE6B81"/>
    <w:rsid w:val="00EE6BA5"/>
    <w:rsid w:val="00EE6C1C"/>
    <w:rsid w:val="00EE6CA3"/>
    <w:rsid w:val="00EE6CA5"/>
    <w:rsid w:val="00EE6CFD"/>
    <w:rsid w:val="00EE6D0C"/>
    <w:rsid w:val="00EE6DF1"/>
    <w:rsid w:val="00EE6E17"/>
    <w:rsid w:val="00EE6EC2"/>
    <w:rsid w:val="00EE6F86"/>
    <w:rsid w:val="00EE6FAF"/>
    <w:rsid w:val="00EE7038"/>
    <w:rsid w:val="00EE70A8"/>
    <w:rsid w:val="00EE7174"/>
    <w:rsid w:val="00EE7202"/>
    <w:rsid w:val="00EE7203"/>
    <w:rsid w:val="00EE7208"/>
    <w:rsid w:val="00EE722B"/>
    <w:rsid w:val="00EE7235"/>
    <w:rsid w:val="00EE729C"/>
    <w:rsid w:val="00EE72B5"/>
    <w:rsid w:val="00EE7365"/>
    <w:rsid w:val="00EE746F"/>
    <w:rsid w:val="00EE74A8"/>
    <w:rsid w:val="00EE7549"/>
    <w:rsid w:val="00EE75BB"/>
    <w:rsid w:val="00EE765B"/>
    <w:rsid w:val="00EE76F3"/>
    <w:rsid w:val="00EE7783"/>
    <w:rsid w:val="00EE789F"/>
    <w:rsid w:val="00EE78B0"/>
    <w:rsid w:val="00EE78F5"/>
    <w:rsid w:val="00EE79F6"/>
    <w:rsid w:val="00EE7A1E"/>
    <w:rsid w:val="00EE7A22"/>
    <w:rsid w:val="00EE7A35"/>
    <w:rsid w:val="00EE7A86"/>
    <w:rsid w:val="00EE7AC3"/>
    <w:rsid w:val="00EE7B25"/>
    <w:rsid w:val="00EE7B8F"/>
    <w:rsid w:val="00EE7BB2"/>
    <w:rsid w:val="00EE7BBD"/>
    <w:rsid w:val="00EE7C4A"/>
    <w:rsid w:val="00EE7D86"/>
    <w:rsid w:val="00EE7E17"/>
    <w:rsid w:val="00EE7E7A"/>
    <w:rsid w:val="00EE7E9D"/>
    <w:rsid w:val="00EE7F86"/>
    <w:rsid w:val="00EE7F88"/>
    <w:rsid w:val="00EE7F89"/>
    <w:rsid w:val="00EE7F97"/>
    <w:rsid w:val="00EF001F"/>
    <w:rsid w:val="00EF006F"/>
    <w:rsid w:val="00EF010E"/>
    <w:rsid w:val="00EF0138"/>
    <w:rsid w:val="00EF0164"/>
    <w:rsid w:val="00EF016D"/>
    <w:rsid w:val="00EF01AF"/>
    <w:rsid w:val="00EF01B8"/>
    <w:rsid w:val="00EF01CC"/>
    <w:rsid w:val="00EF01DD"/>
    <w:rsid w:val="00EF02B2"/>
    <w:rsid w:val="00EF031C"/>
    <w:rsid w:val="00EF0370"/>
    <w:rsid w:val="00EF0377"/>
    <w:rsid w:val="00EF041A"/>
    <w:rsid w:val="00EF0447"/>
    <w:rsid w:val="00EF044E"/>
    <w:rsid w:val="00EF0467"/>
    <w:rsid w:val="00EF04F2"/>
    <w:rsid w:val="00EF050A"/>
    <w:rsid w:val="00EF051E"/>
    <w:rsid w:val="00EF0527"/>
    <w:rsid w:val="00EF05BD"/>
    <w:rsid w:val="00EF0655"/>
    <w:rsid w:val="00EF0666"/>
    <w:rsid w:val="00EF06F9"/>
    <w:rsid w:val="00EF0780"/>
    <w:rsid w:val="00EF0861"/>
    <w:rsid w:val="00EF08B2"/>
    <w:rsid w:val="00EF08D6"/>
    <w:rsid w:val="00EF091F"/>
    <w:rsid w:val="00EF0961"/>
    <w:rsid w:val="00EF096E"/>
    <w:rsid w:val="00EF0A77"/>
    <w:rsid w:val="00EF0A7D"/>
    <w:rsid w:val="00EF0A9D"/>
    <w:rsid w:val="00EF0BB2"/>
    <w:rsid w:val="00EF0C94"/>
    <w:rsid w:val="00EF0C9D"/>
    <w:rsid w:val="00EF0CBD"/>
    <w:rsid w:val="00EF0DA8"/>
    <w:rsid w:val="00EF0DE4"/>
    <w:rsid w:val="00EF0E02"/>
    <w:rsid w:val="00EF0ED0"/>
    <w:rsid w:val="00EF0EFD"/>
    <w:rsid w:val="00EF0F82"/>
    <w:rsid w:val="00EF0FDE"/>
    <w:rsid w:val="00EF11A2"/>
    <w:rsid w:val="00EF1208"/>
    <w:rsid w:val="00EF12D5"/>
    <w:rsid w:val="00EF1304"/>
    <w:rsid w:val="00EF14C3"/>
    <w:rsid w:val="00EF1622"/>
    <w:rsid w:val="00EF1638"/>
    <w:rsid w:val="00EF16D1"/>
    <w:rsid w:val="00EF172A"/>
    <w:rsid w:val="00EF1752"/>
    <w:rsid w:val="00EF17B5"/>
    <w:rsid w:val="00EF17C7"/>
    <w:rsid w:val="00EF1884"/>
    <w:rsid w:val="00EF188F"/>
    <w:rsid w:val="00EF1908"/>
    <w:rsid w:val="00EF1947"/>
    <w:rsid w:val="00EF1A01"/>
    <w:rsid w:val="00EF1A2E"/>
    <w:rsid w:val="00EF1B66"/>
    <w:rsid w:val="00EF1C1C"/>
    <w:rsid w:val="00EF1C6B"/>
    <w:rsid w:val="00EF1CD6"/>
    <w:rsid w:val="00EF1CE6"/>
    <w:rsid w:val="00EF1CF9"/>
    <w:rsid w:val="00EF1E61"/>
    <w:rsid w:val="00EF1F48"/>
    <w:rsid w:val="00EF1F98"/>
    <w:rsid w:val="00EF1FD1"/>
    <w:rsid w:val="00EF1FD3"/>
    <w:rsid w:val="00EF200D"/>
    <w:rsid w:val="00EF205E"/>
    <w:rsid w:val="00EF2099"/>
    <w:rsid w:val="00EF20D3"/>
    <w:rsid w:val="00EF20E5"/>
    <w:rsid w:val="00EF2110"/>
    <w:rsid w:val="00EF215B"/>
    <w:rsid w:val="00EF2165"/>
    <w:rsid w:val="00EF21D8"/>
    <w:rsid w:val="00EF21E1"/>
    <w:rsid w:val="00EF2242"/>
    <w:rsid w:val="00EF22D9"/>
    <w:rsid w:val="00EF234F"/>
    <w:rsid w:val="00EF23E8"/>
    <w:rsid w:val="00EF23FC"/>
    <w:rsid w:val="00EF25A8"/>
    <w:rsid w:val="00EF260F"/>
    <w:rsid w:val="00EF2672"/>
    <w:rsid w:val="00EF26EB"/>
    <w:rsid w:val="00EF27EA"/>
    <w:rsid w:val="00EF27FF"/>
    <w:rsid w:val="00EF2891"/>
    <w:rsid w:val="00EF2934"/>
    <w:rsid w:val="00EF296F"/>
    <w:rsid w:val="00EF2981"/>
    <w:rsid w:val="00EF2A06"/>
    <w:rsid w:val="00EF2A5F"/>
    <w:rsid w:val="00EF2A89"/>
    <w:rsid w:val="00EF2A8D"/>
    <w:rsid w:val="00EF2B31"/>
    <w:rsid w:val="00EF2B85"/>
    <w:rsid w:val="00EF2B8A"/>
    <w:rsid w:val="00EF2B97"/>
    <w:rsid w:val="00EF2BF3"/>
    <w:rsid w:val="00EF2C16"/>
    <w:rsid w:val="00EF2C6B"/>
    <w:rsid w:val="00EF2D8A"/>
    <w:rsid w:val="00EF2E9D"/>
    <w:rsid w:val="00EF2F2E"/>
    <w:rsid w:val="00EF30B0"/>
    <w:rsid w:val="00EF30C2"/>
    <w:rsid w:val="00EF30E1"/>
    <w:rsid w:val="00EF3186"/>
    <w:rsid w:val="00EF3201"/>
    <w:rsid w:val="00EF325A"/>
    <w:rsid w:val="00EF32F4"/>
    <w:rsid w:val="00EF3333"/>
    <w:rsid w:val="00EF3399"/>
    <w:rsid w:val="00EF33C5"/>
    <w:rsid w:val="00EF33D5"/>
    <w:rsid w:val="00EF3435"/>
    <w:rsid w:val="00EF3436"/>
    <w:rsid w:val="00EF3455"/>
    <w:rsid w:val="00EF34B9"/>
    <w:rsid w:val="00EF34D9"/>
    <w:rsid w:val="00EF34E8"/>
    <w:rsid w:val="00EF3539"/>
    <w:rsid w:val="00EF35A2"/>
    <w:rsid w:val="00EF364F"/>
    <w:rsid w:val="00EF3676"/>
    <w:rsid w:val="00EF38F5"/>
    <w:rsid w:val="00EF39EA"/>
    <w:rsid w:val="00EF3A09"/>
    <w:rsid w:val="00EF3A58"/>
    <w:rsid w:val="00EF3A86"/>
    <w:rsid w:val="00EF3AAA"/>
    <w:rsid w:val="00EF3C34"/>
    <w:rsid w:val="00EF3DBE"/>
    <w:rsid w:val="00EF3DC3"/>
    <w:rsid w:val="00EF3ED7"/>
    <w:rsid w:val="00EF3F06"/>
    <w:rsid w:val="00EF3F5C"/>
    <w:rsid w:val="00EF3F6A"/>
    <w:rsid w:val="00EF4018"/>
    <w:rsid w:val="00EF4057"/>
    <w:rsid w:val="00EF40B0"/>
    <w:rsid w:val="00EF40CC"/>
    <w:rsid w:val="00EF4103"/>
    <w:rsid w:val="00EF4113"/>
    <w:rsid w:val="00EF41BB"/>
    <w:rsid w:val="00EF41D9"/>
    <w:rsid w:val="00EF4208"/>
    <w:rsid w:val="00EF42F8"/>
    <w:rsid w:val="00EF4331"/>
    <w:rsid w:val="00EF4356"/>
    <w:rsid w:val="00EF43AA"/>
    <w:rsid w:val="00EF4418"/>
    <w:rsid w:val="00EF4430"/>
    <w:rsid w:val="00EF4599"/>
    <w:rsid w:val="00EF4627"/>
    <w:rsid w:val="00EF465D"/>
    <w:rsid w:val="00EF4698"/>
    <w:rsid w:val="00EF46B7"/>
    <w:rsid w:val="00EF46BB"/>
    <w:rsid w:val="00EF46BD"/>
    <w:rsid w:val="00EF46E3"/>
    <w:rsid w:val="00EF46EB"/>
    <w:rsid w:val="00EF47C9"/>
    <w:rsid w:val="00EF48B6"/>
    <w:rsid w:val="00EF4A31"/>
    <w:rsid w:val="00EF4B1D"/>
    <w:rsid w:val="00EF4C3D"/>
    <w:rsid w:val="00EF4C7A"/>
    <w:rsid w:val="00EF4C9F"/>
    <w:rsid w:val="00EF4CEC"/>
    <w:rsid w:val="00EF4F1E"/>
    <w:rsid w:val="00EF4FE1"/>
    <w:rsid w:val="00EF4FE3"/>
    <w:rsid w:val="00EF5015"/>
    <w:rsid w:val="00EF5023"/>
    <w:rsid w:val="00EF502B"/>
    <w:rsid w:val="00EF50AD"/>
    <w:rsid w:val="00EF517A"/>
    <w:rsid w:val="00EF5184"/>
    <w:rsid w:val="00EF5237"/>
    <w:rsid w:val="00EF5299"/>
    <w:rsid w:val="00EF52C1"/>
    <w:rsid w:val="00EF5361"/>
    <w:rsid w:val="00EF53D1"/>
    <w:rsid w:val="00EF541E"/>
    <w:rsid w:val="00EF54B5"/>
    <w:rsid w:val="00EF551C"/>
    <w:rsid w:val="00EF55BD"/>
    <w:rsid w:val="00EF571F"/>
    <w:rsid w:val="00EF57DA"/>
    <w:rsid w:val="00EF5864"/>
    <w:rsid w:val="00EF58E6"/>
    <w:rsid w:val="00EF5941"/>
    <w:rsid w:val="00EF5988"/>
    <w:rsid w:val="00EF5ACF"/>
    <w:rsid w:val="00EF5B34"/>
    <w:rsid w:val="00EF5BBD"/>
    <w:rsid w:val="00EF5BE1"/>
    <w:rsid w:val="00EF5C77"/>
    <w:rsid w:val="00EF5C8F"/>
    <w:rsid w:val="00EF5E15"/>
    <w:rsid w:val="00EF5F84"/>
    <w:rsid w:val="00EF5FAA"/>
    <w:rsid w:val="00EF6034"/>
    <w:rsid w:val="00EF608C"/>
    <w:rsid w:val="00EF6130"/>
    <w:rsid w:val="00EF6155"/>
    <w:rsid w:val="00EF615A"/>
    <w:rsid w:val="00EF62AB"/>
    <w:rsid w:val="00EF62B8"/>
    <w:rsid w:val="00EF6399"/>
    <w:rsid w:val="00EF639F"/>
    <w:rsid w:val="00EF63C2"/>
    <w:rsid w:val="00EF6413"/>
    <w:rsid w:val="00EF648D"/>
    <w:rsid w:val="00EF64E0"/>
    <w:rsid w:val="00EF6537"/>
    <w:rsid w:val="00EF65DE"/>
    <w:rsid w:val="00EF6657"/>
    <w:rsid w:val="00EF6726"/>
    <w:rsid w:val="00EF678C"/>
    <w:rsid w:val="00EF67B2"/>
    <w:rsid w:val="00EF67C6"/>
    <w:rsid w:val="00EF6802"/>
    <w:rsid w:val="00EF6808"/>
    <w:rsid w:val="00EF680D"/>
    <w:rsid w:val="00EF682A"/>
    <w:rsid w:val="00EF6830"/>
    <w:rsid w:val="00EF694D"/>
    <w:rsid w:val="00EF6A06"/>
    <w:rsid w:val="00EF6A33"/>
    <w:rsid w:val="00EF6AE2"/>
    <w:rsid w:val="00EF6B03"/>
    <w:rsid w:val="00EF6BFF"/>
    <w:rsid w:val="00EF6C3C"/>
    <w:rsid w:val="00EF6C87"/>
    <w:rsid w:val="00EF6D02"/>
    <w:rsid w:val="00EF6D09"/>
    <w:rsid w:val="00EF6D40"/>
    <w:rsid w:val="00EF6E56"/>
    <w:rsid w:val="00EF6F9D"/>
    <w:rsid w:val="00EF6FD2"/>
    <w:rsid w:val="00EF70A0"/>
    <w:rsid w:val="00EF70FC"/>
    <w:rsid w:val="00EF71BB"/>
    <w:rsid w:val="00EF72AC"/>
    <w:rsid w:val="00EF72C4"/>
    <w:rsid w:val="00EF72DF"/>
    <w:rsid w:val="00EF7319"/>
    <w:rsid w:val="00EF7331"/>
    <w:rsid w:val="00EF741E"/>
    <w:rsid w:val="00EF7431"/>
    <w:rsid w:val="00EF7453"/>
    <w:rsid w:val="00EF7490"/>
    <w:rsid w:val="00EF74F0"/>
    <w:rsid w:val="00EF753C"/>
    <w:rsid w:val="00EF755E"/>
    <w:rsid w:val="00EF75B0"/>
    <w:rsid w:val="00EF75DF"/>
    <w:rsid w:val="00EF7622"/>
    <w:rsid w:val="00EF7661"/>
    <w:rsid w:val="00EF76D8"/>
    <w:rsid w:val="00EF76EB"/>
    <w:rsid w:val="00EF7701"/>
    <w:rsid w:val="00EF7757"/>
    <w:rsid w:val="00EF77BE"/>
    <w:rsid w:val="00EF77DC"/>
    <w:rsid w:val="00EF7908"/>
    <w:rsid w:val="00EF7952"/>
    <w:rsid w:val="00EF79AF"/>
    <w:rsid w:val="00EF7AD0"/>
    <w:rsid w:val="00EF7B55"/>
    <w:rsid w:val="00EF7B5F"/>
    <w:rsid w:val="00EF7B7A"/>
    <w:rsid w:val="00EF7BA2"/>
    <w:rsid w:val="00EF7CB7"/>
    <w:rsid w:val="00EF7F42"/>
    <w:rsid w:val="00F0008F"/>
    <w:rsid w:val="00F00134"/>
    <w:rsid w:val="00F00211"/>
    <w:rsid w:val="00F0029F"/>
    <w:rsid w:val="00F00330"/>
    <w:rsid w:val="00F0034A"/>
    <w:rsid w:val="00F00359"/>
    <w:rsid w:val="00F00444"/>
    <w:rsid w:val="00F00532"/>
    <w:rsid w:val="00F005A9"/>
    <w:rsid w:val="00F00642"/>
    <w:rsid w:val="00F006DC"/>
    <w:rsid w:val="00F00764"/>
    <w:rsid w:val="00F007DE"/>
    <w:rsid w:val="00F0080A"/>
    <w:rsid w:val="00F00832"/>
    <w:rsid w:val="00F00853"/>
    <w:rsid w:val="00F00877"/>
    <w:rsid w:val="00F008F0"/>
    <w:rsid w:val="00F008F5"/>
    <w:rsid w:val="00F0095A"/>
    <w:rsid w:val="00F009E5"/>
    <w:rsid w:val="00F009E8"/>
    <w:rsid w:val="00F00AE4"/>
    <w:rsid w:val="00F00B3A"/>
    <w:rsid w:val="00F00BF3"/>
    <w:rsid w:val="00F00C83"/>
    <w:rsid w:val="00F00D13"/>
    <w:rsid w:val="00F00D49"/>
    <w:rsid w:val="00F00DDD"/>
    <w:rsid w:val="00F00E09"/>
    <w:rsid w:val="00F00E21"/>
    <w:rsid w:val="00F00ED1"/>
    <w:rsid w:val="00F00F17"/>
    <w:rsid w:val="00F00F28"/>
    <w:rsid w:val="00F00FC0"/>
    <w:rsid w:val="00F0103F"/>
    <w:rsid w:val="00F01064"/>
    <w:rsid w:val="00F010D9"/>
    <w:rsid w:val="00F011A4"/>
    <w:rsid w:val="00F011F4"/>
    <w:rsid w:val="00F0126E"/>
    <w:rsid w:val="00F01277"/>
    <w:rsid w:val="00F012AF"/>
    <w:rsid w:val="00F012C3"/>
    <w:rsid w:val="00F012E4"/>
    <w:rsid w:val="00F0138A"/>
    <w:rsid w:val="00F013F1"/>
    <w:rsid w:val="00F0140E"/>
    <w:rsid w:val="00F01434"/>
    <w:rsid w:val="00F01472"/>
    <w:rsid w:val="00F01495"/>
    <w:rsid w:val="00F014C9"/>
    <w:rsid w:val="00F0151A"/>
    <w:rsid w:val="00F0152F"/>
    <w:rsid w:val="00F01547"/>
    <w:rsid w:val="00F01560"/>
    <w:rsid w:val="00F01566"/>
    <w:rsid w:val="00F0158E"/>
    <w:rsid w:val="00F015C6"/>
    <w:rsid w:val="00F01674"/>
    <w:rsid w:val="00F01707"/>
    <w:rsid w:val="00F0179A"/>
    <w:rsid w:val="00F017F1"/>
    <w:rsid w:val="00F01851"/>
    <w:rsid w:val="00F0185C"/>
    <w:rsid w:val="00F01871"/>
    <w:rsid w:val="00F01922"/>
    <w:rsid w:val="00F01963"/>
    <w:rsid w:val="00F01985"/>
    <w:rsid w:val="00F0199D"/>
    <w:rsid w:val="00F019A4"/>
    <w:rsid w:val="00F019C6"/>
    <w:rsid w:val="00F01A00"/>
    <w:rsid w:val="00F01A24"/>
    <w:rsid w:val="00F01AB9"/>
    <w:rsid w:val="00F01AE4"/>
    <w:rsid w:val="00F01AE7"/>
    <w:rsid w:val="00F01B35"/>
    <w:rsid w:val="00F01BDC"/>
    <w:rsid w:val="00F01BF5"/>
    <w:rsid w:val="00F01C04"/>
    <w:rsid w:val="00F01C10"/>
    <w:rsid w:val="00F01C1C"/>
    <w:rsid w:val="00F01C30"/>
    <w:rsid w:val="00F01CC1"/>
    <w:rsid w:val="00F01CC4"/>
    <w:rsid w:val="00F01CEE"/>
    <w:rsid w:val="00F01D57"/>
    <w:rsid w:val="00F01DBF"/>
    <w:rsid w:val="00F01DD8"/>
    <w:rsid w:val="00F01DDB"/>
    <w:rsid w:val="00F01E5C"/>
    <w:rsid w:val="00F01EA7"/>
    <w:rsid w:val="00F01EB3"/>
    <w:rsid w:val="00F01F27"/>
    <w:rsid w:val="00F02037"/>
    <w:rsid w:val="00F0210E"/>
    <w:rsid w:val="00F02120"/>
    <w:rsid w:val="00F02152"/>
    <w:rsid w:val="00F021BD"/>
    <w:rsid w:val="00F022A4"/>
    <w:rsid w:val="00F022EA"/>
    <w:rsid w:val="00F02380"/>
    <w:rsid w:val="00F023CC"/>
    <w:rsid w:val="00F02475"/>
    <w:rsid w:val="00F0247F"/>
    <w:rsid w:val="00F024AF"/>
    <w:rsid w:val="00F02528"/>
    <w:rsid w:val="00F0252C"/>
    <w:rsid w:val="00F0253F"/>
    <w:rsid w:val="00F02573"/>
    <w:rsid w:val="00F027C6"/>
    <w:rsid w:val="00F027FD"/>
    <w:rsid w:val="00F02803"/>
    <w:rsid w:val="00F0282F"/>
    <w:rsid w:val="00F028C6"/>
    <w:rsid w:val="00F02984"/>
    <w:rsid w:val="00F02A73"/>
    <w:rsid w:val="00F02A99"/>
    <w:rsid w:val="00F02B4A"/>
    <w:rsid w:val="00F02B96"/>
    <w:rsid w:val="00F02C9C"/>
    <w:rsid w:val="00F02D20"/>
    <w:rsid w:val="00F02D21"/>
    <w:rsid w:val="00F02DAA"/>
    <w:rsid w:val="00F02DAF"/>
    <w:rsid w:val="00F02DB5"/>
    <w:rsid w:val="00F02EA8"/>
    <w:rsid w:val="00F02EC4"/>
    <w:rsid w:val="00F02F1E"/>
    <w:rsid w:val="00F02F34"/>
    <w:rsid w:val="00F02F38"/>
    <w:rsid w:val="00F030AA"/>
    <w:rsid w:val="00F030BA"/>
    <w:rsid w:val="00F030BD"/>
    <w:rsid w:val="00F030E8"/>
    <w:rsid w:val="00F0314B"/>
    <w:rsid w:val="00F0315D"/>
    <w:rsid w:val="00F03273"/>
    <w:rsid w:val="00F03291"/>
    <w:rsid w:val="00F032FD"/>
    <w:rsid w:val="00F03343"/>
    <w:rsid w:val="00F03421"/>
    <w:rsid w:val="00F03433"/>
    <w:rsid w:val="00F03438"/>
    <w:rsid w:val="00F03492"/>
    <w:rsid w:val="00F034F9"/>
    <w:rsid w:val="00F03503"/>
    <w:rsid w:val="00F035C1"/>
    <w:rsid w:val="00F035CB"/>
    <w:rsid w:val="00F035F2"/>
    <w:rsid w:val="00F0363B"/>
    <w:rsid w:val="00F0363C"/>
    <w:rsid w:val="00F03693"/>
    <w:rsid w:val="00F03709"/>
    <w:rsid w:val="00F03789"/>
    <w:rsid w:val="00F037E5"/>
    <w:rsid w:val="00F0399B"/>
    <w:rsid w:val="00F039A4"/>
    <w:rsid w:val="00F039AC"/>
    <w:rsid w:val="00F039DE"/>
    <w:rsid w:val="00F039E7"/>
    <w:rsid w:val="00F039F7"/>
    <w:rsid w:val="00F03A24"/>
    <w:rsid w:val="00F03B8F"/>
    <w:rsid w:val="00F03BA0"/>
    <w:rsid w:val="00F03BF0"/>
    <w:rsid w:val="00F03BF5"/>
    <w:rsid w:val="00F03C96"/>
    <w:rsid w:val="00F03D2F"/>
    <w:rsid w:val="00F03D7A"/>
    <w:rsid w:val="00F03E09"/>
    <w:rsid w:val="00F03EB3"/>
    <w:rsid w:val="00F03F00"/>
    <w:rsid w:val="00F04023"/>
    <w:rsid w:val="00F04084"/>
    <w:rsid w:val="00F04178"/>
    <w:rsid w:val="00F0418D"/>
    <w:rsid w:val="00F041D3"/>
    <w:rsid w:val="00F04204"/>
    <w:rsid w:val="00F0420A"/>
    <w:rsid w:val="00F0427A"/>
    <w:rsid w:val="00F042CC"/>
    <w:rsid w:val="00F042E5"/>
    <w:rsid w:val="00F042E8"/>
    <w:rsid w:val="00F043AE"/>
    <w:rsid w:val="00F0445E"/>
    <w:rsid w:val="00F04470"/>
    <w:rsid w:val="00F044C0"/>
    <w:rsid w:val="00F045DA"/>
    <w:rsid w:val="00F0464C"/>
    <w:rsid w:val="00F04682"/>
    <w:rsid w:val="00F0468D"/>
    <w:rsid w:val="00F046AB"/>
    <w:rsid w:val="00F0472E"/>
    <w:rsid w:val="00F0475F"/>
    <w:rsid w:val="00F04765"/>
    <w:rsid w:val="00F047D8"/>
    <w:rsid w:val="00F047FA"/>
    <w:rsid w:val="00F0484D"/>
    <w:rsid w:val="00F0485E"/>
    <w:rsid w:val="00F04886"/>
    <w:rsid w:val="00F048D2"/>
    <w:rsid w:val="00F04A4F"/>
    <w:rsid w:val="00F04A75"/>
    <w:rsid w:val="00F04AD1"/>
    <w:rsid w:val="00F04AD4"/>
    <w:rsid w:val="00F04ADB"/>
    <w:rsid w:val="00F04AEB"/>
    <w:rsid w:val="00F04B24"/>
    <w:rsid w:val="00F04B65"/>
    <w:rsid w:val="00F04B6C"/>
    <w:rsid w:val="00F04C97"/>
    <w:rsid w:val="00F04E5E"/>
    <w:rsid w:val="00F04E9C"/>
    <w:rsid w:val="00F04EA1"/>
    <w:rsid w:val="00F04F07"/>
    <w:rsid w:val="00F04F74"/>
    <w:rsid w:val="00F04FEA"/>
    <w:rsid w:val="00F04FFC"/>
    <w:rsid w:val="00F05023"/>
    <w:rsid w:val="00F050EA"/>
    <w:rsid w:val="00F05120"/>
    <w:rsid w:val="00F0512D"/>
    <w:rsid w:val="00F05148"/>
    <w:rsid w:val="00F0515B"/>
    <w:rsid w:val="00F051F9"/>
    <w:rsid w:val="00F051FB"/>
    <w:rsid w:val="00F05207"/>
    <w:rsid w:val="00F05219"/>
    <w:rsid w:val="00F053D0"/>
    <w:rsid w:val="00F053FA"/>
    <w:rsid w:val="00F05407"/>
    <w:rsid w:val="00F0545B"/>
    <w:rsid w:val="00F05575"/>
    <w:rsid w:val="00F05583"/>
    <w:rsid w:val="00F0560F"/>
    <w:rsid w:val="00F056CC"/>
    <w:rsid w:val="00F056E5"/>
    <w:rsid w:val="00F0572C"/>
    <w:rsid w:val="00F057A9"/>
    <w:rsid w:val="00F05864"/>
    <w:rsid w:val="00F058CB"/>
    <w:rsid w:val="00F058D6"/>
    <w:rsid w:val="00F0595C"/>
    <w:rsid w:val="00F05A01"/>
    <w:rsid w:val="00F05C55"/>
    <w:rsid w:val="00F05CF6"/>
    <w:rsid w:val="00F05D27"/>
    <w:rsid w:val="00F05D7D"/>
    <w:rsid w:val="00F05DFE"/>
    <w:rsid w:val="00F05E54"/>
    <w:rsid w:val="00F05EC3"/>
    <w:rsid w:val="00F05F56"/>
    <w:rsid w:val="00F05F7A"/>
    <w:rsid w:val="00F06187"/>
    <w:rsid w:val="00F061B8"/>
    <w:rsid w:val="00F061E9"/>
    <w:rsid w:val="00F062E9"/>
    <w:rsid w:val="00F06348"/>
    <w:rsid w:val="00F06374"/>
    <w:rsid w:val="00F0638D"/>
    <w:rsid w:val="00F0657C"/>
    <w:rsid w:val="00F066C2"/>
    <w:rsid w:val="00F066E3"/>
    <w:rsid w:val="00F06732"/>
    <w:rsid w:val="00F06740"/>
    <w:rsid w:val="00F067D2"/>
    <w:rsid w:val="00F0680F"/>
    <w:rsid w:val="00F068B5"/>
    <w:rsid w:val="00F06903"/>
    <w:rsid w:val="00F06921"/>
    <w:rsid w:val="00F06934"/>
    <w:rsid w:val="00F06943"/>
    <w:rsid w:val="00F06947"/>
    <w:rsid w:val="00F069AB"/>
    <w:rsid w:val="00F06A21"/>
    <w:rsid w:val="00F06A33"/>
    <w:rsid w:val="00F06A5A"/>
    <w:rsid w:val="00F06AA9"/>
    <w:rsid w:val="00F06AED"/>
    <w:rsid w:val="00F06C18"/>
    <w:rsid w:val="00F06D47"/>
    <w:rsid w:val="00F06D7D"/>
    <w:rsid w:val="00F06D86"/>
    <w:rsid w:val="00F06DAB"/>
    <w:rsid w:val="00F06DE1"/>
    <w:rsid w:val="00F06DEC"/>
    <w:rsid w:val="00F06E41"/>
    <w:rsid w:val="00F06E54"/>
    <w:rsid w:val="00F06E96"/>
    <w:rsid w:val="00F06EB8"/>
    <w:rsid w:val="00F06F5E"/>
    <w:rsid w:val="00F06F93"/>
    <w:rsid w:val="00F06FB4"/>
    <w:rsid w:val="00F0709F"/>
    <w:rsid w:val="00F070B4"/>
    <w:rsid w:val="00F070EC"/>
    <w:rsid w:val="00F07107"/>
    <w:rsid w:val="00F07174"/>
    <w:rsid w:val="00F07178"/>
    <w:rsid w:val="00F071AA"/>
    <w:rsid w:val="00F0721C"/>
    <w:rsid w:val="00F0733B"/>
    <w:rsid w:val="00F074EE"/>
    <w:rsid w:val="00F074F9"/>
    <w:rsid w:val="00F07504"/>
    <w:rsid w:val="00F07549"/>
    <w:rsid w:val="00F075A0"/>
    <w:rsid w:val="00F07655"/>
    <w:rsid w:val="00F076B0"/>
    <w:rsid w:val="00F076D9"/>
    <w:rsid w:val="00F07709"/>
    <w:rsid w:val="00F07720"/>
    <w:rsid w:val="00F0779C"/>
    <w:rsid w:val="00F077FD"/>
    <w:rsid w:val="00F078F8"/>
    <w:rsid w:val="00F0793C"/>
    <w:rsid w:val="00F0794A"/>
    <w:rsid w:val="00F07957"/>
    <w:rsid w:val="00F0796E"/>
    <w:rsid w:val="00F079B5"/>
    <w:rsid w:val="00F079FF"/>
    <w:rsid w:val="00F07A5B"/>
    <w:rsid w:val="00F07A78"/>
    <w:rsid w:val="00F07AA7"/>
    <w:rsid w:val="00F07B08"/>
    <w:rsid w:val="00F07B43"/>
    <w:rsid w:val="00F07B52"/>
    <w:rsid w:val="00F07C71"/>
    <w:rsid w:val="00F07CBE"/>
    <w:rsid w:val="00F07D10"/>
    <w:rsid w:val="00F07D40"/>
    <w:rsid w:val="00F07DE4"/>
    <w:rsid w:val="00F07E1F"/>
    <w:rsid w:val="00F07E51"/>
    <w:rsid w:val="00F07E62"/>
    <w:rsid w:val="00F07E72"/>
    <w:rsid w:val="00F07EA1"/>
    <w:rsid w:val="00F07EBD"/>
    <w:rsid w:val="00F07F1D"/>
    <w:rsid w:val="00F07F52"/>
    <w:rsid w:val="00F07FF6"/>
    <w:rsid w:val="00F10039"/>
    <w:rsid w:val="00F10181"/>
    <w:rsid w:val="00F101C9"/>
    <w:rsid w:val="00F101CA"/>
    <w:rsid w:val="00F10244"/>
    <w:rsid w:val="00F1025B"/>
    <w:rsid w:val="00F10297"/>
    <w:rsid w:val="00F1030B"/>
    <w:rsid w:val="00F10337"/>
    <w:rsid w:val="00F10421"/>
    <w:rsid w:val="00F10537"/>
    <w:rsid w:val="00F10553"/>
    <w:rsid w:val="00F10557"/>
    <w:rsid w:val="00F10592"/>
    <w:rsid w:val="00F1069D"/>
    <w:rsid w:val="00F10703"/>
    <w:rsid w:val="00F1070F"/>
    <w:rsid w:val="00F10734"/>
    <w:rsid w:val="00F1078B"/>
    <w:rsid w:val="00F107AC"/>
    <w:rsid w:val="00F10833"/>
    <w:rsid w:val="00F10835"/>
    <w:rsid w:val="00F10916"/>
    <w:rsid w:val="00F10A03"/>
    <w:rsid w:val="00F10BCE"/>
    <w:rsid w:val="00F10CB0"/>
    <w:rsid w:val="00F10D09"/>
    <w:rsid w:val="00F10D62"/>
    <w:rsid w:val="00F10D9F"/>
    <w:rsid w:val="00F10E07"/>
    <w:rsid w:val="00F10E29"/>
    <w:rsid w:val="00F10ED0"/>
    <w:rsid w:val="00F10F38"/>
    <w:rsid w:val="00F10F44"/>
    <w:rsid w:val="00F10FDA"/>
    <w:rsid w:val="00F110CB"/>
    <w:rsid w:val="00F1111B"/>
    <w:rsid w:val="00F11147"/>
    <w:rsid w:val="00F11188"/>
    <w:rsid w:val="00F111CF"/>
    <w:rsid w:val="00F11222"/>
    <w:rsid w:val="00F112D9"/>
    <w:rsid w:val="00F11329"/>
    <w:rsid w:val="00F1138F"/>
    <w:rsid w:val="00F113DF"/>
    <w:rsid w:val="00F11524"/>
    <w:rsid w:val="00F11557"/>
    <w:rsid w:val="00F1156E"/>
    <w:rsid w:val="00F11588"/>
    <w:rsid w:val="00F116AC"/>
    <w:rsid w:val="00F11749"/>
    <w:rsid w:val="00F1178E"/>
    <w:rsid w:val="00F117AF"/>
    <w:rsid w:val="00F11842"/>
    <w:rsid w:val="00F119BF"/>
    <w:rsid w:val="00F119D4"/>
    <w:rsid w:val="00F11A0D"/>
    <w:rsid w:val="00F11ABE"/>
    <w:rsid w:val="00F11B4A"/>
    <w:rsid w:val="00F11CCC"/>
    <w:rsid w:val="00F11DB9"/>
    <w:rsid w:val="00F11E42"/>
    <w:rsid w:val="00F11F06"/>
    <w:rsid w:val="00F11F0F"/>
    <w:rsid w:val="00F11FDB"/>
    <w:rsid w:val="00F1206F"/>
    <w:rsid w:val="00F12076"/>
    <w:rsid w:val="00F120F2"/>
    <w:rsid w:val="00F1211B"/>
    <w:rsid w:val="00F121E1"/>
    <w:rsid w:val="00F12290"/>
    <w:rsid w:val="00F1231D"/>
    <w:rsid w:val="00F1232A"/>
    <w:rsid w:val="00F123BE"/>
    <w:rsid w:val="00F123EE"/>
    <w:rsid w:val="00F124C9"/>
    <w:rsid w:val="00F12500"/>
    <w:rsid w:val="00F125B2"/>
    <w:rsid w:val="00F12606"/>
    <w:rsid w:val="00F12625"/>
    <w:rsid w:val="00F1265D"/>
    <w:rsid w:val="00F1274C"/>
    <w:rsid w:val="00F1278F"/>
    <w:rsid w:val="00F12826"/>
    <w:rsid w:val="00F128F1"/>
    <w:rsid w:val="00F129C6"/>
    <w:rsid w:val="00F129E6"/>
    <w:rsid w:val="00F12A34"/>
    <w:rsid w:val="00F12A5B"/>
    <w:rsid w:val="00F12B69"/>
    <w:rsid w:val="00F12B73"/>
    <w:rsid w:val="00F12CE4"/>
    <w:rsid w:val="00F12D5D"/>
    <w:rsid w:val="00F12D7A"/>
    <w:rsid w:val="00F12DEE"/>
    <w:rsid w:val="00F12E6C"/>
    <w:rsid w:val="00F12E95"/>
    <w:rsid w:val="00F12EC1"/>
    <w:rsid w:val="00F12F37"/>
    <w:rsid w:val="00F12FFF"/>
    <w:rsid w:val="00F1309C"/>
    <w:rsid w:val="00F130BE"/>
    <w:rsid w:val="00F130EA"/>
    <w:rsid w:val="00F1311C"/>
    <w:rsid w:val="00F1312D"/>
    <w:rsid w:val="00F131DC"/>
    <w:rsid w:val="00F1320F"/>
    <w:rsid w:val="00F13351"/>
    <w:rsid w:val="00F133C7"/>
    <w:rsid w:val="00F1342E"/>
    <w:rsid w:val="00F1351C"/>
    <w:rsid w:val="00F13569"/>
    <w:rsid w:val="00F1363B"/>
    <w:rsid w:val="00F136A3"/>
    <w:rsid w:val="00F136F2"/>
    <w:rsid w:val="00F1378C"/>
    <w:rsid w:val="00F1391C"/>
    <w:rsid w:val="00F13948"/>
    <w:rsid w:val="00F1399A"/>
    <w:rsid w:val="00F13A00"/>
    <w:rsid w:val="00F13A88"/>
    <w:rsid w:val="00F13AAB"/>
    <w:rsid w:val="00F13AF2"/>
    <w:rsid w:val="00F13B20"/>
    <w:rsid w:val="00F13BFE"/>
    <w:rsid w:val="00F13C38"/>
    <w:rsid w:val="00F13C67"/>
    <w:rsid w:val="00F13C69"/>
    <w:rsid w:val="00F13C72"/>
    <w:rsid w:val="00F13D43"/>
    <w:rsid w:val="00F13D46"/>
    <w:rsid w:val="00F13E11"/>
    <w:rsid w:val="00F13E4F"/>
    <w:rsid w:val="00F13E7A"/>
    <w:rsid w:val="00F13F6F"/>
    <w:rsid w:val="00F13F85"/>
    <w:rsid w:val="00F13FA6"/>
    <w:rsid w:val="00F13FAD"/>
    <w:rsid w:val="00F14071"/>
    <w:rsid w:val="00F14092"/>
    <w:rsid w:val="00F141C8"/>
    <w:rsid w:val="00F141D1"/>
    <w:rsid w:val="00F1421D"/>
    <w:rsid w:val="00F142B5"/>
    <w:rsid w:val="00F14354"/>
    <w:rsid w:val="00F14454"/>
    <w:rsid w:val="00F14458"/>
    <w:rsid w:val="00F14593"/>
    <w:rsid w:val="00F14616"/>
    <w:rsid w:val="00F14618"/>
    <w:rsid w:val="00F14664"/>
    <w:rsid w:val="00F1469B"/>
    <w:rsid w:val="00F1473A"/>
    <w:rsid w:val="00F1474E"/>
    <w:rsid w:val="00F14757"/>
    <w:rsid w:val="00F14815"/>
    <w:rsid w:val="00F14956"/>
    <w:rsid w:val="00F1498A"/>
    <w:rsid w:val="00F149C6"/>
    <w:rsid w:val="00F14A05"/>
    <w:rsid w:val="00F14A5F"/>
    <w:rsid w:val="00F14BD3"/>
    <w:rsid w:val="00F14C78"/>
    <w:rsid w:val="00F14C7F"/>
    <w:rsid w:val="00F14CF9"/>
    <w:rsid w:val="00F14DAE"/>
    <w:rsid w:val="00F14E1C"/>
    <w:rsid w:val="00F14E48"/>
    <w:rsid w:val="00F14ED5"/>
    <w:rsid w:val="00F14EEC"/>
    <w:rsid w:val="00F14F58"/>
    <w:rsid w:val="00F14F62"/>
    <w:rsid w:val="00F15013"/>
    <w:rsid w:val="00F15030"/>
    <w:rsid w:val="00F151A3"/>
    <w:rsid w:val="00F1520B"/>
    <w:rsid w:val="00F15311"/>
    <w:rsid w:val="00F15342"/>
    <w:rsid w:val="00F153DD"/>
    <w:rsid w:val="00F1552D"/>
    <w:rsid w:val="00F1564A"/>
    <w:rsid w:val="00F1566D"/>
    <w:rsid w:val="00F156FC"/>
    <w:rsid w:val="00F157AD"/>
    <w:rsid w:val="00F15807"/>
    <w:rsid w:val="00F15871"/>
    <w:rsid w:val="00F15877"/>
    <w:rsid w:val="00F15926"/>
    <w:rsid w:val="00F15942"/>
    <w:rsid w:val="00F15965"/>
    <w:rsid w:val="00F159AC"/>
    <w:rsid w:val="00F159CE"/>
    <w:rsid w:val="00F159D9"/>
    <w:rsid w:val="00F159F3"/>
    <w:rsid w:val="00F15A10"/>
    <w:rsid w:val="00F15AB5"/>
    <w:rsid w:val="00F15AEF"/>
    <w:rsid w:val="00F15B15"/>
    <w:rsid w:val="00F15B64"/>
    <w:rsid w:val="00F15C58"/>
    <w:rsid w:val="00F15DBA"/>
    <w:rsid w:val="00F15E0E"/>
    <w:rsid w:val="00F15FA3"/>
    <w:rsid w:val="00F15FB8"/>
    <w:rsid w:val="00F15FEA"/>
    <w:rsid w:val="00F16163"/>
    <w:rsid w:val="00F161E2"/>
    <w:rsid w:val="00F16209"/>
    <w:rsid w:val="00F1621B"/>
    <w:rsid w:val="00F16234"/>
    <w:rsid w:val="00F1624C"/>
    <w:rsid w:val="00F16317"/>
    <w:rsid w:val="00F1635E"/>
    <w:rsid w:val="00F163B8"/>
    <w:rsid w:val="00F16447"/>
    <w:rsid w:val="00F164AA"/>
    <w:rsid w:val="00F16545"/>
    <w:rsid w:val="00F16557"/>
    <w:rsid w:val="00F1655E"/>
    <w:rsid w:val="00F165C7"/>
    <w:rsid w:val="00F1668A"/>
    <w:rsid w:val="00F166CB"/>
    <w:rsid w:val="00F16766"/>
    <w:rsid w:val="00F167E2"/>
    <w:rsid w:val="00F16855"/>
    <w:rsid w:val="00F16861"/>
    <w:rsid w:val="00F168BA"/>
    <w:rsid w:val="00F16976"/>
    <w:rsid w:val="00F16A58"/>
    <w:rsid w:val="00F16A60"/>
    <w:rsid w:val="00F16AFC"/>
    <w:rsid w:val="00F16BCB"/>
    <w:rsid w:val="00F16BD7"/>
    <w:rsid w:val="00F16C41"/>
    <w:rsid w:val="00F16C7E"/>
    <w:rsid w:val="00F16CCB"/>
    <w:rsid w:val="00F16CEE"/>
    <w:rsid w:val="00F16DB3"/>
    <w:rsid w:val="00F16DE0"/>
    <w:rsid w:val="00F16E06"/>
    <w:rsid w:val="00F16E53"/>
    <w:rsid w:val="00F16E56"/>
    <w:rsid w:val="00F16E69"/>
    <w:rsid w:val="00F16FAF"/>
    <w:rsid w:val="00F1705C"/>
    <w:rsid w:val="00F1707D"/>
    <w:rsid w:val="00F170DD"/>
    <w:rsid w:val="00F1711A"/>
    <w:rsid w:val="00F1712B"/>
    <w:rsid w:val="00F1712E"/>
    <w:rsid w:val="00F171AD"/>
    <w:rsid w:val="00F171C3"/>
    <w:rsid w:val="00F17241"/>
    <w:rsid w:val="00F17280"/>
    <w:rsid w:val="00F172CB"/>
    <w:rsid w:val="00F172F4"/>
    <w:rsid w:val="00F17345"/>
    <w:rsid w:val="00F1739C"/>
    <w:rsid w:val="00F173D0"/>
    <w:rsid w:val="00F1744C"/>
    <w:rsid w:val="00F17473"/>
    <w:rsid w:val="00F1747F"/>
    <w:rsid w:val="00F17596"/>
    <w:rsid w:val="00F1764C"/>
    <w:rsid w:val="00F1765F"/>
    <w:rsid w:val="00F176E2"/>
    <w:rsid w:val="00F176E5"/>
    <w:rsid w:val="00F17713"/>
    <w:rsid w:val="00F177EC"/>
    <w:rsid w:val="00F178A2"/>
    <w:rsid w:val="00F178D9"/>
    <w:rsid w:val="00F1795B"/>
    <w:rsid w:val="00F17A5E"/>
    <w:rsid w:val="00F17A61"/>
    <w:rsid w:val="00F17A6A"/>
    <w:rsid w:val="00F17A9C"/>
    <w:rsid w:val="00F17A9F"/>
    <w:rsid w:val="00F17BBD"/>
    <w:rsid w:val="00F17BE0"/>
    <w:rsid w:val="00F17C18"/>
    <w:rsid w:val="00F17C42"/>
    <w:rsid w:val="00F17CF9"/>
    <w:rsid w:val="00F17D2B"/>
    <w:rsid w:val="00F17D40"/>
    <w:rsid w:val="00F17DE7"/>
    <w:rsid w:val="00F17E71"/>
    <w:rsid w:val="00F17E8C"/>
    <w:rsid w:val="00F17EAF"/>
    <w:rsid w:val="00F17F90"/>
    <w:rsid w:val="00F17FD1"/>
    <w:rsid w:val="00F17FDA"/>
    <w:rsid w:val="00F2003F"/>
    <w:rsid w:val="00F20078"/>
    <w:rsid w:val="00F201B7"/>
    <w:rsid w:val="00F202C5"/>
    <w:rsid w:val="00F202F7"/>
    <w:rsid w:val="00F2032D"/>
    <w:rsid w:val="00F20426"/>
    <w:rsid w:val="00F2045C"/>
    <w:rsid w:val="00F2055B"/>
    <w:rsid w:val="00F205CB"/>
    <w:rsid w:val="00F2064C"/>
    <w:rsid w:val="00F20678"/>
    <w:rsid w:val="00F206A8"/>
    <w:rsid w:val="00F20715"/>
    <w:rsid w:val="00F2072C"/>
    <w:rsid w:val="00F207C6"/>
    <w:rsid w:val="00F208D0"/>
    <w:rsid w:val="00F2095B"/>
    <w:rsid w:val="00F209C7"/>
    <w:rsid w:val="00F20A22"/>
    <w:rsid w:val="00F20A88"/>
    <w:rsid w:val="00F20A90"/>
    <w:rsid w:val="00F20AFE"/>
    <w:rsid w:val="00F20B17"/>
    <w:rsid w:val="00F20B6B"/>
    <w:rsid w:val="00F20C05"/>
    <w:rsid w:val="00F20C1C"/>
    <w:rsid w:val="00F20C9D"/>
    <w:rsid w:val="00F20CF6"/>
    <w:rsid w:val="00F20CFF"/>
    <w:rsid w:val="00F20D30"/>
    <w:rsid w:val="00F20DBB"/>
    <w:rsid w:val="00F20DF2"/>
    <w:rsid w:val="00F20E6B"/>
    <w:rsid w:val="00F20F36"/>
    <w:rsid w:val="00F20F91"/>
    <w:rsid w:val="00F20FBA"/>
    <w:rsid w:val="00F20FC5"/>
    <w:rsid w:val="00F20FD3"/>
    <w:rsid w:val="00F21048"/>
    <w:rsid w:val="00F210BF"/>
    <w:rsid w:val="00F210D5"/>
    <w:rsid w:val="00F21103"/>
    <w:rsid w:val="00F21135"/>
    <w:rsid w:val="00F2113C"/>
    <w:rsid w:val="00F211E5"/>
    <w:rsid w:val="00F212A8"/>
    <w:rsid w:val="00F212A9"/>
    <w:rsid w:val="00F212F2"/>
    <w:rsid w:val="00F2137C"/>
    <w:rsid w:val="00F213AF"/>
    <w:rsid w:val="00F213D5"/>
    <w:rsid w:val="00F21482"/>
    <w:rsid w:val="00F214EF"/>
    <w:rsid w:val="00F21560"/>
    <w:rsid w:val="00F215A4"/>
    <w:rsid w:val="00F215B9"/>
    <w:rsid w:val="00F215BE"/>
    <w:rsid w:val="00F215DE"/>
    <w:rsid w:val="00F21601"/>
    <w:rsid w:val="00F216E3"/>
    <w:rsid w:val="00F21769"/>
    <w:rsid w:val="00F2178A"/>
    <w:rsid w:val="00F21828"/>
    <w:rsid w:val="00F2182E"/>
    <w:rsid w:val="00F21835"/>
    <w:rsid w:val="00F2186F"/>
    <w:rsid w:val="00F21998"/>
    <w:rsid w:val="00F21A01"/>
    <w:rsid w:val="00F21A59"/>
    <w:rsid w:val="00F21A87"/>
    <w:rsid w:val="00F21AA5"/>
    <w:rsid w:val="00F21AE5"/>
    <w:rsid w:val="00F21AEE"/>
    <w:rsid w:val="00F21B5D"/>
    <w:rsid w:val="00F21B7A"/>
    <w:rsid w:val="00F21CCE"/>
    <w:rsid w:val="00F21CD8"/>
    <w:rsid w:val="00F21CE1"/>
    <w:rsid w:val="00F21D06"/>
    <w:rsid w:val="00F21D34"/>
    <w:rsid w:val="00F21DE3"/>
    <w:rsid w:val="00F21DEF"/>
    <w:rsid w:val="00F21DF8"/>
    <w:rsid w:val="00F21E32"/>
    <w:rsid w:val="00F21E35"/>
    <w:rsid w:val="00F21EF5"/>
    <w:rsid w:val="00F21F18"/>
    <w:rsid w:val="00F21F39"/>
    <w:rsid w:val="00F21F8A"/>
    <w:rsid w:val="00F21F9C"/>
    <w:rsid w:val="00F21FE8"/>
    <w:rsid w:val="00F21FF9"/>
    <w:rsid w:val="00F22009"/>
    <w:rsid w:val="00F2200B"/>
    <w:rsid w:val="00F2201E"/>
    <w:rsid w:val="00F22047"/>
    <w:rsid w:val="00F220B8"/>
    <w:rsid w:val="00F220DF"/>
    <w:rsid w:val="00F22115"/>
    <w:rsid w:val="00F22173"/>
    <w:rsid w:val="00F221A0"/>
    <w:rsid w:val="00F22273"/>
    <w:rsid w:val="00F22383"/>
    <w:rsid w:val="00F223FC"/>
    <w:rsid w:val="00F22426"/>
    <w:rsid w:val="00F22468"/>
    <w:rsid w:val="00F224FC"/>
    <w:rsid w:val="00F22567"/>
    <w:rsid w:val="00F22587"/>
    <w:rsid w:val="00F225AD"/>
    <w:rsid w:val="00F225C0"/>
    <w:rsid w:val="00F225DC"/>
    <w:rsid w:val="00F22636"/>
    <w:rsid w:val="00F226C3"/>
    <w:rsid w:val="00F226DD"/>
    <w:rsid w:val="00F2277F"/>
    <w:rsid w:val="00F227BA"/>
    <w:rsid w:val="00F22963"/>
    <w:rsid w:val="00F229AB"/>
    <w:rsid w:val="00F22A13"/>
    <w:rsid w:val="00F22A9E"/>
    <w:rsid w:val="00F22AAD"/>
    <w:rsid w:val="00F22B5E"/>
    <w:rsid w:val="00F22B93"/>
    <w:rsid w:val="00F22BE6"/>
    <w:rsid w:val="00F22BF1"/>
    <w:rsid w:val="00F22CDD"/>
    <w:rsid w:val="00F22D29"/>
    <w:rsid w:val="00F22E4E"/>
    <w:rsid w:val="00F22E4F"/>
    <w:rsid w:val="00F22E57"/>
    <w:rsid w:val="00F22EE3"/>
    <w:rsid w:val="00F22F4B"/>
    <w:rsid w:val="00F2309D"/>
    <w:rsid w:val="00F230F1"/>
    <w:rsid w:val="00F23152"/>
    <w:rsid w:val="00F231B3"/>
    <w:rsid w:val="00F2321C"/>
    <w:rsid w:val="00F2326F"/>
    <w:rsid w:val="00F233E7"/>
    <w:rsid w:val="00F23400"/>
    <w:rsid w:val="00F23619"/>
    <w:rsid w:val="00F23620"/>
    <w:rsid w:val="00F2362E"/>
    <w:rsid w:val="00F2367D"/>
    <w:rsid w:val="00F23764"/>
    <w:rsid w:val="00F2380F"/>
    <w:rsid w:val="00F2386E"/>
    <w:rsid w:val="00F23873"/>
    <w:rsid w:val="00F2387C"/>
    <w:rsid w:val="00F23906"/>
    <w:rsid w:val="00F23ADF"/>
    <w:rsid w:val="00F23B5E"/>
    <w:rsid w:val="00F23B87"/>
    <w:rsid w:val="00F23B97"/>
    <w:rsid w:val="00F23BA4"/>
    <w:rsid w:val="00F23C40"/>
    <w:rsid w:val="00F23C96"/>
    <w:rsid w:val="00F23CEA"/>
    <w:rsid w:val="00F23D99"/>
    <w:rsid w:val="00F23E0E"/>
    <w:rsid w:val="00F23E5A"/>
    <w:rsid w:val="00F23ECD"/>
    <w:rsid w:val="00F23F0C"/>
    <w:rsid w:val="00F23F1A"/>
    <w:rsid w:val="00F23F33"/>
    <w:rsid w:val="00F23FC9"/>
    <w:rsid w:val="00F24004"/>
    <w:rsid w:val="00F2401B"/>
    <w:rsid w:val="00F24031"/>
    <w:rsid w:val="00F24041"/>
    <w:rsid w:val="00F24090"/>
    <w:rsid w:val="00F240A9"/>
    <w:rsid w:val="00F24137"/>
    <w:rsid w:val="00F24238"/>
    <w:rsid w:val="00F242BD"/>
    <w:rsid w:val="00F24372"/>
    <w:rsid w:val="00F243B4"/>
    <w:rsid w:val="00F2449C"/>
    <w:rsid w:val="00F244D5"/>
    <w:rsid w:val="00F245B9"/>
    <w:rsid w:val="00F24626"/>
    <w:rsid w:val="00F2462E"/>
    <w:rsid w:val="00F2463F"/>
    <w:rsid w:val="00F2469B"/>
    <w:rsid w:val="00F246C2"/>
    <w:rsid w:val="00F246F4"/>
    <w:rsid w:val="00F2472C"/>
    <w:rsid w:val="00F247D4"/>
    <w:rsid w:val="00F24876"/>
    <w:rsid w:val="00F2488D"/>
    <w:rsid w:val="00F248BD"/>
    <w:rsid w:val="00F24905"/>
    <w:rsid w:val="00F24914"/>
    <w:rsid w:val="00F2492F"/>
    <w:rsid w:val="00F24961"/>
    <w:rsid w:val="00F2496C"/>
    <w:rsid w:val="00F24990"/>
    <w:rsid w:val="00F249D8"/>
    <w:rsid w:val="00F24B07"/>
    <w:rsid w:val="00F24B65"/>
    <w:rsid w:val="00F24B67"/>
    <w:rsid w:val="00F24C05"/>
    <w:rsid w:val="00F24C0C"/>
    <w:rsid w:val="00F24C58"/>
    <w:rsid w:val="00F24CBA"/>
    <w:rsid w:val="00F24CCF"/>
    <w:rsid w:val="00F24CE3"/>
    <w:rsid w:val="00F24CFC"/>
    <w:rsid w:val="00F24D30"/>
    <w:rsid w:val="00F24DCC"/>
    <w:rsid w:val="00F24DDA"/>
    <w:rsid w:val="00F24DFC"/>
    <w:rsid w:val="00F24E0D"/>
    <w:rsid w:val="00F24E3E"/>
    <w:rsid w:val="00F24E66"/>
    <w:rsid w:val="00F24F40"/>
    <w:rsid w:val="00F25020"/>
    <w:rsid w:val="00F25094"/>
    <w:rsid w:val="00F250B7"/>
    <w:rsid w:val="00F25160"/>
    <w:rsid w:val="00F25178"/>
    <w:rsid w:val="00F251AF"/>
    <w:rsid w:val="00F251D7"/>
    <w:rsid w:val="00F25333"/>
    <w:rsid w:val="00F25363"/>
    <w:rsid w:val="00F253B9"/>
    <w:rsid w:val="00F25432"/>
    <w:rsid w:val="00F25443"/>
    <w:rsid w:val="00F254C7"/>
    <w:rsid w:val="00F2566D"/>
    <w:rsid w:val="00F2567F"/>
    <w:rsid w:val="00F2573C"/>
    <w:rsid w:val="00F25742"/>
    <w:rsid w:val="00F257D3"/>
    <w:rsid w:val="00F257EA"/>
    <w:rsid w:val="00F2586B"/>
    <w:rsid w:val="00F258E7"/>
    <w:rsid w:val="00F2597A"/>
    <w:rsid w:val="00F259B5"/>
    <w:rsid w:val="00F259BF"/>
    <w:rsid w:val="00F259C4"/>
    <w:rsid w:val="00F25A60"/>
    <w:rsid w:val="00F25A82"/>
    <w:rsid w:val="00F25A9D"/>
    <w:rsid w:val="00F25B3B"/>
    <w:rsid w:val="00F25BA4"/>
    <w:rsid w:val="00F25C25"/>
    <w:rsid w:val="00F25C51"/>
    <w:rsid w:val="00F25CDB"/>
    <w:rsid w:val="00F25D08"/>
    <w:rsid w:val="00F25D48"/>
    <w:rsid w:val="00F25DB9"/>
    <w:rsid w:val="00F25DD1"/>
    <w:rsid w:val="00F25DF4"/>
    <w:rsid w:val="00F25E32"/>
    <w:rsid w:val="00F25F23"/>
    <w:rsid w:val="00F25F54"/>
    <w:rsid w:val="00F25F5E"/>
    <w:rsid w:val="00F25F65"/>
    <w:rsid w:val="00F25F7E"/>
    <w:rsid w:val="00F25FD2"/>
    <w:rsid w:val="00F2605A"/>
    <w:rsid w:val="00F2607C"/>
    <w:rsid w:val="00F26097"/>
    <w:rsid w:val="00F260B5"/>
    <w:rsid w:val="00F2610E"/>
    <w:rsid w:val="00F26112"/>
    <w:rsid w:val="00F26144"/>
    <w:rsid w:val="00F2614C"/>
    <w:rsid w:val="00F26209"/>
    <w:rsid w:val="00F2623B"/>
    <w:rsid w:val="00F2625C"/>
    <w:rsid w:val="00F262A7"/>
    <w:rsid w:val="00F26344"/>
    <w:rsid w:val="00F2635E"/>
    <w:rsid w:val="00F2636D"/>
    <w:rsid w:val="00F2636E"/>
    <w:rsid w:val="00F26371"/>
    <w:rsid w:val="00F263DD"/>
    <w:rsid w:val="00F263EF"/>
    <w:rsid w:val="00F26406"/>
    <w:rsid w:val="00F26548"/>
    <w:rsid w:val="00F2655B"/>
    <w:rsid w:val="00F265BF"/>
    <w:rsid w:val="00F265F8"/>
    <w:rsid w:val="00F2661C"/>
    <w:rsid w:val="00F266A1"/>
    <w:rsid w:val="00F267A9"/>
    <w:rsid w:val="00F267EF"/>
    <w:rsid w:val="00F267FD"/>
    <w:rsid w:val="00F2680B"/>
    <w:rsid w:val="00F2685E"/>
    <w:rsid w:val="00F2687E"/>
    <w:rsid w:val="00F2688E"/>
    <w:rsid w:val="00F268A6"/>
    <w:rsid w:val="00F268DD"/>
    <w:rsid w:val="00F268EB"/>
    <w:rsid w:val="00F268F0"/>
    <w:rsid w:val="00F2692E"/>
    <w:rsid w:val="00F2698F"/>
    <w:rsid w:val="00F269D7"/>
    <w:rsid w:val="00F269F7"/>
    <w:rsid w:val="00F26A7D"/>
    <w:rsid w:val="00F26C29"/>
    <w:rsid w:val="00F26C9C"/>
    <w:rsid w:val="00F26CCA"/>
    <w:rsid w:val="00F26CD6"/>
    <w:rsid w:val="00F26D21"/>
    <w:rsid w:val="00F26D81"/>
    <w:rsid w:val="00F26EA1"/>
    <w:rsid w:val="00F26EFC"/>
    <w:rsid w:val="00F26FDC"/>
    <w:rsid w:val="00F2700B"/>
    <w:rsid w:val="00F27020"/>
    <w:rsid w:val="00F270C9"/>
    <w:rsid w:val="00F2710A"/>
    <w:rsid w:val="00F27140"/>
    <w:rsid w:val="00F27157"/>
    <w:rsid w:val="00F27167"/>
    <w:rsid w:val="00F271F0"/>
    <w:rsid w:val="00F27276"/>
    <w:rsid w:val="00F27285"/>
    <w:rsid w:val="00F2731C"/>
    <w:rsid w:val="00F27365"/>
    <w:rsid w:val="00F2736E"/>
    <w:rsid w:val="00F2738C"/>
    <w:rsid w:val="00F2739B"/>
    <w:rsid w:val="00F273C5"/>
    <w:rsid w:val="00F2740E"/>
    <w:rsid w:val="00F274E4"/>
    <w:rsid w:val="00F27555"/>
    <w:rsid w:val="00F27592"/>
    <w:rsid w:val="00F275E0"/>
    <w:rsid w:val="00F27651"/>
    <w:rsid w:val="00F276D3"/>
    <w:rsid w:val="00F276FD"/>
    <w:rsid w:val="00F27713"/>
    <w:rsid w:val="00F27752"/>
    <w:rsid w:val="00F2781D"/>
    <w:rsid w:val="00F2781E"/>
    <w:rsid w:val="00F2789A"/>
    <w:rsid w:val="00F278FC"/>
    <w:rsid w:val="00F279B5"/>
    <w:rsid w:val="00F279C8"/>
    <w:rsid w:val="00F27A4C"/>
    <w:rsid w:val="00F27A6C"/>
    <w:rsid w:val="00F27A6D"/>
    <w:rsid w:val="00F27ADE"/>
    <w:rsid w:val="00F27AEB"/>
    <w:rsid w:val="00F27B94"/>
    <w:rsid w:val="00F27C10"/>
    <w:rsid w:val="00F27CEF"/>
    <w:rsid w:val="00F27E65"/>
    <w:rsid w:val="00F27F35"/>
    <w:rsid w:val="00F27F83"/>
    <w:rsid w:val="00F27F91"/>
    <w:rsid w:val="00F27FE8"/>
    <w:rsid w:val="00F30056"/>
    <w:rsid w:val="00F3014A"/>
    <w:rsid w:val="00F30172"/>
    <w:rsid w:val="00F301BE"/>
    <w:rsid w:val="00F302FE"/>
    <w:rsid w:val="00F302FF"/>
    <w:rsid w:val="00F3038E"/>
    <w:rsid w:val="00F3049C"/>
    <w:rsid w:val="00F304F2"/>
    <w:rsid w:val="00F30606"/>
    <w:rsid w:val="00F306A0"/>
    <w:rsid w:val="00F306D3"/>
    <w:rsid w:val="00F30720"/>
    <w:rsid w:val="00F3073C"/>
    <w:rsid w:val="00F30797"/>
    <w:rsid w:val="00F307CD"/>
    <w:rsid w:val="00F308BD"/>
    <w:rsid w:val="00F308D3"/>
    <w:rsid w:val="00F309FD"/>
    <w:rsid w:val="00F30AFE"/>
    <w:rsid w:val="00F30BE5"/>
    <w:rsid w:val="00F30BFA"/>
    <w:rsid w:val="00F30C04"/>
    <w:rsid w:val="00F30C3D"/>
    <w:rsid w:val="00F30C86"/>
    <w:rsid w:val="00F30D0E"/>
    <w:rsid w:val="00F30DD9"/>
    <w:rsid w:val="00F30E83"/>
    <w:rsid w:val="00F30F63"/>
    <w:rsid w:val="00F30F7C"/>
    <w:rsid w:val="00F30FC2"/>
    <w:rsid w:val="00F31129"/>
    <w:rsid w:val="00F31144"/>
    <w:rsid w:val="00F311BB"/>
    <w:rsid w:val="00F31208"/>
    <w:rsid w:val="00F3128E"/>
    <w:rsid w:val="00F312CE"/>
    <w:rsid w:val="00F3137A"/>
    <w:rsid w:val="00F31386"/>
    <w:rsid w:val="00F313A0"/>
    <w:rsid w:val="00F3148E"/>
    <w:rsid w:val="00F314E7"/>
    <w:rsid w:val="00F314F4"/>
    <w:rsid w:val="00F3158A"/>
    <w:rsid w:val="00F3158D"/>
    <w:rsid w:val="00F31606"/>
    <w:rsid w:val="00F3168B"/>
    <w:rsid w:val="00F31761"/>
    <w:rsid w:val="00F3198B"/>
    <w:rsid w:val="00F31AE9"/>
    <w:rsid w:val="00F31AED"/>
    <w:rsid w:val="00F31AFD"/>
    <w:rsid w:val="00F31B6A"/>
    <w:rsid w:val="00F31B87"/>
    <w:rsid w:val="00F31C50"/>
    <w:rsid w:val="00F31C85"/>
    <w:rsid w:val="00F31C86"/>
    <w:rsid w:val="00F31CB1"/>
    <w:rsid w:val="00F31CCD"/>
    <w:rsid w:val="00F31D17"/>
    <w:rsid w:val="00F31D2D"/>
    <w:rsid w:val="00F31D2F"/>
    <w:rsid w:val="00F31D31"/>
    <w:rsid w:val="00F31DD6"/>
    <w:rsid w:val="00F31E18"/>
    <w:rsid w:val="00F31EA3"/>
    <w:rsid w:val="00F31FA2"/>
    <w:rsid w:val="00F31FC2"/>
    <w:rsid w:val="00F31FF4"/>
    <w:rsid w:val="00F32012"/>
    <w:rsid w:val="00F32098"/>
    <w:rsid w:val="00F3209F"/>
    <w:rsid w:val="00F320C6"/>
    <w:rsid w:val="00F3216B"/>
    <w:rsid w:val="00F32336"/>
    <w:rsid w:val="00F32372"/>
    <w:rsid w:val="00F3242A"/>
    <w:rsid w:val="00F324B5"/>
    <w:rsid w:val="00F32585"/>
    <w:rsid w:val="00F3265B"/>
    <w:rsid w:val="00F326AF"/>
    <w:rsid w:val="00F326B9"/>
    <w:rsid w:val="00F326EC"/>
    <w:rsid w:val="00F326F7"/>
    <w:rsid w:val="00F3281A"/>
    <w:rsid w:val="00F3286C"/>
    <w:rsid w:val="00F3286D"/>
    <w:rsid w:val="00F32912"/>
    <w:rsid w:val="00F32959"/>
    <w:rsid w:val="00F329CB"/>
    <w:rsid w:val="00F32A4E"/>
    <w:rsid w:val="00F32B18"/>
    <w:rsid w:val="00F32B19"/>
    <w:rsid w:val="00F32B37"/>
    <w:rsid w:val="00F32BD6"/>
    <w:rsid w:val="00F32C44"/>
    <w:rsid w:val="00F32C5A"/>
    <w:rsid w:val="00F32C8E"/>
    <w:rsid w:val="00F32C98"/>
    <w:rsid w:val="00F32CC9"/>
    <w:rsid w:val="00F32CEB"/>
    <w:rsid w:val="00F32E1A"/>
    <w:rsid w:val="00F32E36"/>
    <w:rsid w:val="00F32F1D"/>
    <w:rsid w:val="00F32F87"/>
    <w:rsid w:val="00F32F8F"/>
    <w:rsid w:val="00F32FB5"/>
    <w:rsid w:val="00F33007"/>
    <w:rsid w:val="00F330BA"/>
    <w:rsid w:val="00F331B3"/>
    <w:rsid w:val="00F33280"/>
    <w:rsid w:val="00F33284"/>
    <w:rsid w:val="00F3333C"/>
    <w:rsid w:val="00F3346E"/>
    <w:rsid w:val="00F334D1"/>
    <w:rsid w:val="00F334FD"/>
    <w:rsid w:val="00F3358A"/>
    <w:rsid w:val="00F335AC"/>
    <w:rsid w:val="00F33668"/>
    <w:rsid w:val="00F337E8"/>
    <w:rsid w:val="00F33895"/>
    <w:rsid w:val="00F3389F"/>
    <w:rsid w:val="00F3392A"/>
    <w:rsid w:val="00F33963"/>
    <w:rsid w:val="00F339F3"/>
    <w:rsid w:val="00F33A35"/>
    <w:rsid w:val="00F33AB6"/>
    <w:rsid w:val="00F33AEF"/>
    <w:rsid w:val="00F33B08"/>
    <w:rsid w:val="00F33B36"/>
    <w:rsid w:val="00F33B62"/>
    <w:rsid w:val="00F33B82"/>
    <w:rsid w:val="00F33B83"/>
    <w:rsid w:val="00F33B9F"/>
    <w:rsid w:val="00F33BAA"/>
    <w:rsid w:val="00F33BE3"/>
    <w:rsid w:val="00F33C73"/>
    <w:rsid w:val="00F33D6E"/>
    <w:rsid w:val="00F33E91"/>
    <w:rsid w:val="00F33EC7"/>
    <w:rsid w:val="00F33F05"/>
    <w:rsid w:val="00F33F0B"/>
    <w:rsid w:val="00F33F6D"/>
    <w:rsid w:val="00F33FB9"/>
    <w:rsid w:val="00F3411F"/>
    <w:rsid w:val="00F34179"/>
    <w:rsid w:val="00F34185"/>
    <w:rsid w:val="00F34198"/>
    <w:rsid w:val="00F341E4"/>
    <w:rsid w:val="00F341E8"/>
    <w:rsid w:val="00F341FB"/>
    <w:rsid w:val="00F34285"/>
    <w:rsid w:val="00F342BF"/>
    <w:rsid w:val="00F34310"/>
    <w:rsid w:val="00F34353"/>
    <w:rsid w:val="00F34384"/>
    <w:rsid w:val="00F343C2"/>
    <w:rsid w:val="00F3444A"/>
    <w:rsid w:val="00F34459"/>
    <w:rsid w:val="00F34479"/>
    <w:rsid w:val="00F344A3"/>
    <w:rsid w:val="00F344DE"/>
    <w:rsid w:val="00F34503"/>
    <w:rsid w:val="00F346E5"/>
    <w:rsid w:val="00F34757"/>
    <w:rsid w:val="00F3480C"/>
    <w:rsid w:val="00F34823"/>
    <w:rsid w:val="00F348B2"/>
    <w:rsid w:val="00F348E6"/>
    <w:rsid w:val="00F3499E"/>
    <w:rsid w:val="00F349BC"/>
    <w:rsid w:val="00F34A3A"/>
    <w:rsid w:val="00F34ABF"/>
    <w:rsid w:val="00F34AE0"/>
    <w:rsid w:val="00F34AEF"/>
    <w:rsid w:val="00F34B13"/>
    <w:rsid w:val="00F34B24"/>
    <w:rsid w:val="00F34B90"/>
    <w:rsid w:val="00F34BC7"/>
    <w:rsid w:val="00F34C9B"/>
    <w:rsid w:val="00F34D1A"/>
    <w:rsid w:val="00F34D9B"/>
    <w:rsid w:val="00F34DA8"/>
    <w:rsid w:val="00F34EC0"/>
    <w:rsid w:val="00F34FD6"/>
    <w:rsid w:val="00F351FC"/>
    <w:rsid w:val="00F35250"/>
    <w:rsid w:val="00F352E3"/>
    <w:rsid w:val="00F3537E"/>
    <w:rsid w:val="00F35381"/>
    <w:rsid w:val="00F353AC"/>
    <w:rsid w:val="00F3542A"/>
    <w:rsid w:val="00F354FA"/>
    <w:rsid w:val="00F355DA"/>
    <w:rsid w:val="00F355E4"/>
    <w:rsid w:val="00F356D0"/>
    <w:rsid w:val="00F357ED"/>
    <w:rsid w:val="00F3584B"/>
    <w:rsid w:val="00F358FD"/>
    <w:rsid w:val="00F3593A"/>
    <w:rsid w:val="00F359CB"/>
    <w:rsid w:val="00F359DA"/>
    <w:rsid w:val="00F35A27"/>
    <w:rsid w:val="00F35A79"/>
    <w:rsid w:val="00F35AFE"/>
    <w:rsid w:val="00F35B5C"/>
    <w:rsid w:val="00F35B73"/>
    <w:rsid w:val="00F35B75"/>
    <w:rsid w:val="00F35BCB"/>
    <w:rsid w:val="00F35C5A"/>
    <w:rsid w:val="00F35CD9"/>
    <w:rsid w:val="00F35D5C"/>
    <w:rsid w:val="00F35D84"/>
    <w:rsid w:val="00F35E6E"/>
    <w:rsid w:val="00F35E6F"/>
    <w:rsid w:val="00F35ECB"/>
    <w:rsid w:val="00F35F9B"/>
    <w:rsid w:val="00F35FEC"/>
    <w:rsid w:val="00F36017"/>
    <w:rsid w:val="00F36056"/>
    <w:rsid w:val="00F360B9"/>
    <w:rsid w:val="00F360E5"/>
    <w:rsid w:val="00F3610E"/>
    <w:rsid w:val="00F36138"/>
    <w:rsid w:val="00F3620A"/>
    <w:rsid w:val="00F36289"/>
    <w:rsid w:val="00F362AE"/>
    <w:rsid w:val="00F3643C"/>
    <w:rsid w:val="00F364D3"/>
    <w:rsid w:val="00F364D6"/>
    <w:rsid w:val="00F364EA"/>
    <w:rsid w:val="00F3655C"/>
    <w:rsid w:val="00F36607"/>
    <w:rsid w:val="00F3665E"/>
    <w:rsid w:val="00F36668"/>
    <w:rsid w:val="00F3677F"/>
    <w:rsid w:val="00F3687C"/>
    <w:rsid w:val="00F3687F"/>
    <w:rsid w:val="00F36996"/>
    <w:rsid w:val="00F369ED"/>
    <w:rsid w:val="00F36C6E"/>
    <w:rsid w:val="00F36D02"/>
    <w:rsid w:val="00F36D3B"/>
    <w:rsid w:val="00F36E14"/>
    <w:rsid w:val="00F36E60"/>
    <w:rsid w:val="00F36F11"/>
    <w:rsid w:val="00F36F42"/>
    <w:rsid w:val="00F37006"/>
    <w:rsid w:val="00F3700C"/>
    <w:rsid w:val="00F37046"/>
    <w:rsid w:val="00F37048"/>
    <w:rsid w:val="00F37050"/>
    <w:rsid w:val="00F3708C"/>
    <w:rsid w:val="00F370A0"/>
    <w:rsid w:val="00F37141"/>
    <w:rsid w:val="00F37213"/>
    <w:rsid w:val="00F3721B"/>
    <w:rsid w:val="00F372F3"/>
    <w:rsid w:val="00F37344"/>
    <w:rsid w:val="00F3734C"/>
    <w:rsid w:val="00F373CB"/>
    <w:rsid w:val="00F374D2"/>
    <w:rsid w:val="00F37580"/>
    <w:rsid w:val="00F375AA"/>
    <w:rsid w:val="00F375B1"/>
    <w:rsid w:val="00F375C7"/>
    <w:rsid w:val="00F375D2"/>
    <w:rsid w:val="00F375E6"/>
    <w:rsid w:val="00F377A3"/>
    <w:rsid w:val="00F3787E"/>
    <w:rsid w:val="00F378AA"/>
    <w:rsid w:val="00F378D4"/>
    <w:rsid w:val="00F378DB"/>
    <w:rsid w:val="00F37930"/>
    <w:rsid w:val="00F379C7"/>
    <w:rsid w:val="00F379DD"/>
    <w:rsid w:val="00F37ABC"/>
    <w:rsid w:val="00F37AC9"/>
    <w:rsid w:val="00F37ADA"/>
    <w:rsid w:val="00F37B95"/>
    <w:rsid w:val="00F37BAD"/>
    <w:rsid w:val="00F37C3F"/>
    <w:rsid w:val="00F37C7C"/>
    <w:rsid w:val="00F37CCC"/>
    <w:rsid w:val="00F37E13"/>
    <w:rsid w:val="00F37E80"/>
    <w:rsid w:val="00F37EB3"/>
    <w:rsid w:val="00F37EFA"/>
    <w:rsid w:val="00F4005C"/>
    <w:rsid w:val="00F400DB"/>
    <w:rsid w:val="00F400EA"/>
    <w:rsid w:val="00F40188"/>
    <w:rsid w:val="00F40191"/>
    <w:rsid w:val="00F401AE"/>
    <w:rsid w:val="00F4020B"/>
    <w:rsid w:val="00F40273"/>
    <w:rsid w:val="00F40325"/>
    <w:rsid w:val="00F40352"/>
    <w:rsid w:val="00F403CB"/>
    <w:rsid w:val="00F403DB"/>
    <w:rsid w:val="00F404B6"/>
    <w:rsid w:val="00F40637"/>
    <w:rsid w:val="00F406CB"/>
    <w:rsid w:val="00F406E5"/>
    <w:rsid w:val="00F4071B"/>
    <w:rsid w:val="00F4074C"/>
    <w:rsid w:val="00F407CD"/>
    <w:rsid w:val="00F407D8"/>
    <w:rsid w:val="00F40891"/>
    <w:rsid w:val="00F40907"/>
    <w:rsid w:val="00F409CC"/>
    <w:rsid w:val="00F40A01"/>
    <w:rsid w:val="00F40A40"/>
    <w:rsid w:val="00F40AC4"/>
    <w:rsid w:val="00F40AFB"/>
    <w:rsid w:val="00F40B32"/>
    <w:rsid w:val="00F40B74"/>
    <w:rsid w:val="00F40BAC"/>
    <w:rsid w:val="00F40C1B"/>
    <w:rsid w:val="00F40C78"/>
    <w:rsid w:val="00F40CB1"/>
    <w:rsid w:val="00F40D55"/>
    <w:rsid w:val="00F40DF0"/>
    <w:rsid w:val="00F40E2E"/>
    <w:rsid w:val="00F40EC5"/>
    <w:rsid w:val="00F40F89"/>
    <w:rsid w:val="00F40F92"/>
    <w:rsid w:val="00F40F9D"/>
    <w:rsid w:val="00F40FD4"/>
    <w:rsid w:val="00F4100D"/>
    <w:rsid w:val="00F41036"/>
    <w:rsid w:val="00F41044"/>
    <w:rsid w:val="00F410D4"/>
    <w:rsid w:val="00F411DA"/>
    <w:rsid w:val="00F41231"/>
    <w:rsid w:val="00F412AE"/>
    <w:rsid w:val="00F412B7"/>
    <w:rsid w:val="00F412C5"/>
    <w:rsid w:val="00F412CC"/>
    <w:rsid w:val="00F4137D"/>
    <w:rsid w:val="00F4137F"/>
    <w:rsid w:val="00F413B7"/>
    <w:rsid w:val="00F413BC"/>
    <w:rsid w:val="00F41479"/>
    <w:rsid w:val="00F41592"/>
    <w:rsid w:val="00F415DF"/>
    <w:rsid w:val="00F4160C"/>
    <w:rsid w:val="00F4160F"/>
    <w:rsid w:val="00F416B2"/>
    <w:rsid w:val="00F416ED"/>
    <w:rsid w:val="00F41793"/>
    <w:rsid w:val="00F41797"/>
    <w:rsid w:val="00F4180A"/>
    <w:rsid w:val="00F41844"/>
    <w:rsid w:val="00F4195B"/>
    <w:rsid w:val="00F41A5C"/>
    <w:rsid w:val="00F41AA5"/>
    <w:rsid w:val="00F41AED"/>
    <w:rsid w:val="00F41B1B"/>
    <w:rsid w:val="00F41B41"/>
    <w:rsid w:val="00F41B4A"/>
    <w:rsid w:val="00F41B53"/>
    <w:rsid w:val="00F41C0A"/>
    <w:rsid w:val="00F41C0D"/>
    <w:rsid w:val="00F41C31"/>
    <w:rsid w:val="00F41CC8"/>
    <w:rsid w:val="00F41D1D"/>
    <w:rsid w:val="00F41D83"/>
    <w:rsid w:val="00F41DAC"/>
    <w:rsid w:val="00F41E09"/>
    <w:rsid w:val="00F41FAA"/>
    <w:rsid w:val="00F41FBF"/>
    <w:rsid w:val="00F41FCC"/>
    <w:rsid w:val="00F42019"/>
    <w:rsid w:val="00F4207D"/>
    <w:rsid w:val="00F4208D"/>
    <w:rsid w:val="00F42119"/>
    <w:rsid w:val="00F42240"/>
    <w:rsid w:val="00F42265"/>
    <w:rsid w:val="00F42268"/>
    <w:rsid w:val="00F4228F"/>
    <w:rsid w:val="00F423A8"/>
    <w:rsid w:val="00F423B8"/>
    <w:rsid w:val="00F4240B"/>
    <w:rsid w:val="00F4242D"/>
    <w:rsid w:val="00F424AD"/>
    <w:rsid w:val="00F425B8"/>
    <w:rsid w:val="00F42600"/>
    <w:rsid w:val="00F4271C"/>
    <w:rsid w:val="00F427CD"/>
    <w:rsid w:val="00F42885"/>
    <w:rsid w:val="00F428A5"/>
    <w:rsid w:val="00F428F1"/>
    <w:rsid w:val="00F4290E"/>
    <w:rsid w:val="00F4295F"/>
    <w:rsid w:val="00F42B31"/>
    <w:rsid w:val="00F42B58"/>
    <w:rsid w:val="00F42B6C"/>
    <w:rsid w:val="00F42B93"/>
    <w:rsid w:val="00F42BDC"/>
    <w:rsid w:val="00F42BEA"/>
    <w:rsid w:val="00F42C12"/>
    <w:rsid w:val="00F42C46"/>
    <w:rsid w:val="00F42C6D"/>
    <w:rsid w:val="00F42CC4"/>
    <w:rsid w:val="00F42CF8"/>
    <w:rsid w:val="00F42D0C"/>
    <w:rsid w:val="00F42E09"/>
    <w:rsid w:val="00F42E40"/>
    <w:rsid w:val="00F42F21"/>
    <w:rsid w:val="00F42F7A"/>
    <w:rsid w:val="00F4305C"/>
    <w:rsid w:val="00F430E9"/>
    <w:rsid w:val="00F430EF"/>
    <w:rsid w:val="00F43166"/>
    <w:rsid w:val="00F43176"/>
    <w:rsid w:val="00F43178"/>
    <w:rsid w:val="00F4319C"/>
    <w:rsid w:val="00F4338C"/>
    <w:rsid w:val="00F433AE"/>
    <w:rsid w:val="00F433B0"/>
    <w:rsid w:val="00F433B4"/>
    <w:rsid w:val="00F433FC"/>
    <w:rsid w:val="00F434B9"/>
    <w:rsid w:val="00F435C6"/>
    <w:rsid w:val="00F43611"/>
    <w:rsid w:val="00F43632"/>
    <w:rsid w:val="00F43633"/>
    <w:rsid w:val="00F436F6"/>
    <w:rsid w:val="00F437D3"/>
    <w:rsid w:val="00F437D9"/>
    <w:rsid w:val="00F43837"/>
    <w:rsid w:val="00F438AF"/>
    <w:rsid w:val="00F438B7"/>
    <w:rsid w:val="00F43931"/>
    <w:rsid w:val="00F439FE"/>
    <w:rsid w:val="00F43A5B"/>
    <w:rsid w:val="00F43AC5"/>
    <w:rsid w:val="00F43BE4"/>
    <w:rsid w:val="00F43C94"/>
    <w:rsid w:val="00F43D93"/>
    <w:rsid w:val="00F43DCB"/>
    <w:rsid w:val="00F43DD5"/>
    <w:rsid w:val="00F43E61"/>
    <w:rsid w:val="00F43ED1"/>
    <w:rsid w:val="00F43F03"/>
    <w:rsid w:val="00F44015"/>
    <w:rsid w:val="00F44044"/>
    <w:rsid w:val="00F4408C"/>
    <w:rsid w:val="00F44135"/>
    <w:rsid w:val="00F441A3"/>
    <w:rsid w:val="00F441B0"/>
    <w:rsid w:val="00F441D4"/>
    <w:rsid w:val="00F441E6"/>
    <w:rsid w:val="00F4424A"/>
    <w:rsid w:val="00F4425A"/>
    <w:rsid w:val="00F442AA"/>
    <w:rsid w:val="00F442B9"/>
    <w:rsid w:val="00F44406"/>
    <w:rsid w:val="00F44480"/>
    <w:rsid w:val="00F444B5"/>
    <w:rsid w:val="00F44542"/>
    <w:rsid w:val="00F44544"/>
    <w:rsid w:val="00F4459D"/>
    <w:rsid w:val="00F445B9"/>
    <w:rsid w:val="00F44629"/>
    <w:rsid w:val="00F44645"/>
    <w:rsid w:val="00F446B4"/>
    <w:rsid w:val="00F4476E"/>
    <w:rsid w:val="00F4478C"/>
    <w:rsid w:val="00F447BA"/>
    <w:rsid w:val="00F447DA"/>
    <w:rsid w:val="00F44849"/>
    <w:rsid w:val="00F44851"/>
    <w:rsid w:val="00F448A1"/>
    <w:rsid w:val="00F44918"/>
    <w:rsid w:val="00F449FF"/>
    <w:rsid w:val="00F44B29"/>
    <w:rsid w:val="00F44B6A"/>
    <w:rsid w:val="00F44BC0"/>
    <w:rsid w:val="00F44C89"/>
    <w:rsid w:val="00F44D46"/>
    <w:rsid w:val="00F44E6F"/>
    <w:rsid w:val="00F44EC0"/>
    <w:rsid w:val="00F44F1A"/>
    <w:rsid w:val="00F44F50"/>
    <w:rsid w:val="00F45092"/>
    <w:rsid w:val="00F45102"/>
    <w:rsid w:val="00F4510D"/>
    <w:rsid w:val="00F4511E"/>
    <w:rsid w:val="00F45137"/>
    <w:rsid w:val="00F4514E"/>
    <w:rsid w:val="00F45159"/>
    <w:rsid w:val="00F45163"/>
    <w:rsid w:val="00F451A3"/>
    <w:rsid w:val="00F451C5"/>
    <w:rsid w:val="00F45206"/>
    <w:rsid w:val="00F45247"/>
    <w:rsid w:val="00F452B0"/>
    <w:rsid w:val="00F452B1"/>
    <w:rsid w:val="00F452D1"/>
    <w:rsid w:val="00F4535E"/>
    <w:rsid w:val="00F45418"/>
    <w:rsid w:val="00F45434"/>
    <w:rsid w:val="00F45485"/>
    <w:rsid w:val="00F45577"/>
    <w:rsid w:val="00F4560D"/>
    <w:rsid w:val="00F45655"/>
    <w:rsid w:val="00F45676"/>
    <w:rsid w:val="00F456DC"/>
    <w:rsid w:val="00F45740"/>
    <w:rsid w:val="00F45873"/>
    <w:rsid w:val="00F458F1"/>
    <w:rsid w:val="00F4593B"/>
    <w:rsid w:val="00F45B23"/>
    <w:rsid w:val="00F45B8D"/>
    <w:rsid w:val="00F45D47"/>
    <w:rsid w:val="00F45D50"/>
    <w:rsid w:val="00F45D91"/>
    <w:rsid w:val="00F45DE7"/>
    <w:rsid w:val="00F45E58"/>
    <w:rsid w:val="00F45E73"/>
    <w:rsid w:val="00F45E82"/>
    <w:rsid w:val="00F45E98"/>
    <w:rsid w:val="00F45EE1"/>
    <w:rsid w:val="00F45F1A"/>
    <w:rsid w:val="00F45F60"/>
    <w:rsid w:val="00F45F61"/>
    <w:rsid w:val="00F45FF6"/>
    <w:rsid w:val="00F4601C"/>
    <w:rsid w:val="00F46108"/>
    <w:rsid w:val="00F46115"/>
    <w:rsid w:val="00F4617E"/>
    <w:rsid w:val="00F461E6"/>
    <w:rsid w:val="00F46235"/>
    <w:rsid w:val="00F4627B"/>
    <w:rsid w:val="00F462A4"/>
    <w:rsid w:val="00F462D5"/>
    <w:rsid w:val="00F462DF"/>
    <w:rsid w:val="00F462EF"/>
    <w:rsid w:val="00F462FC"/>
    <w:rsid w:val="00F4633D"/>
    <w:rsid w:val="00F46444"/>
    <w:rsid w:val="00F464FC"/>
    <w:rsid w:val="00F46527"/>
    <w:rsid w:val="00F4654E"/>
    <w:rsid w:val="00F4666F"/>
    <w:rsid w:val="00F4672C"/>
    <w:rsid w:val="00F4679B"/>
    <w:rsid w:val="00F46801"/>
    <w:rsid w:val="00F46842"/>
    <w:rsid w:val="00F4688C"/>
    <w:rsid w:val="00F468A6"/>
    <w:rsid w:val="00F468BF"/>
    <w:rsid w:val="00F469AC"/>
    <w:rsid w:val="00F46A55"/>
    <w:rsid w:val="00F46AD6"/>
    <w:rsid w:val="00F46B36"/>
    <w:rsid w:val="00F46B4D"/>
    <w:rsid w:val="00F46B53"/>
    <w:rsid w:val="00F46B7F"/>
    <w:rsid w:val="00F46B96"/>
    <w:rsid w:val="00F46BE0"/>
    <w:rsid w:val="00F46C36"/>
    <w:rsid w:val="00F46CBF"/>
    <w:rsid w:val="00F46D0D"/>
    <w:rsid w:val="00F46D90"/>
    <w:rsid w:val="00F46E82"/>
    <w:rsid w:val="00F46EB8"/>
    <w:rsid w:val="00F46EE4"/>
    <w:rsid w:val="00F46F5F"/>
    <w:rsid w:val="00F46F69"/>
    <w:rsid w:val="00F46FAD"/>
    <w:rsid w:val="00F46FEC"/>
    <w:rsid w:val="00F470ED"/>
    <w:rsid w:val="00F470FC"/>
    <w:rsid w:val="00F47148"/>
    <w:rsid w:val="00F47181"/>
    <w:rsid w:val="00F47193"/>
    <w:rsid w:val="00F471F4"/>
    <w:rsid w:val="00F4737A"/>
    <w:rsid w:val="00F47430"/>
    <w:rsid w:val="00F474E3"/>
    <w:rsid w:val="00F47531"/>
    <w:rsid w:val="00F47540"/>
    <w:rsid w:val="00F47573"/>
    <w:rsid w:val="00F4758F"/>
    <w:rsid w:val="00F47591"/>
    <w:rsid w:val="00F475CC"/>
    <w:rsid w:val="00F475DA"/>
    <w:rsid w:val="00F47662"/>
    <w:rsid w:val="00F47699"/>
    <w:rsid w:val="00F476B4"/>
    <w:rsid w:val="00F47720"/>
    <w:rsid w:val="00F47767"/>
    <w:rsid w:val="00F47799"/>
    <w:rsid w:val="00F4780A"/>
    <w:rsid w:val="00F47936"/>
    <w:rsid w:val="00F47A20"/>
    <w:rsid w:val="00F47A7F"/>
    <w:rsid w:val="00F47A9C"/>
    <w:rsid w:val="00F47B47"/>
    <w:rsid w:val="00F47B77"/>
    <w:rsid w:val="00F47C33"/>
    <w:rsid w:val="00F47C40"/>
    <w:rsid w:val="00F47C5D"/>
    <w:rsid w:val="00F47D53"/>
    <w:rsid w:val="00F47D54"/>
    <w:rsid w:val="00F47E54"/>
    <w:rsid w:val="00F47E63"/>
    <w:rsid w:val="00F47E98"/>
    <w:rsid w:val="00F47EB9"/>
    <w:rsid w:val="00F47ECE"/>
    <w:rsid w:val="00F47EE2"/>
    <w:rsid w:val="00F47F02"/>
    <w:rsid w:val="00F47FF1"/>
    <w:rsid w:val="00F50093"/>
    <w:rsid w:val="00F500B2"/>
    <w:rsid w:val="00F500F8"/>
    <w:rsid w:val="00F50132"/>
    <w:rsid w:val="00F501EA"/>
    <w:rsid w:val="00F5020E"/>
    <w:rsid w:val="00F5021D"/>
    <w:rsid w:val="00F50294"/>
    <w:rsid w:val="00F5039F"/>
    <w:rsid w:val="00F503CA"/>
    <w:rsid w:val="00F503D7"/>
    <w:rsid w:val="00F503FB"/>
    <w:rsid w:val="00F503FF"/>
    <w:rsid w:val="00F5042C"/>
    <w:rsid w:val="00F5045C"/>
    <w:rsid w:val="00F50594"/>
    <w:rsid w:val="00F506D3"/>
    <w:rsid w:val="00F50786"/>
    <w:rsid w:val="00F5088E"/>
    <w:rsid w:val="00F50899"/>
    <w:rsid w:val="00F509BB"/>
    <w:rsid w:val="00F50A1A"/>
    <w:rsid w:val="00F50A7D"/>
    <w:rsid w:val="00F50AAA"/>
    <w:rsid w:val="00F50B21"/>
    <w:rsid w:val="00F50C09"/>
    <w:rsid w:val="00F50C16"/>
    <w:rsid w:val="00F50C60"/>
    <w:rsid w:val="00F50D74"/>
    <w:rsid w:val="00F50E17"/>
    <w:rsid w:val="00F50E71"/>
    <w:rsid w:val="00F50E75"/>
    <w:rsid w:val="00F50F2A"/>
    <w:rsid w:val="00F50F6A"/>
    <w:rsid w:val="00F50F85"/>
    <w:rsid w:val="00F50FA6"/>
    <w:rsid w:val="00F51015"/>
    <w:rsid w:val="00F51049"/>
    <w:rsid w:val="00F510B7"/>
    <w:rsid w:val="00F510DE"/>
    <w:rsid w:val="00F510E3"/>
    <w:rsid w:val="00F51100"/>
    <w:rsid w:val="00F51108"/>
    <w:rsid w:val="00F51116"/>
    <w:rsid w:val="00F51117"/>
    <w:rsid w:val="00F51136"/>
    <w:rsid w:val="00F5116B"/>
    <w:rsid w:val="00F51176"/>
    <w:rsid w:val="00F51235"/>
    <w:rsid w:val="00F51265"/>
    <w:rsid w:val="00F512A6"/>
    <w:rsid w:val="00F51306"/>
    <w:rsid w:val="00F5137B"/>
    <w:rsid w:val="00F5142A"/>
    <w:rsid w:val="00F5143B"/>
    <w:rsid w:val="00F5143F"/>
    <w:rsid w:val="00F5148A"/>
    <w:rsid w:val="00F515CB"/>
    <w:rsid w:val="00F515CE"/>
    <w:rsid w:val="00F515F0"/>
    <w:rsid w:val="00F51607"/>
    <w:rsid w:val="00F51645"/>
    <w:rsid w:val="00F51652"/>
    <w:rsid w:val="00F51668"/>
    <w:rsid w:val="00F516D5"/>
    <w:rsid w:val="00F516E7"/>
    <w:rsid w:val="00F51700"/>
    <w:rsid w:val="00F51739"/>
    <w:rsid w:val="00F5178D"/>
    <w:rsid w:val="00F5181D"/>
    <w:rsid w:val="00F51828"/>
    <w:rsid w:val="00F518B9"/>
    <w:rsid w:val="00F51926"/>
    <w:rsid w:val="00F51927"/>
    <w:rsid w:val="00F51929"/>
    <w:rsid w:val="00F519B4"/>
    <w:rsid w:val="00F519EB"/>
    <w:rsid w:val="00F51A18"/>
    <w:rsid w:val="00F51B00"/>
    <w:rsid w:val="00F51B0D"/>
    <w:rsid w:val="00F51B3D"/>
    <w:rsid w:val="00F51C18"/>
    <w:rsid w:val="00F51C23"/>
    <w:rsid w:val="00F51CE2"/>
    <w:rsid w:val="00F51D98"/>
    <w:rsid w:val="00F51DE9"/>
    <w:rsid w:val="00F51E07"/>
    <w:rsid w:val="00F51EA1"/>
    <w:rsid w:val="00F51F36"/>
    <w:rsid w:val="00F51FBA"/>
    <w:rsid w:val="00F52004"/>
    <w:rsid w:val="00F52021"/>
    <w:rsid w:val="00F52071"/>
    <w:rsid w:val="00F521FA"/>
    <w:rsid w:val="00F52219"/>
    <w:rsid w:val="00F522CA"/>
    <w:rsid w:val="00F52371"/>
    <w:rsid w:val="00F5238C"/>
    <w:rsid w:val="00F523C5"/>
    <w:rsid w:val="00F523CC"/>
    <w:rsid w:val="00F52418"/>
    <w:rsid w:val="00F52440"/>
    <w:rsid w:val="00F52444"/>
    <w:rsid w:val="00F52591"/>
    <w:rsid w:val="00F52607"/>
    <w:rsid w:val="00F526BB"/>
    <w:rsid w:val="00F526F3"/>
    <w:rsid w:val="00F52706"/>
    <w:rsid w:val="00F52764"/>
    <w:rsid w:val="00F52776"/>
    <w:rsid w:val="00F52823"/>
    <w:rsid w:val="00F5282B"/>
    <w:rsid w:val="00F52858"/>
    <w:rsid w:val="00F5287D"/>
    <w:rsid w:val="00F528DF"/>
    <w:rsid w:val="00F528FB"/>
    <w:rsid w:val="00F529C1"/>
    <w:rsid w:val="00F529D6"/>
    <w:rsid w:val="00F52A39"/>
    <w:rsid w:val="00F52A8B"/>
    <w:rsid w:val="00F52AEE"/>
    <w:rsid w:val="00F52B41"/>
    <w:rsid w:val="00F52C6C"/>
    <w:rsid w:val="00F52CAC"/>
    <w:rsid w:val="00F52D20"/>
    <w:rsid w:val="00F52D71"/>
    <w:rsid w:val="00F52DDC"/>
    <w:rsid w:val="00F52E45"/>
    <w:rsid w:val="00F52E97"/>
    <w:rsid w:val="00F52FC0"/>
    <w:rsid w:val="00F530DB"/>
    <w:rsid w:val="00F5335A"/>
    <w:rsid w:val="00F5339C"/>
    <w:rsid w:val="00F5346E"/>
    <w:rsid w:val="00F534B0"/>
    <w:rsid w:val="00F534BA"/>
    <w:rsid w:val="00F5364C"/>
    <w:rsid w:val="00F53652"/>
    <w:rsid w:val="00F5373A"/>
    <w:rsid w:val="00F5376A"/>
    <w:rsid w:val="00F537B9"/>
    <w:rsid w:val="00F5389C"/>
    <w:rsid w:val="00F538F4"/>
    <w:rsid w:val="00F53A19"/>
    <w:rsid w:val="00F53A41"/>
    <w:rsid w:val="00F53AD5"/>
    <w:rsid w:val="00F53AE3"/>
    <w:rsid w:val="00F53B2E"/>
    <w:rsid w:val="00F53B7B"/>
    <w:rsid w:val="00F53D1E"/>
    <w:rsid w:val="00F53D6A"/>
    <w:rsid w:val="00F53D82"/>
    <w:rsid w:val="00F53D9D"/>
    <w:rsid w:val="00F53DAE"/>
    <w:rsid w:val="00F53E19"/>
    <w:rsid w:val="00F53E2D"/>
    <w:rsid w:val="00F53EBF"/>
    <w:rsid w:val="00F53FD3"/>
    <w:rsid w:val="00F5404E"/>
    <w:rsid w:val="00F540BE"/>
    <w:rsid w:val="00F540C0"/>
    <w:rsid w:val="00F541FE"/>
    <w:rsid w:val="00F54283"/>
    <w:rsid w:val="00F54398"/>
    <w:rsid w:val="00F543C9"/>
    <w:rsid w:val="00F54452"/>
    <w:rsid w:val="00F5449E"/>
    <w:rsid w:val="00F5449F"/>
    <w:rsid w:val="00F54521"/>
    <w:rsid w:val="00F5456C"/>
    <w:rsid w:val="00F5459C"/>
    <w:rsid w:val="00F545CE"/>
    <w:rsid w:val="00F54615"/>
    <w:rsid w:val="00F5464F"/>
    <w:rsid w:val="00F546E6"/>
    <w:rsid w:val="00F546EB"/>
    <w:rsid w:val="00F54744"/>
    <w:rsid w:val="00F548BD"/>
    <w:rsid w:val="00F5497E"/>
    <w:rsid w:val="00F549BA"/>
    <w:rsid w:val="00F54A77"/>
    <w:rsid w:val="00F54ACA"/>
    <w:rsid w:val="00F54B1D"/>
    <w:rsid w:val="00F54B65"/>
    <w:rsid w:val="00F54B76"/>
    <w:rsid w:val="00F54BA3"/>
    <w:rsid w:val="00F54C4C"/>
    <w:rsid w:val="00F54D61"/>
    <w:rsid w:val="00F54D69"/>
    <w:rsid w:val="00F54D6E"/>
    <w:rsid w:val="00F54D7B"/>
    <w:rsid w:val="00F54DED"/>
    <w:rsid w:val="00F54E5D"/>
    <w:rsid w:val="00F54F40"/>
    <w:rsid w:val="00F54FD7"/>
    <w:rsid w:val="00F5505D"/>
    <w:rsid w:val="00F55080"/>
    <w:rsid w:val="00F55108"/>
    <w:rsid w:val="00F5519D"/>
    <w:rsid w:val="00F55211"/>
    <w:rsid w:val="00F55246"/>
    <w:rsid w:val="00F55298"/>
    <w:rsid w:val="00F552DE"/>
    <w:rsid w:val="00F552EB"/>
    <w:rsid w:val="00F553AF"/>
    <w:rsid w:val="00F55450"/>
    <w:rsid w:val="00F554A9"/>
    <w:rsid w:val="00F55504"/>
    <w:rsid w:val="00F5564D"/>
    <w:rsid w:val="00F55654"/>
    <w:rsid w:val="00F556D7"/>
    <w:rsid w:val="00F5573B"/>
    <w:rsid w:val="00F55743"/>
    <w:rsid w:val="00F5579E"/>
    <w:rsid w:val="00F557C7"/>
    <w:rsid w:val="00F557FD"/>
    <w:rsid w:val="00F559B3"/>
    <w:rsid w:val="00F559B9"/>
    <w:rsid w:val="00F559C6"/>
    <w:rsid w:val="00F55B49"/>
    <w:rsid w:val="00F55C73"/>
    <w:rsid w:val="00F55CBC"/>
    <w:rsid w:val="00F55CC1"/>
    <w:rsid w:val="00F55CCE"/>
    <w:rsid w:val="00F55D1F"/>
    <w:rsid w:val="00F55D97"/>
    <w:rsid w:val="00F55DC0"/>
    <w:rsid w:val="00F55DD5"/>
    <w:rsid w:val="00F55DFC"/>
    <w:rsid w:val="00F55F73"/>
    <w:rsid w:val="00F55F9B"/>
    <w:rsid w:val="00F5603A"/>
    <w:rsid w:val="00F56057"/>
    <w:rsid w:val="00F56091"/>
    <w:rsid w:val="00F560B0"/>
    <w:rsid w:val="00F56164"/>
    <w:rsid w:val="00F561E7"/>
    <w:rsid w:val="00F5625D"/>
    <w:rsid w:val="00F562BA"/>
    <w:rsid w:val="00F562D7"/>
    <w:rsid w:val="00F562D9"/>
    <w:rsid w:val="00F562F5"/>
    <w:rsid w:val="00F56311"/>
    <w:rsid w:val="00F563C8"/>
    <w:rsid w:val="00F56443"/>
    <w:rsid w:val="00F5647D"/>
    <w:rsid w:val="00F565A9"/>
    <w:rsid w:val="00F565CB"/>
    <w:rsid w:val="00F5661D"/>
    <w:rsid w:val="00F567BE"/>
    <w:rsid w:val="00F567D7"/>
    <w:rsid w:val="00F56887"/>
    <w:rsid w:val="00F5688A"/>
    <w:rsid w:val="00F56907"/>
    <w:rsid w:val="00F569B1"/>
    <w:rsid w:val="00F56A84"/>
    <w:rsid w:val="00F56AA7"/>
    <w:rsid w:val="00F56BD6"/>
    <w:rsid w:val="00F56BE0"/>
    <w:rsid w:val="00F56C30"/>
    <w:rsid w:val="00F56C7A"/>
    <w:rsid w:val="00F56E63"/>
    <w:rsid w:val="00F56EF1"/>
    <w:rsid w:val="00F56EF2"/>
    <w:rsid w:val="00F56F0B"/>
    <w:rsid w:val="00F56F54"/>
    <w:rsid w:val="00F56F5F"/>
    <w:rsid w:val="00F5706B"/>
    <w:rsid w:val="00F5713D"/>
    <w:rsid w:val="00F572F8"/>
    <w:rsid w:val="00F5738B"/>
    <w:rsid w:val="00F573BF"/>
    <w:rsid w:val="00F573F0"/>
    <w:rsid w:val="00F57443"/>
    <w:rsid w:val="00F5746F"/>
    <w:rsid w:val="00F57494"/>
    <w:rsid w:val="00F574F2"/>
    <w:rsid w:val="00F5758E"/>
    <w:rsid w:val="00F575B9"/>
    <w:rsid w:val="00F5761A"/>
    <w:rsid w:val="00F57635"/>
    <w:rsid w:val="00F576BA"/>
    <w:rsid w:val="00F57732"/>
    <w:rsid w:val="00F57799"/>
    <w:rsid w:val="00F578B0"/>
    <w:rsid w:val="00F5797A"/>
    <w:rsid w:val="00F579D4"/>
    <w:rsid w:val="00F579F3"/>
    <w:rsid w:val="00F57A7A"/>
    <w:rsid w:val="00F57B0D"/>
    <w:rsid w:val="00F57B31"/>
    <w:rsid w:val="00F57BD1"/>
    <w:rsid w:val="00F57BDE"/>
    <w:rsid w:val="00F57C9C"/>
    <w:rsid w:val="00F57CA6"/>
    <w:rsid w:val="00F57CB3"/>
    <w:rsid w:val="00F57CF2"/>
    <w:rsid w:val="00F57DCD"/>
    <w:rsid w:val="00F57E19"/>
    <w:rsid w:val="00F57F1E"/>
    <w:rsid w:val="00F57F6C"/>
    <w:rsid w:val="00F60076"/>
    <w:rsid w:val="00F60088"/>
    <w:rsid w:val="00F600BF"/>
    <w:rsid w:val="00F600C5"/>
    <w:rsid w:val="00F60196"/>
    <w:rsid w:val="00F601CD"/>
    <w:rsid w:val="00F601EA"/>
    <w:rsid w:val="00F6021E"/>
    <w:rsid w:val="00F602DC"/>
    <w:rsid w:val="00F603F1"/>
    <w:rsid w:val="00F603F5"/>
    <w:rsid w:val="00F60440"/>
    <w:rsid w:val="00F6059F"/>
    <w:rsid w:val="00F60636"/>
    <w:rsid w:val="00F606FF"/>
    <w:rsid w:val="00F60787"/>
    <w:rsid w:val="00F607E8"/>
    <w:rsid w:val="00F60814"/>
    <w:rsid w:val="00F6082D"/>
    <w:rsid w:val="00F6082E"/>
    <w:rsid w:val="00F60861"/>
    <w:rsid w:val="00F608E3"/>
    <w:rsid w:val="00F608E7"/>
    <w:rsid w:val="00F60906"/>
    <w:rsid w:val="00F60A33"/>
    <w:rsid w:val="00F60A53"/>
    <w:rsid w:val="00F60B78"/>
    <w:rsid w:val="00F60B83"/>
    <w:rsid w:val="00F60B86"/>
    <w:rsid w:val="00F60C28"/>
    <w:rsid w:val="00F60C70"/>
    <w:rsid w:val="00F60C89"/>
    <w:rsid w:val="00F60D31"/>
    <w:rsid w:val="00F60D9D"/>
    <w:rsid w:val="00F60D9E"/>
    <w:rsid w:val="00F60DEB"/>
    <w:rsid w:val="00F60E06"/>
    <w:rsid w:val="00F60E15"/>
    <w:rsid w:val="00F60F4C"/>
    <w:rsid w:val="00F610EC"/>
    <w:rsid w:val="00F6111D"/>
    <w:rsid w:val="00F6113F"/>
    <w:rsid w:val="00F612A9"/>
    <w:rsid w:val="00F612E1"/>
    <w:rsid w:val="00F612F3"/>
    <w:rsid w:val="00F613F9"/>
    <w:rsid w:val="00F61559"/>
    <w:rsid w:val="00F615A8"/>
    <w:rsid w:val="00F61644"/>
    <w:rsid w:val="00F61677"/>
    <w:rsid w:val="00F6170C"/>
    <w:rsid w:val="00F61825"/>
    <w:rsid w:val="00F61889"/>
    <w:rsid w:val="00F618D1"/>
    <w:rsid w:val="00F618E7"/>
    <w:rsid w:val="00F61921"/>
    <w:rsid w:val="00F61922"/>
    <w:rsid w:val="00F6192C"/>
    <w:rsid w:val="00F61A80"/>
    <w:rsid w:val="00F61B00"/>
    <w:rsid w:val="00F61B6F"/>
    <w:rsid w:val="00F61BCF"/>
    <w:rsid w:val="00F61BE1"/>
    <w:rsid w:val="00F61DFF"/>
    <w:rsid w:val="00F61E4F"/>
    <w:rsid w:val="00F61F2B"/>
    <w:rsid w:val="00F61F76"/>
    <w:rsid w:val="00F61F92"/>
    <w:rsid w:val="00F61FFB"/>
    <w:rsid w:val="00F62027"/>
    <w:rsid w:val="00F62137"/>
    <w:rsid w:val="00F622C5"/>
    <w:rsid w:val="00F622E1"/>
    <w:rsid w:val="00F6241E"/>
    <w:rsid w:val="00F6244A"/>
    <w:rsid w:val="00F6248E"/>
    <w:rsid w:val="00F624F1"/>
    <w:rsid w:val="00F62500"/>
    <w:rsid w:val="00F62521"/>
    <w:rsid w:val="00F62529"/>
    <w:rsid w:val="00F62563"/>
    <w:rsid w:val="00F625CC"/>
    <w:rsid w:val="00F625CE"/>
    <w:rsid w:val="00F625D2"/>
    <w:rsid w:val="00F625EB"/>
    <w:rsid w:val="00F62719"/>
    <w:rsid w:val="00F62724"/>
    <w:rsid w:val="00F62814"/>
    <w:rsid w:val="00F62884"/>
    <w:rsid w:val="00F62935"/>
    <w:rsid w:val="00F629AD"/>
    <w:rsid w:val="00F62A88"/>
    <w:rsid w:val="00F62ACB"/>
    <w:rsid w:val="00F62AFE"/>
    <w:rsid w:val="00F62B5B"/>
    <w:rsid w:val="00F62B5C"/>
    <w:rsid w:val="00F62C0B"/>
    <w:rsid w:val="00F62C8D"/>
    <w:rsid w:val="00F62D0B"/>
    <w:rsid w:val="00F62D75"/>
    <w:rsid w:val="00F62DF5"/>
    <w:rsid w:val="00F62E77"/>
    <w:rsid w:val="00F62EAB"/>
    <w:rsid w:val="00F62EC8"/>
    <w:rsid w:val="00F62F6F"/>
    <w:rsid w:val="00F62FE4"/>
    <w:rsid w:val="00F63248"/>
    <w:rsid w:val="00F63290"/>
    <w:rsid w:val="00F63311"/>
    <w:rsid w:val="00F6335C"/>
    <w:rsid w:val="00F6348A"/>
    <w:rsid w:val="00F635CC"/>
    <w:rsid w:val="00F6361A"/>
    <w:rsid w:val="00F63692"/>
    <w:rsid w:val="00F6373B"/>
    <w:rsid w:val="00F6378B"/>
    <w:rsid w:val="00F637EA"/>
    <w:rsid w:val="00F63893"/>
    <w:rsid w:val="00F639E1"/>
    <w:rsid w:val="00F639F1"/>
    <w:rsid w:val="00F63A38"/>
    <w:rsid w:val="00F63A56"/>
    <w:rsid w:val="00F63B80"/>
    <w:rsid w:val="00F63B9E"/>
    <w:rsid w:val="00F63BC0"/>
    <w:rsid w:val="00F63C19"/>
    <w:rsid w:val="00F63C1D"/>
    <w:rsid w:val="00F63C91"/>
    <w:rsid w:val="00F63C99"/>
    <w:rsid w:val="00F63CDE"/>
    <w:rsid w:val="00F63D4A"/>
    <w:rsid w:val="00F63D67"/>
    <w:rsid w:val="00F63D92"/>
    <w:rsid w:val="00F63EAA"/>
    <w:rsid w:val="00F63EF4"/>
    <w:rsid w:val="00F63FF0"/>
    <w:rsid w:val="00F64017"/>
    <w:rsid w:val="00F6402C"/>
    <w:rsid w:val="00F64134"/>
    <w:rsid w:val="00F64156"/>
    <w:rsid w:val="00F64181"/>
    <w:rsid w:val="00F64190"/>
    <w:rsid w:val="00F64238"/>
    <w:rsid w:val="00F6427B"/>
    <w:rsid w:val="00F642B8"/>
    <w:rsid w:val="00F64344"/>
    <w:rsid w:val="00F6439B"/>
    <w:rsid w:val="00F6444A"/>
    <w:rsid w:val="00F6458C"/>
    <w:rsid w:val="00F645E2"/>
    <w:rsid w:val="00F64614"/>
    <w:rsid w:val="00F64643"/>
    <w:rsid w:val="00F6465D"/>
    <w:rsid w:val="00F64678"/>
    <w:rsid w:val="00F64699"/>
    <w:rsid w:val="00F646AF"/>
    <w:rsid w:val="00F646B7"/>
    <w:rsid w:val="00F646C4"/>
    <w:rsid w:val="00F64744"/>
    <w:rsid w:val="00F64794"/>
    <w:rsid w:val="00F6479B"/>
    <w:rsid w:val="00F647B3"/>
    <w:rsid w:val="00F647BA"/>
    <w:rsid w:val="00F648A2"/>
    <w:rsid w:val="00F648DD"/>
    <w:rsid w:val="00F64906"/>
    <w:rsid w:val="00F64931"/>
    <w:rsid w:val="00F6494D"/>
    <w:rsid w:val="00F649F3"/>
    <w:rsid w:val="00F649FF"/>
    <w:rsid w:val="00F64AC5"/>
    <w:rsid w:val="00F64AD1"/>
    <w:rsid w:val="00F64BB2"/>
    <w:rsid w:val="00F64BBC"/>
    <w:rsid w:val="00F64BEA"/>
    <w:rsid w:val="00F64C4D"/>
    <w:rsid w:val="00F64C6D"/>
    <w:rsid w:val="00F64C71"/>
    <w:rsid w:val="00F64D4B"/>
    <w:rsid w:val="00F64DB7"/>
    <w:rsid w:val="00F64DC5"/>
    <w:rsid w:val="00F64DE2"/>
    <w:rsid w:val="00F64EF3"/>
    <w:rsid w:val="00F64F37"/>
    <w:rsid w:val="00F64FEB"/>
    <w:rsid w:val="00F65006"/>
    <w:rsid w:val="00F65013"/>
    <w:rsid w:val="00F6505B"/>
    <w:rsid w:val="00F6508D"/>
    <w:rsid w:val="00F650A9"/>
    <w:rsid w:val="00F650DB"/>
    <w:rsid w:val="00F651DF"/>
    <w:rsid w:val="00F6523D"/>
    <w:rsid w:val="00F65297"/>
    <w:rsid w:val="00F652C4"/>
    <w:rsid w:val="00F652CB"/>
    <w:rsid w:val="00F6531E"/>
    <w:rsid w:val="00F653B8"/>
    <w:rsid w:val="00F65420"/>
    <w:rsid w:val="00F65421"/>
    <w:rsid w:val="00F65425"/>
    <w:rsid w:val="00F6544C"/>
    <w:rsid w:val="00F654F2"/>
    <w:rsid w:val="00F65507"/>
    <w:rsid w:val="00F656BD"/>
    <w:rsid w:val="00F65775"/>
    <w:rsid w:val="00F657FB"/>
    <w:rsid w:val="00F6583C"/>
    <w:rsid w:val="00F658F6"/>
    <w:rsid w:val="00F658FA"/>
    <w:rsid w:val="00F65996"/>
    <w:rsid w:val="00F659C1"/>
    <w:rsid w:val="00F65A2D"/>
    <w:rsid w:val="00F65AE3"/>
    <w:rsid w:val="00F65AF4"/>
    <w:rsid w:val="00F65C3F"/>
    <w:rsid w:val="00F65C92"/>
    <w:rsid w:val="00F65CA7"/>
    <w:rsid w:val="00F65CDE"/>
    <w:rsid w:val="00F65E99"/>
    <w:rsid w:val="00F65EDF"/>
    <w:rsid w:val="00F65FA5"/>
    <w:rsid w:val="00F65FC3"/>
    <w:rsid w:val="00F66081"/>
    <w:rsid w:val="00F660FB"/>
    <w:rsid w:val="00F6616A"/>
    <w:rsid w:val="00F6630A"/>
    <w:rsid w:val="00F6635F"/>
    <w:rsid w:val="00F66384"/>
    <w:rsid w:val="00F66395"/>
    <w:rsid w:val="00F66450"/>
    <w:rsid w:val="00F664CD"/>
    <w:rsid w:val="00F665FE"/>
    <w:rsid w:val="00F6669C"/>
    <w:rsid w:val="00F667D6"/>
    <w:rsid w:val="00F667D7"/>
    <w:rsid w:val="00F667E0"/>
    <w:rsid w:val="00F66822"/>
    <w:rsid w:val="00F6686C"/>
    <w:rsid w:val="00F668B6"/>
    <w:rsid w:val="00F668F3"/>
    <w:rsid w:val="00F66937"/>
    <w:rsid w:val="00F66957"/>
    <w:rsid w:val="00F6697F"/>
    <w:rsid w:val="00F66A42"/>
    <w:rsid w:val="00F66A6A"/>
    <w:rsid w:val="00F66AAA"/>
    <w:rsid w:val="00F66AE2"/>
    <w:rsid w:val="00F66B0C"/>
    <w:rsid w:val="00F66B73"/>
    <w:rsid w:val="00F66C10"/>
    <w:rsid w:val="00F66C4A"/>
    <w:rsid w:val="00F66CE6"/>
    <w:rsid w:val="00F66CED"/>
    <w:rsid w:val="00F66D97"/>
    <w:rsid w:val="00F66E09"/>
    <w:rsid w:val="00F66E2A"/>
    <w:rsid w:val="00F66E2D"/>
    <w:rsid w:val="00F66E4E"/>
    <w:rsid w:val="00F66EA9"/>
    <w:rsid w:val="00F66EDF"/>
    <w:rsid w:val="00F66F10"/>
    <w:rsid w:val="00F66F3A"/>
    <w:rsid w:val="00F67014"/>
    <w:rsid w:val="00F67029"/>
    <w:rsid w:val="00F6705B"/>
    <w:rsid w:val="00F670BE"/>
    <w:rsid w:val="00F670F6"/>
    <w:rsid w:val="00F67190"/>
    <w:rsid w:val="00F67257"/>
    <w:rsid w:val="00F672D7"/>
    <w:rsid w:val="00F67300"/>
    <w:rsid w:val="00F6736F"/>
    <w:rsid w:val="00F673B9"/>
    <w:rsid w:val="00F67449"/>
    <w:rsid w:val="00F675E0"/>
    <w:rsid w:val="00F67662"/>
    <w:rsid w:val="00F67686"/>
    <w:rsid w:val="00F67691"/>
    <w:rsid w:val="00F67703"/>
    <w:rsid w:val="00F67716"/>
    <w:rsid w:val="00F67736"/>
    <w:rsid w:val="00F67761"/>
    <w:rsid w:val="00F677B0"/>
    <w:rsid w:val="00F677D3"/>
    <w:rsid w:val="00F677E3"/>
    <w:rsid w:val="00F67805"/>
    <w:rsid w:val="00F6790D"/>
    <w:rsid w:val="00F679A1"/>
    <w:rsid w:val="00F679C8"/>
    <w:rsid w:val="00F67A55"/>
    <w:rsid w:val="00F67A86"/>
    <w:rsid w:val="00F67B1D"/>
    <w:rsid w:val="00F67B42"/>
    <w:rsid w:val="00F67BF3"/>
    <w:rsid w:val="00F67C25"/>
    <w:rsid w:val="00F67CAA"/>
    <w:rsid w:val="00F67D07"/>
    <w:rsid w:val="00F67D1C"/>
    <w:rsid w:val="00F67D7B"/>
    <w:rsid w:val="00F67E1B"/>
    <w:rsid w:val="00F67EA5"/>
    <w:rsid w:val="00F67FBE"/>
    <w:rsid w:val="00F700A7"/>
    <w:rsid w:val="00F70145"/>
    <w:rsid w:val="00F70162"/>
    <w:rsid w:val="00F70206"/>
    <w:rsid w:val="00F70226"/>
    <w:rsid w:val="00F70263"/>
    <w:rsid w:val="00F702E9"/>
    <w:rsid w:val="00F702F1"/>
    <w:rsid w:val="00F703AA"/>
    <w:rsid w:val="00F704CA"/>
    <w:rsid w:val="00F704CE"/>
    <w:rsid w:val="00F70588"/>
    <w:rsid w:val="00F705C6"/>
    <w:rsid w:val="00F70652"/>
    <w:rsid w:val="00F7072B"/>
    <w:rsid w:val="00F7072D"/>
    <w:rsid w:val="00F70891"/>
    <w:rsid w:val="00F708A6"/>
    <w:rsid w:val="00F708E6"/>
    <w:rsid w:val="00F70988"/>
    <w:rsid w:val="00F709AA"/>
    <w:rsid w:val="00F709D2"/>
    <w:rsid w:val="00F709F6"/>
    <w:rsid w:val="00F70A53"/>
    <w:rsid w:val="00F70B7B"/>
    <w:rsid w:val="00F70B84"/>
    <w:rsid w:val="00F70C3C"/>
    <w:rsid w:val="00F70C96"/>
    <w:rsid w:val="00F70D7B"/>
    <w:rsid w:val="00F70E24"/>
    <w:rsid w:val="00F70E2F"/>
    <w:rsid w:val="00F70E62"/>
    <w:rsid w:val="00F70F2D"/>
    <w:rsid w:val="00F70F71"/>
    <w:rsid w:val="00F70F8D"/>
    <w:rsid w:val="00F70FD8"/>
    <w:rsid w:val="00F71055"/>
    <w:rsid w:val="00F71062"/>
    <w:rsid w:val="00F71150"/>
    <w:rsid w:val="00F711F0"/>
    <w:rsid w:val="00F711FF"/>
    <w:rsid w:val="00F7122D"/>
    <w:rsid w:val="00F71274"/>
    <w:rsid w:val="00F712C2"/>
    <w:rsid w:val="00F71304"/>
    <w:rsid w:val="00F71320"/>
    <w:rsid w:val="00F7135D"/>
    <w:rsid w:val="00F71378"/>
    <w:rsid w:val="00F71403"/>
    <w:rsid w:val="00F7153C"/>
    <w:rsid w:val="00F7153F"/>
    <w:rsid w:val="00F7161D"/>
    <w:rsid w:val="00F71672"/>
    <w:rsid w:val="00F716B7"/>
    <w:rsid w:val="00F716C0"/>
    <w:rsid w:val="00F7181B"/>
    <w:rsid w:val="00F718A9"/>
    <w:rsid w:val="00F718E2"/>
    <w:rsid w:val="00F718E8"/>
    <w:rsid w:val="00F71916"/>
    <w:rsid w:val="00F7192E"/>
    <w:rsid w:val="00F719BC"/>
    <w:rsid w:val="00F71A45"/>
    <w:rsid w:val="00F71ADE"/>
    <w:rsid w:val="00F71AFB"/>
    <w:rsid w:val="00F71B1A"/>
    <w:rsid w:val="00F71B1D"/>
    <w:rsid w:val="00F71B79"/>
    <w:rsid w:val="00F71C1B"/>
    <w:rsid w:val="00F71DD0"/>
    <w:rsid w:val="00F71F4A"/>
    <w:rsid w:val="00F71F7D"/>
    <w:rsid w:val="00F71F87"/>
    <w:rsid w:val="00F72053"/>
    <w:rsid w:val="00F720F6"/>
    <w:rsid w:val="00F721AE"/>
    <w:rsid w:val="00F7222E"/>
    <w:rsid w:val="00F7229F"/>
    <w:rsid w:val="00F722DA"/>
    <w:rsid w:val="00F7232D"/>
    <w:rsid w:val="00F7244C"/>
    <w:rsid w:val="00F72470"/>
    <w:rsid w:val="00F72551"/>
    <w:rsid w:val="00F725C0"/>
    <w:rsid w:val="00F725D5"/>
    <w:rsid w:val="00F725DC"/>
    <w:rsid w:val="00F725FB"/>
    <w:rsid w:val="00F726ED"/>
    <w:rsid w:val="00F72754"/>
    <w:rsid w:val="00F7285B"/>
    <w:rsid w:val="00F72869"/>
    <w:rsid w:val="00F7290F"/>
    <w:rsid w:val="00F7299C"/>
    <w:rsid w:val="00F72A1A"/>
    <w:rsid w:val="00F72A7A"/>
    <w:rsid w:val="00F72ADC"/>
    <w:rsid w:val="00F72AF1"/>
    <w:rsid w:val="00F72C23"/>
    <w:rsid w:val="00F72C26"/>
    <w:rsid w:val="00F72D21"/>
    <w:rsid w:val="00F72D7A"/>
    <w:rsid w:val="00F72D7C"/>
    <w:rsid w:val="00F72DAA"/>
    <w:rsid w:val="00F72F3A"/>
    <w:rsid w:val="00F72FE6"/>
    <w:rsid w:val="00F72FE7"/>
    <w:rsid w:val="00F730C3"/>
    <w:rsid w:val="00F73141"/>
    <w:rsid w:val="00F73185"/>
    <w:rsid w:val="00F73279"/>
    <w:rsid w:val="00F732A4"/>
    <w:rsid w:val="00F732C3"/>
    <w:rsid w:val="00F732E4"/>
    <w:rsid w:val="00F732F4"/>
    <w:rsid w:val="00F73301"/>
    <w:rsid w:val="00F73511"/>
    <w:rsid w:val="00F7354A"/>
    <w:rsid w:val="00F73570"/>
    <w:rsid w:val="00F7359D"/>
    <w:rsid w:val="00F73756"/>
    <w:rsid w:val="00F7379F"/>
    <w:rsid w:val="00F737D0"/>
    <w:rsid w:val="00F73803"/>
    <w:rsid w:val="00F73837"/>
    <w:rsid w:val="00F73874"/>
    <w:rsid w:val="00F73883"/>
    <w:rsid w:val="00F73925"/>
    <w:rsid w:val="00F7393A"/>
    <w:rsid w:val="00F73948"/>
    <w:rsid w:val="00F73950"/>
    <w:rsid w:val="00F739AC"/>
    <w:rsid w:val="00F739B7"/>
    <w:rsid w:val="00F73A24"/>
    <w:rsid w:val="00F73A9D"/>
    <w:rsid w:val="00F73B1D"/>
    <w:rsid w:val="00F73B34"/>
    <w:rsid w:val="00F73B4D"/>
    <w:rsid w:val="00F73B53"/>
    <w:rsid w:val="00F73B9E"/>
    <w:rsid w:val="00F73C71"/>
    <w:rsid w:val="00F73C98"/>
    <w:rsid w:val="00F73CDF"/>
    <w:rsid w:val="00F73D1F"/>
    <w:rsid w:val="00F73D2B"/>
    <w:rsid w:val="00F73D41"/>
    <w:rsid w:val="00F73D65"/>
    <w:rsid w:val="00F73F24"/>
    <w:rsid w:val="00F73F55"/>
    <w:rsid w:val="00F74000"/>
    <w:rsid w:val="00F7403A"/>
    <w:rsid w:val="00F7403B"/>
    <w:rsid w:val="00F7404A"/>
    <w:rsid w:val="00F740C8"/>
    <w:rsid w:val="00F740E7"/>
    <w:rsid w:val="00F7420F"/>
    <w:rsid w:val="00F74261"/>
    <w:rsid w:val="00F7426D"/>
    <w:rsid w:val="00F74287"/>
    <w:rsid w:val="00F742CB"/>
    <w:rsid w:val="00F742ED"/>
    <w:rsid w:val="00F74354"/>
    <w:rsid w:val="00F74390"/>
    <w:rsid w:val="00F743A9"/>
    <w:rsid w:val="00F74427"/>
    <w:rsid w:val="00F7449E"/>
    <w:rsid w:val="00F744A0"/>
    <w:rsid w:val="00F744E2"/>
    <w:rsid w:val="00F745DB"/>
    <w:rsid w:val="00F745DE"/>
    <w:rsid w:val="00F74641"/>
    <w:rsid w:val="00F746C4"/>
    <w:rsid w:val="00F746CA"/>
    <w:rsid w:val="00F746F1"/>
    <w:rsid w:val="00F74839"/>
    <w:rsid w:val="00F748BF"/>
    <w:rsid w:val="00F748FB"/>
    <w:rsid w:val="00F74905"/>
    <w:rsid w:val="00F7493E"/>
    <w:rsid w:val="00F74945"/>
    <w:rsid w:val="00F749BD"/>
    <w:rsid w:val="00F749F8"/>
    <w:rsid w:val="00F74A3A"/>
    <w:rsid w:val="00F74ADE"/>
    <w:rsid w:val="00F74B6C"/>
    <w:rsid w:val="00F74B84"/>
    <w:rsid w:val="00F74B8F"/>
    <w:rsid w:val="00F74CA6"/>
    <w:rsid w:val="00F74E15"/>
    <w:rsid w:val="00F74F97"/>
    <w:rsid w:val="00F74FAC"/>
    <w:rsid w:val="00F74FBA"/>
    <w:rsid w:val="00F74FFD"/>
    <w:rsid w:val="00F750D8"/>
    <w:rsid w:val="00F750EA"/>
    <w:rsid w:val="00F751AE"/>
    <w:rsid w:val="00F75249"/>
    <w:rsid w:val="00F75343"/>
    <w:rsid w:val="00F7534B"/>
    <w:rsid w:val="00F753CF"/>
    <w:rsid w:val="00F75459"/>
    <w:rsid w:val="00F7556A"/>
    <w:rsid w:val="00F755D4"/>
    <w:rsid w:val="00F755EB"/>
    <w:rsid w:val="00F7564F"/>
    <w:rsid w:val="00F7569E"/>
    <w:rsid w:val="00F756CC"/>
    <w:rsid w:val="00F75737"/>
    <w:rsid w:val="00F7576B"/>
    <w:rsid w:val="00F75779"/>
    <w:rsid w:val="00F7583F"/>
    <w:rsid w:val="00F75866"/>
    <w:rsid w:val="00F758FE"/>
    <w:rsid w:val="00F759DB"/>
    <w:rsid w:val="00F75A28"/>
    <w:rsid w:val="00F75A63"/>
    <w:rsid w:val="00F75A70"/>
    <w:rsid w:val="00F75A7F"/>
    <w:rsid w:val="00F75B49"/>
    <w:rsid w:val="00F75B88"/>
    <w:rsid w:val="00F75C03"/>
    <w:rsid w:val="00F75C22"/>
    <w:rsid w:val="00F75C66"/>
    <w:rsid w:val="00F75CC9"/>
    <w:rsid w:val="00F75D42"/>
    <w:rsid w:val="00F75D75"/>
    <w:rsid w:val="00F75DEC"/>
    <w:rsid w:val="00F75E13"/>
    <w:rsid w:val="00F75E2F"/>
    <w:rsid w:val="00F75F08"/>
    <w:rsid w:val="00F75F28"/>
    <w:rsid w:val="00F75FBF"/>
    <w:rsid w:val="00F76001"/>
    <w:rsid w:val="00F7600B"/>
    <w:rsid w:val="00F7604E"/>
    <w:rsid w:val="00F76100"/>
    <w:rsid w:val="00F761E0"/>
    <w:rsid w:val="00F762D4"/>
    <w:rsid w:val="00F762EA"/>
    <w:rsid w:val="00F76341"/>
    <w:rsid w:val="00F7634F"/>
    <w:rsid w:val="00F763C8"/>
    <w:rsid w:val="00F763DC"/>
    <w:rsid w:val="00F763FF"/>
    <w:rsid w:val="00F76459"/>
    <w:rsid w:val="00F7648F"/>
    <w:rsid w:val="00F764C0"/>
    <w:rsid w:val="00F76529"/>
    <w:rsid w:val="00F76572"/>
    <w:rsid w:val="00F7662E"/>
    <w:rsid w:val="00F7668A"/>
    <w:rsid w:val="00F7669E"/>
    <w:rsid w:val="00F76785"/>
    <w:rsid w:val="00F76795"/>
    <w:rsid w:val="00F76882"/>
    <w:rsid w:val="00F768C7"/>
    <w:rsid w:val="00F76902"/>
    <w:rsid w:val="00F76930"/>
    <w:rsid w:val="00F76942"/>
    <w:rsid w:val="00F769D7"/>
    <w:rsid w:val="00F76B01"/>
    <w:rsid w:val="00F76B5D"/>
    <w:rsid w:val="00F76C34"/>
    <w:rsid w:val="00F76C7F"/>
    <w:rsid w:val="00F76CB9"/>
    <w:rsid w:val="00F76D09"/>
    <w:rsid w:val="00F76D51"/>
    <w:rsid w:val="00F76DE8"/>
    <w:rsid w:val="00F76E16"/>
    <w:rsid w:val="00F76E9C"/>
    <w:rsid w:val="00F76EAA"/>
    <w:rsid w:val="00F76F49"/>
    <w:rsid w:val="00F76FB4"/>
    <w:rsid w:val="00F76FC2"/>
    <w:rsid w:val="00F77035"/>
    <w:rsid w:val="00F7708F"/>
    <w:rsid w:val="00F77139"/>
    <w:rsid w:val="00F771D9"/>
    <w:rsid w:val="00F7726A"/>
    <w:rsid w:val="00F772E3"/>
    <w:rsid w:val="00F772F4"/>
    <w:rsid w:val="00F772F9"/>
    <w:rsid w:val="00F77397"/>
    <w:rsid w:val="00F773B1"/>
    <w:rsid w:val="00F774A2"/>
    <w:rsid w:val="00F7750F"/>
    <w:rsid w:val="00F775F4"/>
    <w:rsid w:val="00F77605"/>
    <w:rsid w:val="00F778B0"/>
    <w:rsid w:val="00F778DF"/>
    <w:rsid w:val="00F778EA"/>
    <w:rsid w:val="00F7798C"/>
    <w:rsid w:val="00F779CC"/>
    <w:rsid w:val="00F779F5"/>
    <w:rsid w:val="00F77A7C"/>
    <w:rsid w:val="00F77B6D"/>
    <w:rsid w:val="00F77C64"/>
    <w:rsid w:val="00F77C8D"/>
    <w:rsid w:val="00F77CE6"/>
    <w:rsid w:val="00F77E94"/>
    <w:rsid w:val="00F77F6A"/>
    <w:rsid w:val="00F8006C"/>
    <w:rsid w:val="00F80095"/>
    <w:rsid w:val="00F80115"/>
    <w:rsid w:val="00F8014B"/>
    <w:rsid w:val="00F8015C"/>
    <w:rsid w:val="00F80191"/>
    <w:rsid w:val="00F801E2"/>
    <w:rsid w:val="00F80274"/>
    <w:rsid w:val="00F80276"/>
    <w:rsid w:val="00F802D2"/>
    <w:rsid w:val="00F80384"/>
    <w:rsid w:val="00F803AC"/>
    <w:rsid w:val="00F80405"/>
    <w:rsid w:val="00F8040C"/>
    <w:rsid w:val="00F80430"/>
    <w:rsid w:val="00F804A8"/>
    <w:rsid w:val="00F804B7"/>
    <w:rsid w:val="00F804FB"/>
    <w:rsid w:val="00F805A0"/>
    <w:rsid w:val="00F805B6"/>
    <w:rsid w:val="00F80649"/>
    <w:rsid w:val="00F80653"/>
    <w:rsid w:val="00F80731"/>
    <w:rsid w:val="00F8078F"/>
    <w:rsid w:val="00F807B1"/>
    <w:rsid w:val="00F807CC"/>
    <w:rsid w:val="00F8081C"/>
    <w:rsid w:val="00F80820"/>
    <w:rsid w:val="00F80840"/>
    <w:rsid w:val="00F80895"/>
    <w:rsid w:val="00F808C1"/>
    <w:rsid w:val="00F8097B"/>
    <w:rsid w:val="00F80A27"/>
    <w:rsid w:val="00F80AE3"/>
    <w:rsid w:val="00F80BFE"/>
    <w:rsid w:val="00F80C1A"/>
    <w:rsid w:val="00F80CE5"/>
    <w:rsid w:val="00F80CEC"/>
    <w:rsid w:val="00F80D9D"/>
    <w:rsid w:val="00F80E61"/>
    <w:rsid w:val="00F80E9F"/>
    <w:rsid w:val="00F80F44"/>
    <w:rsid w:val="00F80FA2"/>
    <w:rsid w:val="00F810AB"/>
    <w:rsid w:val="00F810B4"/>
    <w:rsid w:val="00F8118E"/>
    <w:rsid w:val="00F81190"/>
    <w:rsid w:val="00F811A5"/>
    <w:rsid w:val="00F811C3"/>
    <w:rsid w:val="00F812B6"/>
    <w:rsid w:val="00F812CA"/>
    <w:rsid w:val="00F812DC"/>
    <w:rsid w:val="00F8139C"/>
    <w:rsid w:val="00F813B4"/>
    <w:rsid w:val="00F81421"/>
    <w:rsid w:val="00F81432"/>
    <w:rsid w:val="00F81511"/>
    <w:rsid w:val="00F81579"/>
    <w:rsid w:val="00F8158A"/>
    <w:rsid w:val="00F8174B"/>
    <w:rsid w:val="00F817D4"/>
    <w:rsid w:val="00F81821"/>
    <w:rsid w:val="00F8185B"/>
    <w:rsid w:val="00F8188B"/>
    <w:rsid w:val="00F81910"/>
    <w:rsid w:val="00F81922"/>
    <w:rsid w:val="00F819EC"/>
    <w:rsid w:val="00F81A12"/>
    <w:rsid w:val="00F81ADD"/>
    <w:rsid w:val="00F81B1E"/>
    <w:rsid w:val="00F81B3F"/>
    <w:rsid w:val="00F81B5F"/>
    <w:rsid w:val="00F81D88"/>
    <w:rsid w:val="00F81DA1"/>
    <w:rsid w:val="00F81E0A"/>
    <w:rsid w:val="00F81E15"/>
    <w:rsid w:val="00F81E36"/>
    <w:rsid w:val="00F81EE5"/>
    <w:rsid w:val="00F81F22"/>
    <w:rsid w:val="00F81FBB"/>
    <w:rsid w:val="00F820A7"/>
    <w:rsid w:val="00F820BC"/>
    <w:rsid w:val="00F820F9"/>
    <w:rsid w:val="00F82143"/>
    <w:rsid w:val="00F8215B"/>
    <w:rsid w:val="00F8220F"/>
    <w:rsid w:val="00F82259"/>
    <w:rsid w:val="00F82282"/>
    <w:rsid w:val="00F822C3"/>
    <w:rsid w:val="00F822D9"/>
    <w:rsid w:val="00F82309"/>
    <w:rsid w:val="00F82338"/>
    <w:rsid w:val="00F823DD"/>
    <w:rsid w:val="00F8242D"/>
    <w:rsid w:val="00F82494"/>
    <w:rsid w:val="00F82532"/>
    <w:rsid w:val="00F8254D"/>
    <w:rsid w:val="00F82555"/>
    <w:rsid w:val="00F8258B"/>
    <w:rsid w:val="00F825EE"/>
    <w:rsid w:val="00F82633"/>
    <w:rsid w:val="00F826D9"/>
    <w:rsid w:val="00F82723"/>
    <w:rsid w:val="00F827F6"/>
    <w:rsid w:val="00F8280E"/>
    <w:rsid w:val="00F82887"/>
    <w:rsid w:val="00F8288A"/>
    <w:rsid w:val="00F828B6"/>
    <w:rsid w:val="00F8297D"/>
    <w:rsid w:val="00F82993"/>
    <w:rsid w:val="00F8299C"/>
    <w:rsid w:val="00F829AF"/>
    <w:rsid w:val="00F829C3"/>
    <w:rsid w:val="00F829D1"/>
    <w:rsid w:val="00F82A37"/>
    <w:rsid w:val="00F82A4D"/>
    <w:rsid w:val="00F82B39"/>
    <w:rsid w:val="00F82BAF"/>
    <w:rsid w:val="00F82CF2"/>
    <w:rsid w:val="00F82EA5"/>
    <w:rsid w:val="00F82EAD"/>
    <w:rsid w:val="00F82F65"/>
    <w:rsid w:val="00F82FE7"/>
    <w:rsid w:val="00F8304F"/>
    <w:rsid w:val="00F83062"/>
    <w:rsid w:val="00F83090"/>
    <w:rsid w:val="00F83125"/>
    <w:rsid w:val="00F8312E"/>
    <w:rsid w:val="00F83249"/>
    <w:rsid w:val="00F83269"/>
    <w:rsid w:val="00F83325"/>
    <w:rsid w:val="00F83509"/>
    <w:rsid w:val="00F8354A"/>
    <w:rsid w:val="00F835F0"/>
    <w:rsid w:val="00F836A6"/>
    <w:rsid w:val="00F836B1"/>
    <w:rsid w:val="00F836BA"/>
    <w:rsid w:val="00F83798"/>
    <w:rsid w:val="00F837CE"/>
    <w:rsid w:val="00F837DD"/>
    <w:rsid w:val="00F83820"/>
    <w:rsid w:val="00F83888"/>
    <w:rsid w:val="00F83894"/>
    <w:rsid w:val="00F838D6"/>
    <w:rsid w:val="00F838D9"/>
    <w:rsid w:val="00F839B1"/>
    <w:rsid w:val="00F839DA"/>
    <w:rsid w:val="00F839E2"/>
    <w:rsid w:val="00F839FF"/>
    <w:rsid w:val="00F83A40"/>
    <w:rsid w:val="00F83AB0"/>
    <w:rsid w:val="00F83AB6"/>
    <w:rsid w:val="00F83AEF"/>
    <w:rsid w:val="00F83B01"/>
    <w:rsid w:val="00F83B15"/>
    <w:rsid w:val="00F83B83"/>
    <w:rsid w:val="00F83BA5"/>
    <w:rsid w:val="00F83C04"/>
    <w:rsid w:val="00F83C1B"/>
    <w:rsid w:val="00F83C81"/>
    <w:rsid w:val="00F83CC5"/>
    <w:rsid w:val="00F83CF3"/>
    <w:rsid w:val="00F83D26"/>
    <w:rsid w:val="00F83D89"/>
    <w:rsid w:val="00F83D8F"/>
    <w:rsid w:val="00F83D91"/>
    <w:rsid w:val="00F83DB2"/>
    <w:rsid w:val="00F83E49"/>
    <w:rsid w:val="00F83EB9"/>
    <w:rsid w:val="00F83EE5"/>
    <w:rsid w:val="00F83F37"/>
    <w:rsid w:val="00F83F79"/>
    <w:rsid w:val="00F83F91"/>
    <w:rsid w:val="00F83FC5"/>
    <w:rsid w:val="00F840DC"/>
    <w:rsid w:val="00F8411E"/>
    <w:rsid w:val="00F841E4"/>
    <w:rsid w:val="00F84201"/>
    <w:rsid w:val="00F84249"/>
    <w:rsid w:val="00F84291"/>
    <w:rsid w:val="00F8429F"/>
    <w:rsid w:val="00F842C7"/>
    <w:rsid w:val="00F842EE"/>
    <w:rsid w:val="00F84328"/>
    <w:rsid w:val="00F8443C"/>
    <w:rsid w:val="00F844ED"/>
    <w:rsid w:val="00F8456B"/>
    <w:rsid w:val="00F8458B"/>
    <w:rsid w:val="00F845A2"/>
    <w:rsid w:val="00F845AD"/>
    <w:rsid w:val="00F845D3"/>
    <w:rsid w:val="00F845E3"/>
    <w:rsid w:val="00F845EF"/>
    <w:rsid w:val="00F84625"/>
    <w:rsid w:val="00F846CD"/>
    <w:rsid w:val="00F846D3"/>
    <w:rsid w:val="00F846F3"/>
    <w:rsid w:val="00F84767"/>
    <w:rsid w:val="00F848A5"/>
    <w:rsid w:val="00F848C1"/>
    <w:rsid w:val="00F84922"/>
    <w:rsid w:val="00F84A04"/>
    <w:rsid w:val="00F84A2F"/>
    <w:rsid w:val="00F84B6A"/>
    <w:rsid w:val="00F84B7C"/>
    <w:rsid w:val="00F84C88"/>
    <w:rsid w:val="00F84CE2"/>
    <w:rsid w:val="00F84D51"/>
    <w:rsid w:val="00F84DA7"/>
    <w:rsid w:val="00F84E36"/>
    <w:rsid w:val="00F84E45"/>
    <w:rsid w:val="00F84F3A"/>
    <w:rsid w:val="00F850A1"/>
    <w:rsid w:val="00F85181"/>
    <w:rsid w:val="00F851D8"/>
    <w:rsid w:val="00F851F4"/>
    <w:rsid w:val="00F85224"/>
    <w:rsid w:val="00F85233"/>
    <w:rsid w:val="00F8528A"/>
    <w:rsid w:val="00F852B2"/>
    <w:rsid w:val="00F85317"/>
    <w:rsid w:val="00F8531B"/>
    <w:rsid w:val="00F8533F"/>
    <w:rsid w:val="00F8535B"/>
    <w:rsid w:val="00F85372"/>
    <w:rsid w:val="00F8538A"/>
    <w:rsid w:val="00F853E9"/>
    <w:rsid w:val="00F8540F"/>
    <w:rsid w:val="00F8545E"/>
    <w:rsid w:val="00F855D2"/>
    <w:rsid w:val="00F8561E"/>
    <w:rsid w:val="00F85681"/>
    <w:rsid w:val="00F856CD"/>
    <w:rsid w:val="00F85736"/>
    <w:rsid w:val="00F8574A"/>
    <w:rsid w:val="00F857C5"/>
    <w:rsid w:val="00F8585F"/>
    <w:rsid w:val="00F8592D"/>
    <w:rsid w:val="00F85945"/>
    <w:rsid w:val="00F8598A"/>
    <w:rsid w:val="00F8599B"/>
    <w:rsid w:val="00F85A95"/>
    <w:rsid w:val="00F85A9B"/>
    <w:rsid w:val="00F85AA9"/>
    <w:rsid w:val="00F85B34"/>
    <w:rsid w:val="00F85B40"/>
    <w:rsid w:val="00F85C2E"/>
    <w:rsid w:val="00F85C5C"/>
    <w:rsid w:val="00F85CE0"/>
    <w:rsid w:val="00F85D1D"/>
    <w:rsid w:val="00F85D81"/>
    <w:rsid w:val="00F85E20"/>
    <w:rsid w:val="00F85EA3"/>
    <w:rsid w:val="00F85ECB"/>
    <w:rsid w:val="00F85ECC"/>
    <w:rsid w:val="00F85FF2"/>
    <w:rsid w:val="00F8603E"/>
    <w:rsid w:val="00F8607C"/>
    <w:rsid w:val="00F86093"/>
    <w:rsid w:val="00F860FA"/>
    <w:rsid w:val="00F86167"/>
    <w:rsid w:val="00F86168"/>
    <w:rsid w:val="00F86205"/>
    <w:rsid w:val="00F862B2"/>
    <w:rsid w:val="00F86375"/>
    <w:rsid w:val="00F863AE"/>
    <w:rsid w:val="00F86445"/>
    <w:rsid w:val="00F8649C"/>
    <w:rsid w:val="00F86584"/>
    <w:rsid w:val="00F86591"/>
    <w:rsid w:val="00F8665A"/>
    <w:rsid w:val="00F867FD"/>
    <w:rsid w:val="00F86851"/>
    <w:rsid w:val="00F8689F"/>
    <w:rsid w:val="00F868B5"/>
    <w:rsid w:val="00F86964"/>
    <w:rsid w:val="00F869B2"/>
    <w:rsid w:val="00F869E1"/>
    <w:rsid w:val="00F86A02"/>
    <w:rsid w:val="00F86A0E"/>
    <w:rsid w:val="00F86ABA"/>
    <w:rsid w:val="00F86AC8"/>
    <w:rsid w:val="00F86BDA"/>
    <w:rsid w:val="00F86BE2"/>
    <w:rsid w:val="00F86C4A"/>
    <w:rsid w:val="00F86C80"/>
    <w:rsid w:val="00F86C84"/>
    <w:rsid w:val="00F86D31"/>
    <w:rsid w:val="00F86D81"/>
    <w:rsid w:val="00F86DA7"/>
    <w:rsid w:val="00F86E36"/>
    <w:rsid w:val="00F86EF6"/>
    <w:rsid w:val="00F86F23"/>
    <w:rsid w:val="00F86F5E"/>
    <w:rsid w:val="00F86FFC"/>
    <w:rsid w:val="00F87023"/>
    <w:rsid w:val="00F8702A"/>
    <w:rsid w:val="00F8706E"/>
    <w:rsid w:val="00F87133"/>
    <w:rsid w:val="00F871B6"/>
    <w:rsid w:val="00F871FB"/>
    <w:rsid w:val="00F87213"/>
    <w:rsid w:val="00F87299"/>
    <w:rsid w:val="00F872B3"/>
    <w:rsid w:val="00F872D7"/>
    <w:rsid w:val="00F87340"/>
    <w:rsid w:val="00F873D0"/>
    <w:rsid w:val="00F87443"/>
    <w:rsid w:val="00F87449"/>
    <w:rsid w:val="00F8744F"/>
    <w:rsid w:val="00F874A1"/>
    <w:rsid w:val="00F874A7"/>
    <w:rsid w:val="00F874E0"/>
    <w:rsid w:val="00F8755B"/>
    <w:rsid w:val="00F8758B"/>
    <w:rsid w:val="00F8760F"/>
    <w:rsid w:val="00F87644"/>
    <w:rsid w:val="00F877E0"/>
    <w:rsid w:val="00F877EB"/>
    <w:rsid w:val="00F878AE"/>
    <w:rsid w:val="00F878B7"/>
    <w:rsid w:val="00F878C6"/>
    <w:rsid w:val="00F87979"/>
    <w:rsid w:val="00F879FF"/>
    <w:rsid w:val="00F87A75"/>
    <w:rsid w:val="00F87BA3"/>
    <w:rsid w:val="00F87BC2"/>
    <w:rsid w:val="00F87C19"/>
    <w:rsid w:val="00F87CDB"/>
    <w:rsid w:val="00F87D3A"/>
    <w:rsid w:val="00F87DA9"/>
    <w:rsid w:val="00F87EA5"/>
    <w:rsid w:val="00F87F23"/>
    <w:rsid w:val="00F87F42"/>
    <w:rsid w:val="00F87FAD"/>
    <w:rsid w:val="00F900CB"/>
    <w:rsid w:val="00F900EF"/>
    <w:rsid w:val="00F90152"/>
    <w:rsid w:val="00F90162"/>
    <w:rsid w:val="00F90178"/>
    <w:rsid w:val="00F90240"/>
    <w:rsid w:val="00F90368"/>
    <w:rsid w:val="00F903C5"/>
    <w:rsid w:val="00F9040A"/>
    <w:rsid w:val="00F9043A"/>
    <w:rsid w:val="00F90494"/>
    <w:rsid w:val="00F904C3"/>
    <w:rsid w:val="00F90526"/>
    <w:rsid w:val="00F90577"/>
    <w:rsid w:val="00F9060C"/>
    <w:rsid w:val="00F90650"/>
    <w:rsid w:val="00F9065A"/>
    <w:rsid w:val="00F906D1"/>
    <w:rsid w:val="00F906DC"/>
    <w:rsid w:val="00F9072B"/>
    <w:rsid w:val="00F90743"/>
    <w:rsid w:val="00F907B2"/>
    <w:rsid w:val="00F907B4"/>
    <w:rsid w:val="00F909A4"/>
    <w:rsid w:val="00F909F2"/>
    <w:rsid w:val="00F909FB"/>
    <w:rsid w:val="00F90A39"/>
    <w:rsid w:val="00F90B0A"/>
    <w:rsid w:val="00F90B9E"/>
    <w:rsid w:val="00F90BEF"/>
    <w:rsid w:val="00F90C2A"/>
    <w:rsid w:val="00F90C45"/>
    <w:rsid w:val="00F90C55"/>
    <w:rsid w:val="00F90CA2"/>
    <w:rsid w:val="00F90D29"/>
    <w:rsid w:val="00F90DF1"/>
    <w:rsid w:val="00F90E07"/>
    <w:rsid w:val="00F90EC0"/>
    <w:rsid w:val="00F90EDD"/>
    <w:rsid w:val="00F90F01"/>
    <w:rsid w:val="00F9100E"/>
    <w:rsid w:val="00F91097"/>
    <w:rsid w:val="00F91185"/>
    <w:rsid w:val="00F911B8"/>
    <w:rsid w:val="00F91224"/>
    <w:rsid w:val="00F91229"/>
    <w:rsid w:val="00F91277"/>
    <w:rsid w:val="00F9129D"/>
    <w:rsid w:val="00F912A4"/>
    <w:rsid w:val="00F912E8"/>
    <w:rsid w:val="00F91364"/>
    <w:rsid w:val="00F9138B"/>
    <w:rsid w:val="00F914BD"/>
    <w:rsid w:val="00F9168A"/>
    <w:rsid w:val="00F916F0"/>
    <w:rsid w:val="00F91793"/>
    <w:rsid w:val="00F917F1"/>
    <w:rsid w:val="00F918C9"/>
    <w:rsid w:val="00F918FC"/>
    <w:rsid w:val="00F91949"/>
    <w:rsid w:val="00F919DE"/>
    <w:rsid w:val="00F91AC2"/>
    <w:rsid w:val="00F91B28"/>
    <w:rsid w:val="00F91BFE"/>
    <w:rsid w:val="00F91C12"/>
    <w:rsid w:val="00F91CD4"/>
    <w:rsid w:val="00F91D15"/>
    <w:rsid w:val="00F91D65"/>
    <w:rsid w:val="00F91D90"/>
    <w:rsid w:val="00F91D96"/>
    <w:rsid w:val="00F91DEA"/>
    <w:rsid w:val="00F91E31"/>
    <w:rsid w:val="00F91E60"/>
    <w:rsid w:val="00F91E83"/>
    <w:rsid w:val="00F91EFE"/>
    <w:rsid w:val="00F91F7A"/>
    <w:rsid w:val="00F91FA8"/>
    <w:rsid w:val="00F91FE6"/>
    <w:rsid w:val="00F92007"/>
    <w:rsid w:val="00F9200E"/>
    <w:rsid w:val="00F920E4"/>
    <w:rsid w:val="00F92102"/>
    <w:rsid w:val="00F921E8"/>
    <w:rsid w:val="00F922B9"/>
    <w:rsid w:val="00F92359"/>
    <w:rsid w:val="00F92392"/>
    <w:rsid w:val="00F923A7"/>
    <w:rsid w:val="00F923D3"/>
    <w:rsid w:val="00F92418"/>
    <w:rsid w:val="00F924B9"/>
    <w:rsid w:val="00F9257B"/>
    <w:rsid w:val="00F9259B"/>
    <w:rsid w:val="00F925B5"/>
    <w:rsid w:val="00F925FC"/>
    <w:rsid w:val="00F92625"/>
    <w:rsid w:val="00F9263B"/>
    <w:rsid w:val="00F926CB"/>
    <w:rsid w:val="00F926D0"/>
    <w:rsid w:val="00F927A3"/>
    <w:rsid w:val="00F927DB"/>
    <w:rsid w:val="00F927E2"/>
    <w:rsid w:val="00F927F2"/>
    <w:rsid w:val="00F927F6"/>
    <w:rsid w:val="00F929A7"/>
    <w:rsid w:val="00F929E7"/>
    <w:rsid w:val="00F929F6"/>
    <w:rsid w:val="00F92A68"/>
    <w:rsid w:val="00F92A86"/>
    <w:rsid w:val="00F92AD3"/>
    <w:rsid w:val="00F92B9B"/>
    <w:rsid w:val="00F92BE3"/>
    <w:rsid w:val="00F92C49"/>
    <w:rsid w:val="00F92D2D"/>
    <w:rsid w:val="00F92D5B"/>
    <w:rsid w:val="00F92D86"/>
    <w:rsid w:val="00F92ECF"/>
    <w:rsid w:val="00F92F1C"/>
    <w:rsid w:val="00F92F7F"/>
    <w:rsid w:val="00F92FE6"/>
    <w:rsid w:val="00F930B4"/>
    <w:rsid w:val="00F93124"/>
    <w:rsid w:val="00F93146"/>
    <w:rsid w:val="00F93236"/>
    <w:rsid w:val="00F9334D"/>
    <w:rsid w:val="00F93379"/>
    <w:rsid w:val="00F933B5"/>
    <w:rsid w:val="00F933F4"/>
    <w:rsid w:val="00F93515"/>
    <w:rsid w:val="00F93643"/>
    <w:rsid w:val="00F9365A"/>
    <w:rsid w:val="00F93686"/>
    <w:rsid w:val="00F93718"/>
    <w:rsid w:val="00F9372E"/>
    <w:rsid w:val="00F93743"/>
    <w:rsid w:val="00F937A0"/>
    <w:rsid w:val="00F937CC"/>
    <w:rsid w:val="00F93841"/>
    <w:rsid w:val="00F93891"/>
    <w:rsid w:val="00F938D8"/>
    <w:rsid w:val="00F939A6"/>
    <w:rsid w:val="00F939FA"/>
    <w:rsid w:val="00F93A87"/>
    <w:rsid w:val="00F93AE1"/>
    <w:rsid w:val="00F93B00"/>
    <w:rsid w:val="00F93CEC"/>
    <w:rsid w:val="00F93D29"/>
    <w:rsid w:val="00F93D8C"/>
    <w:rsid w:val="00F93D9F"/>
    <w:rsid w:val="00F93DF6"/>
    <w:rsid w:val="00F93E2B"/>
    <w:rsid w:val="00F93E52"/>
    <w:rsid w:val="00F93E56"/>
    <w:rsid w:val="00F93E57"/>
    <w:rsid w:val="00F93EB1"/>
    <w:rsid w:val="00F93F49"/>
    <w:rsid w:val="00F93F99"/>
    <w:rsid w:val="00F93FB5"/>
    <w:rsid w:val="00F94002"/>
    <w:rsid w:val="00F94065"/>
    <w:rsid w:val="00F94073"/>
    <w:rsid w:val="00F9413E"/>
    <w:rsid w:val="00F941B4"/>
    <w:rsid w:val="00F94217"/>
    <w:rsid w:val="00F942B0"/>
    <w:rsid w:val="00F942C8"/>
    <w:rsid w:val="00F94358"/>
    <w:rsid w:val="00F94376"/>
    <w:rsid w:val="00F943A6"/>
    <w:rsid w:val="00F943E7"/>
    <w:rsid w:val="00F944BB"/>
    <w:rsid w:val="00F944F0"/>
    <w:rsid w:val="00F944F4"/>
    <w:rsid w:val="00F94560"/>
    <w:rsid w:val="00F94563"/>
    <w:rsid w:val="00F94611"/>
    <w:rsid w:val="00F94613"/>
    <w:rsid w:val="00F9465C"/>
    <w:rsid w:val="00F9469E"/>
    <w:rsid w:val="00F94730"/>
    <w:rsid w:val="00F94817"/>
    <w:rsid w:val="00F948AF"/>
    <w:rsid w:val="00F948F7"/>
    <w:rsid w:val="00F94956"/>
    <w:rsid w:val="00F94966"/>
    <w:rsid w:val="00F94991"/>
    <w:rsid w:val="00F949A2"/>
    <w:rsid w:val="00F94AF9"/>
    <w:rsid w:val="00F94B0D"/>
    <w:rsid w:val="00F94B70"/>
    <w:rsid w:val="00F94BB7"/>
    <w:rsid w:val="00F94C19"/>
    <w:rsid w:val="00F94C31"/>
    <w:rsid w:val="00F94C3A"/>
    <w:rsid w:val="00F94C64"/>
    <w:rsid w:val="00F94CC3"/>
    <w:rsid w:val="00F94D56"/>
    <w:rsid w:val="00F94D84"/>
    <w:rsid w:val="00F94E2D"/>
    <w:rsid w:val="00F94FF4"/>
    <w:rsid w:val="00F9504E"/>
    <w:rsid w:val="00F95076"/>
    <w:rsid w:val="00F95183"/>
    <w:rsid w:val="00F951F0"/>
    <w:rsid w:val="00F953A1"/>
    <w:rsid w:val="00F953DB"/>
    <w:rsid w:val="00F95426"/>
    <w:rsid w:val="00F95431"/>
    <w:rsid w:val="00F95432"/>
    <w:rsid w:val="00F95589"/>
    <w:rsid w:val="00F955C9"/>
    <w:rsid w:val="00F955ED"/>
    <w:rsid w:val="00F956BF"/>
    <w:rsid w:val="00F9570F"/>
    <w:rsid w:val="00F95726"/>
    <w:rsid w:val="00F957A0"/>
    <w:rsid w:val="00F957D3"/>
    <w:rsid w:val="00F95804"/>
    <w:rsid w:val="00F95818"/>
    <w:rsid w:val="00F95838"/>
    <w:rsid w:val="00F95856"/>
    <w:rsid w:val="00F9589D"/>
    <w:rsid w:val="00F958AF"/>
    <w:rsid w:val="00F95955"/>
    <w:rsid w:val="00F95A54"/>
    <w:rsid w:val="00F95AA1"/>
    <w:rsid w:val="00F95AB9"/>
    <w:rsid w:val="00F95B50"/>
    <w:rsid w:val="00F95B8C"/>
    <w:rsid w:val="00F95B97"/>
    <w:rsid w:val="00F95BC9"/>
    <w:rsid w:val="00F95BF8"/>
    <w:rsid w:val="00F95C11"/>
    <w:rsid w:val="00F95C74"/>
    <w:rsid w:val="00F95D6F"/>
    <w:rsid w:val="00F95DEF"/>
    <w:rsid w:val="00F95EF5"/>
    <w:rsid w:val="00F95F72"/>
    <w:rsid w:val="00F95F88"/>
    <w:rsid w:val="00F96016"/>
    <w:rsid w:val="00F9602C"/>
    <w:rsid w:val="00F96047"/>
    <w:rsid w:val="00F96052"/>
    <w:rsid w:val="00F960B6"/>
    <w:rsid w:val="00F960D3"/>
    <w:rsid w:val="00F96154"/>
    <w:rsid w:val="00F961CA"/>
    <w:rsid w:val="00F961F7"/>
    <w:rsid w:val="00F9636C"/>
    <w:rsid w:val="00F963C2"/>
    <w:rsid w:val="00F963ED"/>
    <w:rsid w:val="00F9640A"/>
    <w:rsid w:val="00F96481"/>
    <w:rsid w:val="00F964D4"/>
    <w:rsid w:val="00F96522"/>
    <w:rsid w:val="00F96563"/>
    <w:rsid w:val="00F965D4"/>
    <w:rsid w:val="00F96676"/>
    <w:rsid w:val="00F96782"/>
    <w:rsid w:val="00F96816"/>
    <w:rsid w:val="00F9685A"/>
    <w:rsid w:val="00F9687A"/>
    <w:rsid w:val="00F968BF"/>
    <w:rsid w:val="00F9690B"/>
    <w:rsid w:val="00F969FE"/>
    <w:rsid w:val="00F969FF"/>
    <w:rsid w:val="00F96A8C"/>
    <w:rsid w:val="00F96AAE"/>
    <w:rsid w:val="00F96B01"/>
    <w:rsid w:val="00F96BAA"/>
    <w:rsid w:val="00F96BFD"/>
    <w:rsid w:val="00F96CC0"/>
    <w:rsid w:val="00F96CDF"/>
    <w:rsid w:val="00F96D68"/>
    <w:rsid w:val="00F96D99"/>
    <w:rsid w:val="00F96E23"/>
    <w:rsid w:val="00F96EF5"/>
    <w:rsid w:val="00F96F8F"/>
    <w:rsid w:val="00F96FDC"/>
    <w:rsid w:val="00F96FE7"/>
    <w:rsid w:val="00F970A3"/>
    <w:rsid w:val="00F97112"/>
    <w:rsid w:val="00F97126"/>
    <w:rsid w:val="00F97136"/>
    <w:rsid w:val="00F9719C"/>
    <w:rsid w:val="00F971AC"/>
    <w:rsid w:val="00F97209"/>
    <w:rsid w:val="00F972DD"/>
    <w:rsid w:val="00F97317"/>
    <w:rsid w:val="00F9739C"/>
    <w:rsid w:val="00F9749A"/>
    <w:rsid w:val="00F974DE"/>
    <w:rsid w:val="00F974F2"/>
    <w:rsid w:val="00F975A5"/>
    <w:rsid w:val="00F975A7"/>
    <w:rsid w:val="00F9767C"/>
    <w:rsid w:val="00F976E3"/>
    <w:rsid w:val="00F97708"/>
    <w:rsid w:val="00F9774F"/>
    <w:rsid w:val="00F97764"/>
    <w:rsid w:val="00F977BD"/>
    <w:rsid w:val="00F9783E"/>
    <w:rsid w:val="00F9792B"/>
    <w:rsid w:val="00F97932"/>
    <w:rsid w:val="00F979A6"/>
    <w:rsid w:val="00F97BCF"/>
    <w:rsid w:val="00F97C9F"/>
    <w:rsid w:val="00F97D9D"/>
    <w:rsid w:val="00F97DB3"/>
    <w:rsid w:val="00F97DE1"/>
    <w:rsid w:val="00F97E35"/>
    <w:rsid w:val="00F97E41"/>
    <w:rsid w:val="00F97E5B"/>
    <w:rsid w:val="00F97E5D"/>
    <w:rsid w:val="00F97E9B"/>
    <w:rsid w:val="00F97EBB"/>
    <w:rsid w:val="00F97EE4"/>
    <w:rsid w:val="00F97FA1"/>
    <w:rsid w:val="00F97FF5"/>
    <w:rsid w:val="00FA00A7"/>
    <w:rsid w:val="00FA00E6"/>
    <w:rsid w:val="00FA0127"/>
    <w:rsid w:val="00FA013F"/>
    <w:rsid w:val="00FA01C2"/>
    <w:rsid w:val="00FA020A"/>
    <w:rsid w:val="00FA033D"/>
    <w:rsid w:val="00FA0363"/>
    <w:rsid w:val="00FA03AF"/>
    <w:rsid w:val="00FA0428"/>
    <w:rsid w:val="00FA047F"/>
    <w:rsid w:val="00FA050E"/>
    <w:rsid w:val="00FA0546"/>
    <w:rsid w:val="00FA0558"/>
    <w:rsid w:val="00FA060A"/>
    <w:rsid w:val="00FA0625"/>
    <w:rsid w:val="00FA063A"/>
    <w:rsid w:val="00FA066D"/>
    <w:rsid w:val="00FA068E"/>
    <w:rsid w:val="00FA089E"/>
    <w:rsid w:val="00FA08E8"/>
    <w:rsid w:val="00FA08F1"/>
    <w:rsid w:val="00FA096A"/>
    <w:rsid w:val="00FA099B"/>
    <w:rsid w:val="00FA0A46"/>
    <w:rsid w:val="00FA0AA8"/>
    <w:rsid w:val="00FA0AB3"/>
    <w:rsid w:val="00FA0ABC"/>
    <w:rsid w:val="00FA0B0B"/>
    <w:rsid w:val="00FA0B8C"/>
    <w:rsid w:val="00FA0BC5"/>
    <w:rsid w:val="00FA0BF8"/>
    <w:rsid w:val="00FA0C15"/>
    <w:rsid w:val="00FA0C66"/>
    <w:rsid w:val="00FA0C99"/>
    <w:rsid w:val="00FA0CE7"/>
    <w:rsid w:val="00FA0D08"/>
    <w:rsid w:val="00FA0D4F"/>
    <w:rsid w:val="00FA0D57"/>
    <w:rsid w:val="00FA0DC7"/>
    <w:rsid w:val="00FA0DD6"/>
    <w:rsid w:val="00FA0E22"/>
    <w:rsid w:val="00FA0E82"/>
    <w:rsid w:val="00FA0E96"/>
    <w:rsid w:val="00FA0EAA"/>
    <w:rsid w:val="00FA1052"/>
    <w:rsid w:val="00FA108E"/>
    <w:rsid w:val="00FA10CA"/>
    <w:rsid w:val="00FA113D"/>
    <w:rsid w:val="00FA1197"/>
    <w:rsid w:val="00FA11C2"/>
    <w:rsid w:val="00FA1269"/>
    <w:rsid w:val="00FA1276"/>
    <w:rsid w:val="00FA12C2"/>
    <w:rsid w:val="00FA13A5"/>
    <w:rsid w:val="00FA13E1"/>
    <w:rsid w:val="00FA1555"/>
    <w:rsid w:val="00FA164A"/>
    <w:rsid w:val="00FA16AC"/>
    <w:rsid w:val="00FA16D6"/>
    <w:rsid w:val="00FA176A"/>
    <w:rsid w:val="00FA178D"/>
    <w:rsid w:val="00FA19C8"/>
    <w:rsid w:val="00FA19D9"/>
    <w:rsid w:val="00FA1A60"/>
    <w:rsid w:val="00FA1A66"/>
    <w:rsid w:val="00FA1B40"/>
    <w:rsid w:val="00FA1B41"/>
    <w:rsid w:val="00FA1B78"/>
    <w:rsid w:val="00FA1BB0"/>
    <w:rsid w:val="00FA1C7F"/>
    <w:rsid w:val="00FA1C83"/>
    <w:rsid w:val="00FA1C90"/>
    <w:rsid w:val="00FA1DB4"/>
    <w:rsid w:val="00FA1DD3"/>
    <w:rsid w:val="00FA1E07"/>
    <w:rsid w:val="00FA1E64"/>
    <w:rsid w:val="00FA1E6F"/>
    <w:rsid w:val="00FA1E8E"/>
    <w:rsid w:val="00FA1ED0"/>
    <w:rsid w:val="00FA1EE9"/>
    <w:rsid w:val="00FA1F4C"/>
    <w:rsid w:val="00FA1FFD"/>
    <w:rsid w:val="00FA2006"/>
    <w:rsid w:val="00FA201C"/>
    <w:rsid w:val="00FA2032"/>
    <w:rsid w:val="00FA204E"/>
    <w:rsid w:val="00FA2076"/>
    <w:rsid w:val="00FA207B"/>
    <w:rsid w:val="00FA20D9"/>
    <w:rsid w:val="00FA20DC"/>
    <w:rsid w:val="00FA2145"/>
    <w:rsid w:val="00FA21C1"/>
    <w:rsid w:val="00FA2215"/>
    <w:rsid w:val="00FA221E"/>
    <w:rsid w:val="00FA223C"/>
    <w:rsid w:val="00FA2262"/>
    <w:rsid w:val="00FA2458"/>
    <w:rsid w:val="00FA2481"/>
    <w:rsid w:val="00FA25C2"/>
    <w:rsid w:val="00FA25EB"/>
    <w:rsid w:val="00FA2609"/>
    <w:rsid w:val="00FA26BC"/>
    <w:rsid w:val="00FA287E"/>
    <w:rsid w:val="00FA28EC"/>
    <w:rsid w:val="00FA297B"/>
    <w:rsid w:val="00FA29A0"/>
    <w:rsid w:val="00FA29EB"/>
    <w:rsid w:val="00FA2A6A"/>
    <w:rsid w:val="00FA2AE5"/>
    <w:rsid w:val="00FA2B8E"/>
    <w:rsid w:val="00FA2BAA"/>
    <w:rsid w:val="00FA2C82"/>
    <w:rsid w:val="00FA2CB5"/>
    <w:rsid w:val="00FA2CE9"/>
    <w:rsid w:val="00FA2CFE"/>
    <w:rsid w:val="00FA2D21"/>
    <w:rsid w:val="00FA2DC6"/>
    <w:rsid w:val="00FA2E0E"/>
    <w:rsid w:val="00FA2E7C"/>
    <w:rsid w:val="00FA2EF2"/>
    <w:rsid w:val="00FA2F24"/>
    <w:rsid w:val="00FA3060"/>
    <w:rsid w:val="00FA3063"/>
    <w:rsid w:val="00FA30D0"/>
    <w:rsid w:val="00FA31B7"/>
    <w:rsid w:val="00FA3222"/>
    <w:rsid w:val="00FA324A"/>
    <w:rsid w:val="00FA32A4"/>
    <w:rsid w:val="00FA333C"/>
    <w:rsid w:val="00FA3359"/>
    <w:rsid w:val="00FA340B"/>
    <w:rsid w:val="00FA343D"/>
    <w:rsid w:val="00FA347A"/>
    <w:rsid w:val="00FA3529"/>
    <w:rsid w:val="00FA35D1"/>
    <w:rsid w:val="00FA366B"/>
    <w:rsid w:val="00FA36B2"/>
    <w:rsid w:val="00FA379C"/>
    <w:rsid w:val="00FA37B8"/>
    <w:rsid w:val="00FA37BC"/>
    <w:rsid w:val="00FA3830"/>
    <w:rsid w:val="00FA3909"/>
    <w:rsid w:val="00FA3931"/>
    <w:rsid w:val="00FA395E"/>
    <w:rsid w:val="00FA39B2"/>
    <w:rsid w:val="00FA39B5"/>
    <w:rsid w:val="00FA39E0"/>
    <w:rsid w:val="00FA3AF8"/>
    <w:rsid w:val="00FA3B56"/>
    <w:rsid w:val="00FA3B6B"/>
    <w:rsid w:val="00FA3B84"/>
    <w:rsid w:val="00FA3CC6"/>
    <w:rsid w:val="00FA3CCF"/>
    <w:rsid w:val="00FA3D64"/>
    <w:rsid w:val="00FA3DB9"/>
    <w:rsid w:val="00FA3DBC"/>
    <w:rsid w:val="00FA3DF0"/>
    <w:rsid w:val="00FA3DFB"/>
    <w:rsid w:val="00FA3E24"/>
    <w:rsid w:val="00FA3EBE"/>
    <w:rsid w:val="00FA3ED9"/>
    <w:rsid w:val="00FA3EDC"/>
    <w:rsid w:val="00FA4129"/>
    <w:rsid w:val="00FA4155"/>
    <w:rsid w:val="00FA41FE"/>
    <w:rsid w:val="00FA4385"/>
    <w:rsid w:val="00FA43A6"/>
    <w:rsid w:val="00FA441E"/>
    <w:rsid w:val="00FA4593"/>
    <w:rsid w:val="00FA45E0"/>
    <w:rsid w:val="00FA45EF"/>
    <w:rsid w:val="00FA4647"/>
    <w:rsid w:val="00FA46B3"/>
    <w:rsid w:val="00FA46FD"/>
    <w:rsid w:val="00FA47C5"/>
    <w:rsid w:val="00FA48A3"/>
    <w:rsid w:val="00FA4A02"/>
    <w:rsid w:val="00FA4A11"/>
    <w:rsid w:val="00FA4A3A"/>
    <w:rsid w:val="00FA4AC8"/>
    <w:rsid w:val="00FA4B3B"/>
    <w:rsid w:val="00FA4B9F"/>
    <w:rsid w:val="00FA4BE0"/>
    <w:rsid w:val="00FA4C09"/>
    <w:rsid w:val="00FA4C83"/>
    <w:rsid w:val="00FA4D6D"/>
    <w:rsid w:val="00FA4DD2"/>
    <w:rsid w:val="00FA4E03"/>
    <w:rsid w:val="00FA4E59"/>
    <w:rsid w:val="00FA4F6D"/>
    <w:rsid w:val="00FA4F9C"/>
    <w:rsid w:val="00FA4FCF"/>
    <w:rsid w:val="00FA50AC"/>
    <w:rsid w:val="00FA5198"/>
    <w:rsid w:val="00FA5203"/>
    <w:rsid w:val="00FA527C"/>
    <w:rsid w:val="00FA5283"/>
    <w:rsid w:val="00FA52D9"/>
    <w:rsid w:val="00FA52F8"/>
    <w:rsid w:val="00FA5335"/>
    <w:rsid w:val="00FA535C"/>
    <w:rsid w:val="00FA53D1"/>
    <w:rsid w:val="00FA541A"/>
    <w:rsid w:val="00FA549F"/>
    <w:rsid w:val="00FA558F"/>
    <w:rsid w:val="00FA568B"/>
    <w:rsid w:val="00FA569F"/>
    <w:rsid w:val="00FA5723"/>
    <w:rsid w:val="00FA5791"/>
    <w:rsid w:val="00FA5798"/>
    <w:rsid w:val="00FA57CF"/>
    <w:rsid w:val="00FA57F7"/>
    <w:rsid w:val="00FA581E"/>
    <w:rsid w:val="00FA5833"/>
    <w:rsid w:val="00FA58CE"/>
    <w:rsid w:val="00FA593F"/>
    <w:rsid w:val="00FA59B6"/>
    <w:rsid w:val="00FA59D3"/>
    <w:rsid w:val="00FA59D6"/>
    <w:rsid w:val="00FA5A1F"/>
    <w:rsid w:val="00FA5AD5"/>
    <w:rsid w:val="00FA5AE1"/>
    <w:rsid w:val="00FA5B0F"/>
    <w:rsid w:val="00FA5B13"/>
    <w:rsid w:val="00FA5C3B"/>
    <w:rsid w:val="00FA5D52"/>
    <w:rsid w:val="00FA5DBF"/>
    <w:rsid w:val="00FA5DFB"/>
    <w:rsid w:val="00FA5E5A"/>
    <w:rsid w:val="00FA5E9E"/>
    <w:rsid w:val="00FA5ECF"/>
    <w:rsid w:val="00FA5EF1"/>
    <w:rsid w:val="00FA5F37"/>
    <w:rsid w:val="00FA5F3B"/>
    <w:rsid w:val="00FA5F48"/>
    <w:rsid w:val="00FA5FBE"/>
    <w:rsid w:val="00FA604A"/>
    <w:rsid w:val="00FA60B2"/>
    <w:rsid w:val="00FA60DE"/>
    <w:rsid w:val="00FA60F5"/>
    <w:rsid w:val="00FA61FE"/>
    <w:rsid w:val="00FA621C"/>
    <w:rsid w:val="00FA6256"/>
    <w:rsid w:val="00FA6263"/>
    <w:rsid w:val="00FA6265"/>
    <w:rsid w:val="00FA62E0"/>
    <w:rsid w:val="00FA6326"/>
    <w:rsid w:val="00FA645B"/>
    <w:rsid w:val="00FA652E"/>
    <w:rsid w:val="00FA654E"/>
    <w:rsid w:val="00FA65F5"/>
    <w:rsid w:val="00FA6664"/>
    <w:rsid w:val="00FA66C6"/>
    <w:rsid w:val="00FA6737"/>
    <w:rsid w:val="00FA675A"/>
    <w:rsid w:val="00FA680E"/>
    <w:rsid w:val="00FA6826"/>
    <w:rsid w:val="00FA6834"/>
    <w:rsid w:val="00FA6875"/>
    <w:rsid w:val="00FA6878"/>
    <w:rsid w:val="00FA6950"/>
    <w:rsid w:val="00FA69E6"/>
    <w:rsid w:val="00FA6A53"/>
    <w:rsid w:val="00FA6A6E"/>
    <w:rsid w:val="00FA6A8D"/>
    <w:rsid w:val="00FA6AD7"/>
    <w:rsid w:val="00FA6B8A"/>
    <w:rsid w:val="00FA6C0C"/>
    <w:rsid w:val="00FA6C23"/>
    <w:rsid w:val="00FA6C9B"/>
    <w:rsid w:val="00FA6CD0"/>
    <w:rsid w:val="00FA6CEB"/>
    <w:rsid w:val="00FA6D2C"/>
    <w:rsid w:val="00FA6D9E"/>
    <w:rsid w:val="00FA6E28"/>
    <w:rsid w:val="00FA6E86"/>
    <w:rsid w:val="00FA6ED7"/>
    <w:rsid w:val="00FA710F"/>
    <w:rsid w:val="00FA7224"/>
    <w:rsid w:val="00FA725A"/>
    <w:rsid w:val="00FA7339"/>
    <w:rsid w:val="00FA736A"/>
    <w:rsid w:val="00FA739B"/>
    <w:rsid w:val="00FA73CE"/>
    <w:rsid w:val="00FA73E3"/>
    <w:rsid w:val="00FA7453"/>
    <w:rsid w:val="00FA7492"/>
    <w:rsid w:val="00FA74B2"/>
    <w:rsid w:val="00FA754F"/>
    <w:rsid w:val="00FA759F"/>
    <w:rsid w:val="00FA761C"/>
    <w:rsid w:val="00FA7686"/>
    <w:rsid w:val="00FA770D"/>
    <w:rsid w:val="00FA77FF"/>
    <w:rsid w:val="00FA7851"/>
    <w:rsid w:val="00FA7899"/>
    <w:rsid w:val="00FA78A4"/>
    <w:rsid w:val="00FA795D"/>
    <w:rsid w:val="00FA7987"/>
    <w:rsid w:val="00FA7A19"/>
    <w:rsid w:val="00FA7A29"/>
    <w:rsid w:val="00FA7A3D"/>
    <w:rsid w:val="00FA7A8E"/>
    <w:rsid w:val="00FA7AB6"/>
    <w:rsid w:val="00FA7B37"/>
    <w:rsid w:val="00FA7BBA"/>
    <w:rsid w:val="00FA7BD1"/>
    <w:rsid w:val="00FA7BD7"/>
    <w:rsid w:val="00FA7BE0"/>
    <w:rsid w:val="00FA7C42"/>
    <w:rsid w:val="00FA7C51"/>
    <w:rsid w:val="00FA7D56"/>
    <w:rsid w:val="00FA7D7F"/>
    <w:rsid w:val="00FA7EAD"/>
    <w:rsid w:val="00FA7EC3"/>
    <w:rsid w:val="00FA7EF9"/>
    <w:rsid w:val="00FA7F01"/>
    <w:rsid w:val="00FA7F82"/>
    <w:rsid w:val="00FB01A2"/>
    <w:rsid w:val="00FB01BE"/>
    <w:rsid w:val="00FB01C6"/>
    <w:rsid w:val="00FB01E5"/>
    <w:rsid w:val="00FB022E"/>
    <w:rsid w:val="00FB0381"/>
    <w:rsid w:val="00FB038F"/>
    <w:rsid w:val="00FB03B1"/>
    <w:rsid w:val="00FB0451"/>
    <w:rsid w:val="00FB0477"/>
    <w:rsid w:val="00FB048E"/>
    <w:rsid w:val="00FB04CB"/>
    <w:rsid w:val="00FB0584"/>
    <w:rsid w:val="00FB05A6"/>
    <w:rsid w:val="00FB061D"/>
    <w:rsid w:val="00FB0682"/>
    <w:rsid w:val="00FB068C"/>
    <w:rsid w:val="00FB0694"/>
    <w:rsid w:val="00FB06B5"/>
    <w:rsid w:val="00FB06DE"/>
    <w:rsid w:val="00FB06F0"/>
    <w:rsid w:val="00FB07ED"/>
    <w:rsid w:val="00FB0869"/>
    <w:rsid w:val="00FB0891"/>
    <w:rsid w:val="00FB089E"/>
    <w:rsid w:val="00FB08A5"/>
    <w:rsid w:val="00FB0942"/>
    <w:rsid w:val="00FB0B3E"/>
    <w:rsid w:val="00FB0B52"/>
    <w:rsid w:val="00FB0BBC"/>
    <w:rsid w:val="00FB0CA0"/>
    <w:rsid w:val="00FB0D3F"/>
    <w:rsid w:val="00FB0DD2"/>
    <w:rsid w:val="00FB0E7D"/>
    <w:rsid w:val="00FB0EC3"/>
    <w:rsid w:val="00FB0ED5"/>
    <w:rsid w:val="00FB0FB4"/>
    <w:rsid w:val="00FB1008"/>
    <w:rsid w:val="00FB1074"/>
    <w:rsid w:val="00FB1075"/>
    <w:rsid w:val="00FB1086"/>
    <w:rsid w:val="00FB10C5"/>
    <w:rsid w:val="00FB10CD"/>
    <w:rsid w:val="00FB10E1"/>
    <w:rsid w:val="00FB1149"/>
    <w:rsid w:val="00FB12AF"/>
    <w:rsid w:val="00FB12BE"/>
    <w:rsid w:val="00FB12E8"/>
    <w:rsid w:val="00FB12EA"/>
    <w:rsid w:val="00FB1322"/>
    <w:rsid w:val="00FB13BB"/>
    <w:rsid w:val="00FB13CE"/>
    <w:rsid w:val="00FB13D5"/>
    <w:rsid w:val="00FB13E1"/>
    <w:rsid w:val="00FB140B"/>
    <w:rsid w:val="00FB1492"/>
    <w:rsid w:val="00FB14A4"/>
    <w:rsid w:val="00FB14BB"/>
    <w:rsid w:val="00FB14D1"/>
    <w:rsid w:val="00FB15FD"/>
    <w:rsid w:val="00FB1630"/>
    <w:rsid w:val="00FB166E"/>
    <w:rsid w:val="00FB16B6"/>
    <w:rsid w:val="00FB1730"/>
    <w:rsid w:val="00FB17BB"/>
    <w:rsid w:val="00FB17CC"/>
    <w:rsid w:val="00FB18DD"/>
    <w:rsid w:val="00FB196F"/>
    <w:rsid w:val="00FB1A71"/>
    <w:rsid w:val="00FB1A8D"/>
    <w:rsid w:val="00FB1AE0"/>
    <w:rsid w:val="00FB1B50"/>
    <w:rsid w:val="00FB1B9A"/>
    <w:rsid w:val="00FB1C08"/>
    <w:rsid w:val="00FB1C2E"/>
    <w:rsid w:val="00FB1CBE"/>
    <w:rsid w:val="00FB1D07"/>
    <w:rsid w:val="00FB1D2A"/>
    <w:rsid w:val="00FB1DD4"/>
    <w:rsid w:val="00FB1E5A"/>
    <w:rsid w:val="00FB1EB4"/>
    <w:rsid w:val="00FB1F24"/>
    <w:rsid w:val="00FB1F3C"/>
    <w:rsid w:val="00FB2075"/>
    <w:rsid w:val="00FB2116"/>
    <w:rsid w:val="00FB230B"/>
    <w:rsid w:val="00FB233C"/>
    <w:rsid w:val="00FB245E"/>
    <w:rsid w:val="00FB25F5"/>
    <w:rsid w:val="00FB2667"/>
    <w:rsid w:val="00FB26AB"/>
    <w:rsid w:val="00FB27CA"/>
    <w:rsid w:val="00FB2833"/>
    <w:rsid w:val="00FB2880"/>
    <w:rsid w:val="00FB28D9"/>
    <w:rsid w:val="00FB2912"/>
    <w:rsid w:val="00FB2942"/>
    <w:rsid w:val="00FB298C"/>
    <w:rsid w:val="00FB2A35"/>
    <w:rsid w:val="00FB2AA3"/>
    <w:rsid w:val="00FB2B44"/>
    <w:rsid w:val="00FB2B6B"/>
    <w:rsid w:val="00FB2BFA"/>
    <w:rsid w:val="00FB2C9B"/>
    <w:rsid w:val="00FB2D21"/>
    <w:rsid w:val="00FB2D48"/>
    <w:rsid w:val="00FB2D8F"/>
    <w:rsid w:val="00FB2E37"/>
    <w:rsid w:val="00FB2F10"/>
    <w:rsid w:val="00FB2F9C"/>
    <w:rsid w:val="00FB2FB2"/>
    <w:rsid w:val="00FB2FDA"/>
    <w:rsid w:val="00FB301C"/>
    <w:rsid w:val="00FB3073"/>
    <w:rsid w:val="00FB308B"/>
    <w:rsid w:val="00FB3116"/>
    <w:rsid w:val="00FB316C"/>
    <w:rsid w:val="00FB3184"/>
    <w:rsid w:val="00FB321F"/>
    <w:rsid w:val="00FB337F"/>
    <w:rsid w:val="00FB3638"/>
    <w:rsid w:val="00FB36AE"/>
    <w:rsid w:val="00FB3778"/>
    <w:rsid w:val="00FB379D"/>
    <w:rsid w:val="00FB379F"/>
    <w:rsid w:val="00FB37A5"/>
    <w:rsid w:val="00FB37FC"/>
    <w:rsid w:val="00FB381D"/>
    <w:rsid w:val="00FB381E"/>
    <w:rsid w:val="00FB382F"/>
    <w:rsid w:val="00FB3846"/>
    <w:rsid w:val="00FB389E"/>
    <w:rsid w:val="00FB38F9"/>
    <w:rsid w:val="00FB39A3"/>
    <w:rsid w:val="00FB39ED"/>
    <w:rsid w:val="00FB3B16"/>
    <w:rsid w:val="00FB3B91"/>
    <w:rsid w:val="00FB3BA4"/>
    <w:rsid w:val="00FB3C0E"/>
    <w:rsid w:val="00FB3C98"/>
    <w:rsid w:val="00FB3CAB"/>
    <w:rsid w:val="00FB3D64"/>
    <w:rsid w:val="00FB3E42"/>
    <w:rsid w:val="00FB3EB3"/>
    <w:rsid w:val="00FB3F02"/>
    <w:rsid w:val="00FB3FB5"/>
    <w:rsid w:val="00FB3FD5"/>
    <w:rsid w:val="00FB40A2"/>
    <w:rsid w:val="00FB40AD"/>
    <w:rsid w:val="00FB410B"/>
    <w:rsid w:val="00FB410E"/>
    <w:rsid w:val="00FB4196"/>
    <w:rsid w:val="00FB436B"/>
    <w:rsid w:val="00FB43EB"/>
    <w:rsid w:val="00FB440F"/>
    <w:rsid w:val="00FB44D4"/>
    <w:rsid w:val="00FB4538"/>
    <w:rsid w:val="00FB45C8"/>
    <w:rsid w:val="00FB4614"/>
    <w:rsid w:val="00FB4617"/>
    <w:rsid w:val="00FB46B3"/>
    <w:rsid w:val="00FB4759"/>
    <w:rsid w:val="00FB4787"/>
    <w:rsid w:val="00FB488C"/>
    <w:rsid w:val="00FB48D0"/>
    <w:rsid w:val="00FB49AC"/>
    <w:rsid w:val="00FB4AA5"/>
    <w:rsid w:val="00FB4B47"/>
    <w:rsid w:val="00FB4C28"/>
    <w:rsid w:val="00FB4C47"/>
    <w:rsid w:val="00FB4CC4"/>
    <w:rsid w:val="00FB4D74"/>
    <w:rsid w:val="00FB4D87"/>
    <w:rsid w:val="00FB4DFD"/>
    <w:rsid w:val="00FB4E30"/>
    <w:rsid w:val="00FB4E69"/>
    <w:rsid w:val="00FB4EE0"/>
    <w:rsid w:val="00FB4FCB"/>
    <w:rsid w:val="00FB515F"/>
    <w:rsid w:val="00FB5223"/>
    <w:rsid w:val="00FB529D"/>
    <w:rsid w:val="00FB5388"/>
    <w:rsid w:val="00FB53B8"/>
    <w:rsid w:val="00FB53FE"/>
    <w:rsid w:val="00FB5427"/>
    <w:rsid w:val="00FB550D"/>
    <w:rsid w:val="00FB558E"/>
    <w:rsid w:val="00FB56A1"/>
    <w:rsid w:val="00FB571B"/>
    <w:rsid w:val="00FB57A3"/>
    <w:rsid w:val="00FB57BD"/>
    <w:rsid w:val="00FB57D2"/>
    <w:rsid w:val="00FB57DC"/>
    <w:rsid w:val="00FB5812"/>
    <w:rsid w:val="00FB5813"/>
    <w:rsid w:val="00FB5864"/>
    <w:rsid w:val="00FB58EF"/>
    <w:rsid w:val="00FB5903"/>
    <w:rsid w:val="00FB5932"/>
    <w:rsid w:val="00FB5A28"/>
    <w:rsid w:val="00FB5A45"/>
    <w:rsid w:val="00FB5A57"/>
    <w:rsid w:val="00FB5A77"/>
    <w:rsid w:val="00FB5A98"/>
    <w:rsid w:val="00FB5AF3"/>
    <w:rsid w:val="00FB5B1C"/>
    <w:rsid w:val="00FB5B28"/>
    <w:rsid w:val="00FB5B5A"/>
    <w:rsid w:val="00FB5B63"/>
    <w:rsid w:val="00FB5B91"/>
    <w:rsid w:val="00FB5DDC"/>
    <w:rsid w:val="00FB5DEF"/>
    <w:rsid w:val="00FB5E57"/>
    <w:rsid w:val="00FB5EAC"/>
    <w:rsid w:val="00FB5F5B"/>
    <w:rsid w:val="00FB5F7E"/>
    <w:rsid w:val="00FB5FA0"/>
    <w:rsid w:val="00FB5FDF"/>
    <w:rsid w:val="00FB6182"/>
    <w:rsid w:val="00FB61A4"/>
    <w:rsid w:val="00FB61AF"/>
    <w:rsid w:val="00FB6277"/>
    <w:rsid w:val="00FB62B6"/>
    <w:rsid w:val="00FB62BE"/>
    <w:rsid w:val="00FB65F7"/>
    <w:rsid w:val="00FB66C8"/>
    <w:rsid w:val="00FB66C9"/>
    <w:rsid w:val="00FB6800"/>
    <w:rsid w:val="00FB6947"/>
    <w:rsid w:val="00FB694D"/>
    <w:rsid w:val="00FB69A5"/>
    <w:rsid w:val="00FB69F1"/>
    <w:rsid w:val="00FB6A54"/>
    <w:rsid w:val="00FB6AA6"/>
    <w:rsid w:val="00FB6C31"/>
    <w:rsid w:val="00FB6C42"/>
    <w:rsid w:val="00FB6CD2"/>
    <w:rsid w:val="00FB6CDC"/>
    <w:rsid w:val="00FB6CE1"/>
    <w:rsid w:val="00FB6D12"/>
    <w:rsid w:val="00FB6D18"/>
    <w:rsid w:val="00FB6D85"/>
    <w:rsid w:val="00FB6D8D"/>
    <w:rsid w:val="00FB6E4C"/>
    <w:rsid w:val="00FB7048"/>
    <w:rsid w:val="00FB70C6"/>
    <w:rsid w:val="00FB70DF"/>
    <w:rsid w:val="00FB70EC"/>
    <w:rsid w:val="00FB70EF"/>
    <w:rsid w:val="00FB71AF"/>
    <w:rsid w:val="00FB728A"/>
    <w:rsid w:val="00FB73A2"/>
    <w:rsid w:val="00FB73F2"/>
    <w:rsid w:val="00FB742A"/>
    <w:rsid w:val="00FB7451"/>
    <w:rsid w:val="00FB7491"/>
    <w:rsid w:val="00FB74CC"/>
    <w:rsid w:val="00FB7504"/>
    <w:rsid w:val="00FB753B"/>
    <w:rsid w:val="00FB7559"/>
    <w:rsid w:val="00FB758C"/>
    <w:rsid w:val="00FB75AE"/>
    <w:rsid w:val="00FB76A6"/>
    <w:rsid w:val="00FB76CB"/>
    <w:rsid w:val="00FB76E7"/>
    <w:rsid w:val="00FB7700"/>
    <w:rsid w:val="00FB7733"/>
    <w:rsid w:val="00FB7734"/>
    <w:rsid w:val="00FB7742"/>
    <w:rsid w:val="00FB77A3"/>
    <w:rsid w:val="00FB77E0"/>
    <w:rsid w:val="00FB79EE"/>
    <w:rsid w:val="00FB7A0B"/>
    <w:rsid w:val="00FB7ADC"/>
    <w:rsid w:val="00FB7AF9"/>
    <w:rsid w:val="00FB7B90"/>
    <w:rsid w:val="00FB7C1E"/>
    <w:rsid w:val="00FB7CDB"/>
    <w:rsid w:val="00FB7CE8"/>
    <w:rsid w:val="00FB7D51"/>
    <w:rsid w:val="00FB7DFC"/>
    <w:rsid w:val="00FB7E62"/>
    <w:rsid w:val="00FB7EC2"/>
    <w:rsid w:val="00FB7FCC"/>
    <w:rsid w:val="00FC0018"/>
    <w:rsid w:val="00FC0076"/>
    <w:rsid w:val="00FC0091"/>
    <w:rsid w:val="00FC018D"/>
    <w:rsid w:val="00FC019E"/>
    <w:rsid w:val="00FC01BB"/>
    <w:rsid w:val="00FC0200"/>
    <w:rsid w:val="00FC02EB"/>
    <w:rsid w:val="00FC0330"/>
    <w:rsid w:val="00FC033E"/>
    <w:rsid w:val="00FC03C5"/>
    <w:rsid w:val="00FC03FE"/>
    <w:rsid w:val="00FC046D"/>
    <w:rsid w:val="00FC0499"/>
    <w:rsid w:val="00FC04B2"/>
    <w:rsid w:val="00FC058D"/>
    <w:rsid w:val="00FC061D"/>
    <w:rsid w:val="00FC0674"/>
    <w:rsid w:val="00FC06D8"/>
    <w:rsid w:val="00FC0716"/>
    <w:rsid w:val="00FC08CD"/>
    <w:rsid w:val="00FC0993"/>
    <w:rsid w:val="00FC0BB8"/>
    <w:rsid w:val="00FC0C03"/>
    <w:rsid w:val="00FC0C31"/>
    <w:rsid w:val="00FC0C96"/>
    <w:rsid w:val="00FC0CD6"/>
    <w:rsid w:val="00FC0D4E"/>
    <w:rsid w:val="00FC0D77"/>
    <w:rsid w:val="00FC0E63"/>
    <w:rsid w:val="00FC0E7C"/>
    <w:rsid w:val="00FC0E80"/>
    <w:rsid w:val="00FC0E91"/>
    <w:rsid w:val="00FC0F0F"/>
    <w:rsid w:val="00FC0F5C"/>
    <w:rsid w:val="00FC0FEA"/>
    <w:rsid w:val="00FC1025"/>
    <w:rsid w:val="00FC102E"/>
    <w:rsid w:val="00FC103C"/>
    <w:rsid w:val="00FC1102"/>
    <w:rsid w:val="00FC1129"/>
    <w:rsid w:val="00FC114B"/>
    <w:rsid w:val="00FC1153"/>
    <w:rsid w:val="00FC118B"/>
    <w:rsid w:val="00FC11B8"/>
    <w:rsid w:val="00FC11B9"/>
    <w:rsid w:val="00FC11D1"/>
    <w:rsid w:val="00FC1208"/>
    <w:rsid w:val="00FC12FD"/>
    <w:rsid w:val="00FC1386"/>
    <w:rsid w:val="00FC1410"/>
    <w:rsid w:val="00FC1453"/>
    <w:rsid w:val="00FC14B8"/>
    <w:rsid w:val="00FC14D2"/>
    <w:rsid w:val="00FC153D"/>
    <w:rsid w:val="00FC1561"/>
    <w:rsid w:val="00FC15A8"/>
    <w:rsid w:val="00FC15D3"/>
    <w:rsid w:val="00FC170C"/>
    <w:rsid w:val="00FC1719"/>
    <w:rsid w:val="00FC17E4"/>
    <w:rsid w:val="00FC181C"/>
    <w:rsid w:val="00FC1942"/>
    <w:rsid w:val="00FC1A00"/>
    <w:rsid w:val="00FC1A1E"/>
    <w:rsid w:val="00FC1A8F"/>
    <w:rsid w:val="00FC1B1D"/>
    <w:rsid w:val="00FC1B8B"/>
    <w:rsid w:val="00FC1B97"/>
    <w:rsid w:val="00FC1BC1"/>
    <w:rsid w:val="00FC1C2C"/>
    <w:rsid w:val="00FC1C78"/>
    <w:rsid w:val="00FC1CF4"/>
    <w:rsid w:val="00FC1D2C"/>
    <w:rsid w:val="00FC1DC8"/>
    <w:rsid w:val="00FC1E2C"/>
    <w:rsid w:val="00FC1EB1"/>
    <w:rsid w:val="00FC1EDC"/>
    <w:rsid w:val="00FC1F08"/>
    <w:rsid w:val="00FC1F10"/>
    <w:rsid w:val="00FC1F6A"/>
    <w:rsid w:val="00FC1FC2"/>
    <w:rsid w:val="00FC2070"/>
    <w:rsid w:val="00FC20B4"/>
    <w:rsid w:val="00FC20D3"/>
    <w:rsid w:val="00FC2144"/>
    <w:rsid w:val="00FC21E0"/>
    <w:rsid w:val="00FC21F0"/>
    <w:rsid w:val="00FC2217"/>
    <w:rsid w:val="00FC2255"/>
    <w:rsid w:val="00FC22B4"/>
    <w:rsid w:val="00FC2364"/>
    <w:rsid w:val="00FC2443"/>
    <w:rsid w:val="00FC24AC"/>
    <w:rsid w:val="00FC24E0"/>
    <w:rsid w:val="00FC2509"/>
    <w:rsid w:val="00FC256C"/>
    <w:rsid w:val="00FC2596"/>
    <w:rsid w:val="00FC2679"/>
    <w:rsid w:val="00FC2721"/>
    <w:rsid w:val="00FC27F9"/>
    <w:rsid w:val="00FC287E"/>
    <w:rsid w:val="00FC2886"/>
    <w:rsid w:val="00FC2889"/>
    <w:rsid w:val="00FC28A3"/>
    <w:rsid w:val="00FC28E1"/>
    <w:rsid w:val="00FC2921"/>
    <w:rsid w:val="00FC29A4"/>
    <w:rsid w:val="00FC2A3B"/>
    <w:rsid w:val="00FC2A8C"/>
    <w:rsid w:val="00FC2BD8"/>
    <w:rsid w:val="00FC2C01"/>
    <w:rsid w:val="00FC2C17"/>
    <w:rsid w:val="00FC2C41"/>
    <w:rsid w:val="00FC2CE0"/>
    <w:rsid w:val="00FC2E12"/>
    <w:rsid w:val="00FC2E61"/>
    <w:rsid w:val="00FC2EE6"/>
    <w:rsid w:val="00FC2EF0"/>
    <w:rsid w:val="00FC2FAA"/>
    <w:rsid w:val="00FC2FCC"/>
    <w:rsid w:val="00FC2FF6"/>
    <w:rsid w:val="00FC303C"/>
    <w:rsid w:val="00FC3176"/>
    <w:rsid w:val="00FC319B"/>
    <w:rsid w:val="00FC31AD"/>
    <w:rsid w:val="00FC32D5"/>
    <w:rsid w:val="00FC334A"/>
    <w:rsid w:val="00FC336A"/>
    <w:rsid w:val="00FC3395"/>
    <w:rsid w:val="00FC33BC"/>
    <w:rsid w:val="00FC3493"/>
    <w:rsid w:val="00FC34A7"/>
    <w:rsid w:val="00FC34B1"/>
    <w:rsid w:val="00FC356E"/>
    <w:rsid w:val="00FC35CC"/>
    <w:rsid w:val="00FC35F5"/>
    <w:rsid w:val="00FC3614"/>
    <w:rsid w:val="00FC36BA"/>
    <w:rsid w:val="00FC36EC"/>
    <w:rsid w:val="00FC37C5"/>
    <w:rsid w:val="00FC38DE"/>
    <w:rsid w:val="00FC38EB"/>
    <w:rsid w:val="00FC391D"/>
    <w:rsid w:val="00FC3933"/>
    <w:rsid w:val="00FC3951"/>
    <w:rsid w:val="00FC395D"/>
    <w:rsid w:val="00FC3972"/>
    <w:rsid w:val="00FC3988"/>
    <w:rsid w:val="00FC3A25"/>
    <w:rsid w:val="00FC3AF2"/>
    <w:rsid w:val="00FC3B16"/>
    <w:rsid w:val="00FC3B48"/>
    <w:rsid w:val="00FC3B90"/>
    <w:rsid w:val="00FC3C26"/>
    <w:rsid w:val="00FC3C31"/>
    <w:rsid w:val="00FC3D49"/>
    <w:rsid w:val="00FC3D91"/>
    <w:rsid w:val="00FC3DA1"/>
    <w:rsid w:val="00FC3DAD"/>
    <w:rsid w:val="00FC3DEE"/>
    <w:rsid w:val="00FC3E5B"/>
    <w:rsid w:val="00FC3E9A"/>
    <w:rsid w:val="00FC3E9C"/>
    <w:rsid w:val="00FC3E9F"/>
    <w:rsid w:val="00FC3F66"/>
    <w:rsid w:val="00FC3F8E"/>
    <w:rsid w:val="00FC3FCE"/>
    <w:rsid w:val="00FC4028"/>
    <w:rsid w:val="00FC413E"/>
    <w:rsid w:val="00FC4156"/>
    <w:rsid w:val="00FC4252"/>
    <w:rsid w:val="00FC4264"/>
    <w:rsid w:val="00FC426E"/>
    <w:rsid w:val="00FC43DE"/>
    <w:rsid w:val="00FC4428"/>
    <w:rsid w:val="00FC4487"/>
    <w:rsid w:val="00FC459E"/>
    <w:rsid w:val="00FC468D"/>
    <w:rsid w:val="00FC4710"/>
    <w:rsid w:val="00FC4722"/>
    <w:rsid w:val="00FC475C"/>
    <w:rsid w:val="00FC47B8"/>
    <w:rsid w:val="00FC47ED"/>
    <w:rsid w:val="00FC4861"/>
    <w:rsid w:val="00FC4911"/>
    <w:rsid w:val="00FC49C9"/>
    <w:rsid w:val="00FC49D1"/>
    <w:rsid w:val="00FC49EA"/>
    <w:rsid w:val="00FC49FF"/>
    <w:rsid w:val="00FC4A17"/>
    <w:rsid w:val="00FC4A34"/>
    <w:rsid w:val="00FC4ABA"/>
    <w:rsid w:val="00FC4B0F"/>
    <w:rsid w:val="00FC4B5B"/>
    <w:rsid w:val="00FC4BA0"/>
    <w:rsid w:val="00FC4BCD"/>
    <w:rsid w:val="00FC4BD6"/>
    <w:rsid w:val="00FC4C83"/>
    <w:rsid w:val="00FC4D03"/>
    <w:rsid w:val="00FC4D35"/>
    <w:rsid w:val="00FC4D75"/>
    <w:rsid w:val="00FC4DA8"/>
    <w:rsid w:val="00FC4DB4"/>
    <w:rsid w:val="00FC4E03"/>
    <w:rsid w:val="00FC4E4A"/>
    <w:rsid w:val="00FC4E67"/>
    <w:rsid w:val="00FC4F4F"/>
    <w:rsid w:val="00FC4F7D"/>
    <w:rsid w:val="00FC50E8"/>
    <w:rsid w:val="00FC5106"/>
    <w:rsid w:val="00FC5250"/>
    <w:rsid w:val="00FC527B"/>
    <w:rsid w:val="00FC528A"/>
    <w:rsid w:val="00FC52CE"/>
    <w:rsid w:val="00FC53A5"/>
    <w:rsid w:val="00FC53DC"/>
    <w:rsid w:val="00FC53F6"/>
    <w:rsid w:val="00FC541F"/>
    <w:rsid w:val="00FC54A3"/>
    <w:rsid w:val="00FC5528"/>
    <w:rsid w:val="00FC5550"/>
    <w:rsid w:val="00FC5573"/>
    <w:rsid w:val="00FC55A8"/>
    <w:rsid w:val="00FC55DE"/>
    <w:rsid w:val="00FC55F2"/>
    <w:rsid w:val="00FC5712"/>
    <w:rsid w:val="00FC57A3"/>
    <w:rsid w:val="00FC57B6"/>
    <w:rsid w:val="00FC57C8"/>
    <w:rsid w:val="00FC57D1"/>
    <w:rsid w:val="00FC57DE"/>
    <w:rsid w:val="00FC5858"/>
    <w:rsid w:val="00FC586C"/>
    <w:rsid w:val="00FC58EA"/>
    <w:rsid w:val="00FC59C2"/>
    <w:rsid w:val="00FC5A7A"/>
    <w:rsid w:val="00FC5AB8"/>
    <w:rsid w:val="00FC5B40"/>
    <w:rsid w:val="00FC5C1E"/>
    <w:rsid w:val="00FC5C60"/>
    <w:rsid w:val="00FC5C9A"/>
    <w:rsid w:val="00FC5C9E"/>
    <w:rsid w:val="00FC5D71"/>
    <w:rsid w:val="00FC5DD4"/>
    <w:rsid w:val="00FC5E79"/>
    <w:rsid w:val="00FC5EA7"/>
    <w:rsid w:val="00FC5EEE"/>
    <w:rsid w:val="00FC5F58"/>
    <w:rsid w:val="00FC5FA2"/>
    <w:rsid w:val="00FC5FA5"/>
    <w:rsid w:val="00FC5FAC"/>
    <w:rsid w:val="00FC606E"/>
    <w:rsid w:val="00FC609D"/>
    <w:rsid w:val="00FC60EF"/>
    <w:rsid w:val="00FC6101"/>
    <w:rsid w:val="00FC6135"/>
    <w:rsid w:val="00FC613B"/>
    <w:rsid w:val="00FC6339"/>
    <w:rsid w:val="00FC6377"/>
    <w:rsid w:val="00FC63C7"/>
    <w:rsid w:val="00FC63CA"/>
    <w:rsid w:val="00FC63F9"/>
    <w:rsid w:val="00FC6467"/>
    <w:rsid w:val="00FC6525"/>
    <w:rsid w:val="00FC6549"/>
    <w:rsid w:val="00FC65B2"/>
    <w:rsid w:val="00FC65B5"/>
    <w:rsid w:val="00FC6677"/>
    <w:rsid w:val="00FC66A8"/>
    <w:rsid w:val="00FC6751"/>
    <w:rsid w:val="00FC675B"/>
    <w:rsid w:val="00FC676C"/>
    <w:rsid w:val="00FC67A4"/>
    <w:rsid w:val="00FC682F"/>
    <w:rsid w:val="00FC68AA"/>
    <w:rsid w:val="00FC6953"/>
    <w:rsid w:val="00FC698A"/>
    <w:rsid w:val="00FC69A2"/>
    <w:rsid w:val="00FC6A7D"/>
    <w:rsid w:val="00FC6AA9"/>
    <w:rsid w:val="00FC6AC3"/>
    <w:rsid w:val="00FC6ACE"/>
    <w:rsid w:val="00FC6BB2"/>
    <w:rsid w:val="00FC6BCA"/>
    <w:rsid w:val="00FC6BF9"/>
    <w:rsid w:val="00FC6C7F"/>
    <w:rsid w:val="00FC6CF0"/>
    <w:rsid w:val="00FC6DB5"/>
    <w:rsid w:val="00FC6F85"/>
    <w:rsid w:val="00FC6FE1"/>
    <w:rsid w:val="00FC7083"/>
    <w:rsid w:val="00FC716F"/>
    <w:rsid w:val="00FC71DD"/>
    <w:rsid w:val="00FC7202"/>
    <w:rsid w:val="00FC725A"/>
    <w:rsid w:val="00FC7262"/>
    <w:rsid w:val="00FC73D0"/>
    <w:rsid w:val="00FC742D"/>
    <w:rsid w:val="00FC7436"/>
    <w:rsid w:val="00FC751D"/>
    <w:rsid w:val="00FC770E"/>
    <w:rsid w:val="00FC7715"/>
    <w:rsid w:val="00FC773E"/>
    <w:rsid w:val="00FC77D4"/>
    <w:rsid w:val="00FC78B6"/>
    <w:rsid w:val="00FC78BE"/>
    <w:rsid w:val="00FC78C6"/>
    <w:rsid w:val="00FC795F"/>
    <w:rsid w:val="00FC7991"/>
    <w:rsid w:val="00FC79D0"/>
    <w:rsid w:val="00FC7A4C"/>
    <w:rsid w:val="00FC7A78"/>
    <w:rsid w:val="00FC7AC4"/>
    <w:rsid w:val="00FC7B1A"/>
    <w:rsid w:val="00FC7BCD"/>
    <w:rsid w:val="00FC7BF6"/>
    <w:rsid w:val="00FC7C44"/>
    <w:rsid w:val="00FC7CAC"/>
    <w:rsid w:val="00FC7D8B"/>
    <w:rsid w:val="00FC7DB0"/>
    <w:rsid w:val="00FC7DBB"/>
    <w:rsid w:val="00FC7F84"/>
    <w:rsid w:val="00FC7FE3"/>
    <w:rsid w:val="00FD004A"/>
    <w:rsid w:val="00FD01C5"/>
    <w:rsid w:val="00FD01C8"/>
    <w:rsid w:val="00FD023D"/>
    <w:rsid w:val="00FD0259"/>
    <w:rsid w:val="00FD0287"/>
    <w:rsid w:val="00FD035D"/>
    <w:rsid w:val="00FD0448"/>
    <w:rsid w:val="00FD04EE"/>
    <w:rsid w:val="00FD0595"/>
    <w:rsid w:val="00FD071D"/>
    <w:rsid w:val="00FD0745"/>
    <w:rsid w:val="00FD0766"/>
    <w:rsid w:val="00FD07B0"/>
    <w:rsid w:val="00FD07FA"/>
    <w:rsid w:val="00FD086B"/>
    <w:rsid w:val="00FD091F"/>
    <w:rsid w:val="00FD09B7"/>
    <w:rsid w:val="00FD0A4B"/>
    <w:rsid w:val="00FD0A62"/>
    <w:rsid w:val="00FD0AA6"/>
    <w:rsid w:val="00FD0AAE"/>
    <w:rsid w:val="00FD0B42"/>
    <w:rsid w:val="00FD0B4A"/>
    <w:rsid w:val="00FD0B99"/>
    <w:rsid w:val="00FD0BF6"/>
    <w:rsid w:val="00FD0BF7"/>
    <w:rsid w:val="00FD0C5F"/>
    <w:rsid w:val="00FD0C6A"/>
    <w:rsid w:val="00FD0C82"/>
    <w:rsid w:val="00FD0CAB"/>
    <w:rsid w:val="00FD0CC3"/>
    <w:rsid w:val="00FD0CD0"/>
    <w:rsid w:val="00FD0CDC"/>
    <w:rsid w:val="00FD0D29"/>
    <w:rsid w:val="00FD0D8A"/>
    <w:rsid w:val="00FD0F30"/>
    <w:rsid w:val="00FD0F48"/>
    <w:rsid w:val="00FD0F5C"/>
    <w:rsid w:val="00FD0FBF"/>
    <w:rsid w:val="00FD0FEC"/>
    <w:rsid w:val="00FD0FF5"/>
    <w:rsid w:val="00FD101E"/>
    <w:rsid w:val="00FD10BE"/>
    <w:rsid w:val="00FD1142"/>
    <w:rsid w:val="00FD1189"/>
    <w:rsid w:val="00FD1195"/>
    <w:rsid w:val="00FD13CD"/>
    <w:rsid w:val="00FD14AB"/>
    <w:rsid w:val="00FD14BC"/>
    <w:rsid w:val="00FD14D3"/>
    <w:rsid w:val="00FD14E2"/>
    <w:rsid w:val="00FD1525"/>
    <w:rsid w:val="00FD1603"/>
    <w:rsid w:val="00FD161B"/>
    <w:rsid w:val="00FD1642"/>
    <w:rsid w:val="00FD167C"/>
    <w:rsid w:val="00FD16FC"/>
    <w:rsid w:val="00FD1859"/>
    <w:rsid w:val="00FD1874"/>
    <w:rsid w:val="00FD191D"/>
    <w:rsid w:val="00FD1939"/>
    <w:rsid w:val="00FD19A5"/>
    <w:rsid w:val="00FD19B7"/>
    <w:rsid w:val="00FD19EE"/>
    <w:rsid w:val="00FD1A73"/>
    <w:rsid w:val="00FD1B13"/>
    <w:rsid w:val="00FD1B7D"/>
    <w:rsid w:val="00FD1C0F"/>
    <w:rsid w:val="00FD1C3C"/>
    <w:rsid w:val="00FD1CEE"/>
    <w:rsid w:val="00FD1CF1"/>
    <w:rsid w:val="00FD1D5F"/>
    <w:rsid w:val="00FD1D82"/>
    <w:rsid w:val="00FD1D84"/>
    <w:rsid w:val="00FD1DC9"/>
    <w:rsid w:val="00FD1DDB"/>
    <w:rsid w:val="00FD1E1E"/>
    <w:rsid w:val="00FD1E5F"/>
    <w:rsid w:val="00FD1F05"/>
    <w:rsid w:val="00FD1FEC"/>
    <w:rsid w:val="00FD22E0"/>
    <w:rsid w:val="00FD2337"/>
    <w:rsid w:val="00FD2386"/>
    <w:rsid w:val="00FD23D0"/>
    <w:rsid w:val="00FD2461"/>
    <w:rsid w:val="00FD24C8"/>
    <w:rsid w:val="00FD2574"/>
    <w:rsid w:val="00FD257F"/>
    <w:rsid w:val="00FD2596"/>
    <w:rsid w:val="00FD264C"/>
    <w:rsid w:val="00FD2713"/>
    <w:rsid w:val="00FD2853"/>
    <w:rsid w:val="00FD2891"/>
    <w:rsid w:val="00FD28D5"/>
    <w:rsid w:val="00FD299D"/>
    <w:rsid w:val="00FD29DB"/>
    <w:rsid w:val="00FD29EA"/>
    <w:rsid w:val="00FD2AA6"/>
    <w:rsid w:val="00FD2AA9"/>
    <w:rsid w:val="00FD2B0C"/>
    <w:rsid w:val="00FD2C9D"/>
    <w:rsid w:val="00FD2CCC"/>
    <w:rsid w:val="00FD2CCE"/>
    <w:rsid w:val="00FD2D19"/>
    <w:rsid w:val="00FD2DC0"/>
    <w:rsid w:val="00FD2DEF"/>
    <w:rsid w:val="00FD2E47"/>
    <w:rsid w:val="00FD2E94"/>
    <w:rsid w:val="00FD2EAC"/>
    <w:rsid w:val="00FD2EAF"/>
    <w:rsid w:val="00FD2F57"/>
    <w:rsid w:val="00FD2FAB"/>
    <w:rsid w:val="00FD2FBC"/>
    <w:rsid w:val="00FD300A"/>
    <w:rsid w:val="00FD3209"/>
    <w:rsid w:val="00FD3330"/>
    <w:rsid w:val="00FD337D"/>
    <w:rsid w:val="00FD33E1"/>
    <w:rsid w:val="00FD34BD"/>
    <w:rsid w:val="00FD34C8"/>
    <w:rsid w:val="00FD34F8"/>
    <w:rsid w:val="00FD3509"/>
    <w:rsid w:val="00FD355B"/>
    <w:rsid w:val="00FD3560"/>
    <w:rsid w:val="00FD359C"/>
    <w:rsid w:val="00FD35B8"/>
    <w:rsid w:val="00FD35F8"/>
    <w:rsid w:val="00FD367E"/>
    <w:rsid w:val="00FD3690"/>
    <w:rsid w:val="00FD36B4"/>
    <w:rsid w:val="00FD36DF"/>
    <w:rsid w:val="00FD3752"/>
    <w:rsid w:val="00FD3779"/>
    <w:rsid w:val="00FD37BC"/>
    <w:rsid w:val="00FD37F8"/>
    <w:rsid w:val="00FD3862"/>
    <w:rsid w:val="00FD3898"/>
    <w:rsid w:val="00FD38E9"/>
    <w:rsid w:val="00FD3908"/>
    <w:rsid w:val="00FD3913"/>
    <w:rsid w:val="00FD392A"/>
    <w:rsid w:val="00FD39AD"/>
    <w:rsid w:val="00FD39CB"/>
    <w:rsid w:val="00FD3A5E"/>
    <w:rsid w:val="00FD3AD4"/>
    <w:rsid w:val="00FD3B18"/>
    <w:rsid w:val="00FD3BB1"/>
    <w:rsid w:val="00FD3BBD"/>
    <w:rsid w:val="00FD3C22"/>
    <w:rsid w:val="00FD3CB1"/>
    <w:rsid w:val="00FD3CFE"/>
    <w:rsid w:val="00FD3D65"/>
    <w:rsid w:val="00FD3E89"/>
    <w:rsid w:val="00FD3ECE"/>
    <w:rsid w:val="00FD3EEF"/>
    <w:rsid w:val="00FD3FA2"/>
    <w:rsid w:val="00FD3FF3"/>
    <w:rsid w:val="00FD4025"/>
    <w:rsid w:val="00FD405A"/>
    <w:rsid w:val="00FD40BE"/>
    <w:rsid w:val="00FD40D1"/>
    <w:rsid w:val="00FD40EA"/>
    <w:rsid w:val="00FD4246"/>
    <w:rsid w:val="00FD427D"/>
    <w:rsid w:val="00FD42E0"/>
    <w:rsid w:val="00FD438B"/>
    <w:rsid w:val="00FD438D"/>
    <w:rsid w:val="00FD43A4"/>
    <w:rsid w:val="00FD444E"/>
    <w:rsid w:val="00FD44C7"/>
    <w:rsid w:val="00FD4569"/>
    <w:rsid w:val="00FD45F6"/>
    <w:rsid w:val="00FD477B"/>
    <w:rsid w:val="00FD47A9"/>
    <w:rsid w:val="00FD4807"/>
    <w:rsid w:val="00FD4863"/>
    <w:rsid w:val="00FD4865"/>
    <w:rsid w:val="00FD4884"/>
    <w:rsid w:val="00FD4898"/>
    <w:rsid w:val="00FD48BE"/>
    <w:rsid w:val="00FD48C0"/>
    <w:rsid w:val="00FD48ED"/>
    <w:rsid w:val="00FD4A50"/>
    <w:rsid w:val="00FD4A81"/>
    <w:rsid w:val="00FD4A8D"/>
    <w:rsid w:val="00FD4B4E"/>
    <w:rsid w:val="00FD4B53"/>
    <w:rsid w:val="00FD4C3F"/>
    <w:rsid w:val="00FD4C48"/>
    <w:rsid w:val="00FD4D3C"/>
    <w:rsid w:val="00FD4DEF"/>
    <w:rsid w:val="00FD4E58"/>
    <w:rsid w:val="00FD4E61"/>
    <w:rsid w:val="00FD4E7A"/>
    <w:rsid w:val="00FD4F17"/>
    <w:rsid w:val="00FD4F44"/>
    <w:rsid w:val="00FD4F53"/>
    <w:rsid w:val="00FD503E"/>
    <w:rsid w:val="00FD5040"/>
    <w:rsid w:val="00FD5053"/>
    <w:rsid w:val="00FD50EE"/>
    <w:rsid w:val="00FD50FE"/>
    <w:rsid w:val="00FD5199"/>
    <w:rsid w:val="00FD527D"/>
    <w:rsid w:val="00FD52BD"/>
    <w:rsid w:val="00FD52C9"/>
    <w:rsid w:val="00FD53DF"/>
    <w:rsid w:val="00FD5407"/>
    <w:rsid w:val="00FD5440"/>
    <w:rsid w:val="00FD545B"/>
    <w:rsid w:val="00FD5497"/>
    <w:rsid w:val="00FD550A"/>
    <w:rsid w:val="00FD5526"/>
    <w:rsid w:val="00FD55A0"/>
    <w:rsid w:val="00FD55AC"/>
    <w:rsid w:val="00FD55F7"/>
    <w:rsid w:val="00FD5634"/>
    <w:rsid w:val="00FD568E"/>
    <w:rsid w:val="00FD572D"/>
    <w:rsid w:val="00FD5745"/>
    <w:rsid w:val="00FD575E"/>
    <w:rsid w:val="00FD5789"/>
    <w:rsid w:val="00FD57C4"/>
    <w:rsid w:val="00FD57FF"/>
    <w:rsid w:val="00FD58B2"/>
    <w:rsid w:val="00FD58C7"/>
    <w:rsid w:val="00FD5921"/>
    <w:rsid w:val="00FD59AA"/>
    <w:rsid w:val="00FD5A0E"/>
    <w:rsid w:val="00FD5AE7"/>
    <w:rsid w:val="00FD5BD8"/>
    <w:rsid w:val="00FD5D1A"/>
    <w:rsid w:val="00FD5D31"/>
    <w:rsid w:val="00FD5D5B"/>
    <w:rsid w:val="00FD5DC4"/>
    <w:rsid w:val="00FD5DF9"/>
    <w:rsid w:val="00FD5F26"/>
    <w:rsid w:val="00FD5F4D"/>
    <w:rsid w:val="00FD6047"/>
    <w:rsid w:val="00FD6084"/>
    <w:rsid w:val="00FD61D0"/>
    <w:rsid w:val="00FD6207"/>
    <w:rsid w:val="00FD6240"/>
    <w:rsid w:val="00FD62E7"/>
    <w:rsid w:val="00FD638B"/>
    <w:rsid w:val="00FD64CC"/>
    <w:rsid w:val="00FD64D0"/>
    <w:rsid w:val="00FD655E"/>
    <w:rsid w:val="00FD65AF"/>
    <w:rsid w:val="00FD65DD"/>
    <w:rsid w:val="00FD6698"/>
    <w:rsid w:val="00FD66F7"/>
    <w:rsid w:val="00FD6713"/>
    <w:rsid w:val="00FD6747"/>
    <w:rsid w:val="00FD67FC"/>
    <w:rsid w:val="00FD6880"/>
    <w:rsid w:val="00FD6966"/>
    <w:rsid w:val="00FD6A0D"/>
    <w:rsid w:val="00FD6A66"/>
    <w:rsid w:val="00FD6A6E"/>
    <w:rsid w:val="00FD6A8B"/>
    <w:rsid w:val="00FD6AA8"/>
    <w:rsid w:val="00FD6ADD"/>
    <w:rsid w:val="00FD6B6F"/>
    <w:rsid w:val="00FD6BB9"/>
    <w:rsid w:val="00FD6CB2"/>
    <w:rsid w:val="00FD6D0D"/>
    <w:rsid w:val="00FD6D3D"/>
    <w:rsid w:val="00FD6D8E"/>
    <w:rsid w:val="00FD6E1D"/>
    <w:rsid w:val="00FD6E53"/>
    <w:rsid w:val="00FD6ED9"/>
    <w:rsid w:val="00FD6F0E"/>
    <w:rsid w:val="00FD70AC"/>
    <w:rsid w:val="00FD70C1"/>
    <w:rsid w:val="00FD71CC"/>
    <w:rsid w:val="00FD71E4"/>
    <w:rsid w:val="00FD7213"/>
    <w:rsid w:val="00FD722E"/>
    <w:rsid w:val="00FD7258"/>
    <w:rsid w:val="00FD72AE"/>
    <w:rsid w:val="00FD72BB"/>
    <w:rsid w:val="00FD72D3"/>
    <w:rsid w:val="00FD72E1"/>
    <w:rsid w:val="00FD7398"/>
    <w:rsid w:val="00FD75AD"/>
    <w:rsid w:val="00FD75F0"/>
    <w:rsid w:val="00FD764A"/>
    <w:rsid w:val="00FD764F"/>
    <w:rsid w:val="00FD766A"/>
    <w:rsid w:val="00FD76C1"/>
    <w:rsid w:val="00FD770F"/>
    <w:rsid w:val="00FD7770"/>
    <w:rsid w:val="00FD7779"/>
    <w:rsid w:val="00FD7784"/>
    <w:rsid w:val="00FD7832"/>
    <w:rsid w:val="00FD7877"/>
    <w:rsid w:val="00FD793C"/>
    <w:rsid w:val="00FD7989"/>
    <w:rsid w:val="00FD79A9"/>
    <w:rsid w:val="00FD7A57"/>
    <w:rsid w:val="00FD7AA0"/>
    <w:rsid w:val="00FD7B1F"/>
    <w:rsid w:val="00FD7B4E"/>
    <w:rsid w:val="00FD7C20"/>
    <w:rsid w:val="00FD7C9C"/>
    <w:rsid w:val="00FD7CA8"/>
    <w:rsid w:val="00FD7CE1"/>
    <w:rsid w:val="00FD7D81"/>
    <w:rsid w:val="00FD7DF1"/>
    <w:rsid w:val="00FD7E97"/>
    <w:rsid w:val="00FD7EAD"/>
    <w:rsid w:val="00FD7F68"/>
    <w:rsid w:val="00FD7F79"/>
    <w:rsid w:val="00FD7F85"/>
    <w:rsid w:val="00FD7FAC"/>
    <w:rsid w:val="00FD7FAF"/>
    <w:rsid w:val="00FE0031"/>
    <w:rsid w:val="00FE0118"/>
    <w:rsid w:val="00FE0129"/>
    <w:rsid w:val="00FE0130"/>
    <w:rsid w:val="00FE0152"/>
    <w:rsid w:val="00FE019B"/>
    <w:rsid w:val="00FE0218"/>
    <w:rsid w:val="00FE0226"/>
    <w:rsid w:val="00FE0282"/>
    <w:rsid w:val="00FE0292"/>
    <w:rsid w:val="00FE0295"/>
    <w:rsid w:val="00FE0307"/>
    <w:rsid w:val="00FE039E"/>
    <w:rsid w:val="00FE0605"/>
    <w:rsid w:val="00FE0741"/>
    <w:rsid w:val="00FE076B"/>
    <w:rsid w:val="00FE078F"/>
    <w:rsid w:val="00FE07DF"/>
    <w:rsid w:val="00FE07F6"/>
    <w:rsid w:val="00FE080A"/>
    <w:rsid w:val="00FE089D"/>
    <w:rsid w:val="00FE08E3"/>
    <w:rsid w:val="00FE09B1"/>
    <w:rsid w:val="00FE09B3"/>
    <w:rsid w:val="00FE0A1C"/>
    <w:rsid w:val="00FE0A4F"/>
    <w:rsid w:val="00FE0AF0"/>
    <w:rsid w:val="00FE0B80"/>
    <w:rsid w:val="00FE0BB8"/>
    <w:rsid w:val="00FE0CD9"/>
    <w:rsid w:val="00FE0DB1"/>
    <w:rsid w:val="00FE0E0C"/>
    <w:rsid w:val="00FE0E73"/>
    <w:rsid w:val="00FE0E79"/>
    <w:rsid w:val="00FE0EAA"/>
    <w:rsid w:val="00FE0EAF"/>
    <w:rsid w:val="00FE0F14"/>
    <w:rsid w:val="00FE0FE2"/>
    <w:rsid w:val="00FE1031"/>
    <w:rsid w:val="00FE105B"/>
    <w:rsid w:val="00FE10B2"/>
    <w:rsid w:val="00FE10C2"/>
    <w:rsid w:val="00FE10F8"/>
    <w:rsid w:val="00FE1227"/>
    <w:rsid w:val="00FE1292"/>
    <w:rsid w:val="00FE12A1"/>
    <w:rsid w:val="00FE1354"/>
    <w:rsid w:val="00FE138C"/>
    <w:rsid w:val="00FE1402"/>
    <w:rsid w:val="00FE1493"/>
    <w:rsid w:val="00FE1582"/>
    <w:rsid w:val="00FE15CA"/>
    <w:rsid w:val="00FE15F9"/>
    <w:rsid w:val="00FE160E"/>
    <w:rsid w:val="00FE1628"/>
    <w:rsid w:val="00FE1636"/>
    <w:rsid w:val="00FE1672"/>
    <w:rsid w:val="00FE17DF"/>
    <w:rsid w:val="00FE1849"/>
    <w:rsid w:val="00FE189A"/>
    <w:rsid w:val="00FE19EE"/>
    <w:rsid w:val="00FE1A22"/>
    <w:rsid w:val="00FE1A24"/>
    <w:rsid w:val="00FE1A64"/>
    <w:rsid w:val="00FE1A97"/>
    <w:rsid w:val="00FE1B41"/>
    <w:rsid w:val="00FE1B9D"/>
    <w:rsid w:val="00FE1BAD"/>
    <w:rsid w:val="00FE1BD4"/>
    <w:rsid w:val="00FE1C22"/>
    <w:rsid w:val="00FE1C2F"/>
    <w:rsid w:val="00FE1C76"/>
    <w:rsid w:val="00FE1C9E"/>
    <w:rsid w:val="00FE1CC7"/>
    <w:rsid w:val="00FE1CE9"/>
    <w:rsid w:val="00FE1D04"/>
    <w:rsid w:val="00FE1DAC"/>
    <w:rsid w:val="00FE1DBF"/>
    <w:rsid w:val="00FE1E11"/>
    <w:rsid w:val="00FE1E2A"/>
    <w:rsid w:val="00FE1E37"/>
    <w:rsid w:val="00FE1E75"/>
    <w:rsid w:val="00FE1E9B"/>
    <w:rsid w:val="00FE1FDC"/>
    <w:rsid w:val="00FE20D6"/>
    <w:rsid w:val="00FE20EF"/>
    <w:rsid w:val="00FE221F"/>
    <w:rsid w:val="00FE22CA"/>
    <w:rsid w:val="00FE22ED"/>
    <w:rsid w:val="00FE2396"/>
    <w:rsid w:val="00FE23FD"/>
    <w:rsid w:val="00FE24DB"/>
    <w:rsid w:val="00FE2627"/>
    <w:rsid w:val="00FE265F"/>
    <w:rsid w:val="00FE267C"/>
    <w:rsid w:val="00FE2697"/>
    <w:rsid w:val="00FE26E6"/>
    <w:rsid w:val="00FE274B"/>
    <w:rsid w:val="00FE2765"/>
    <w:rsid w:val="00FE27CE"/>
    <w:rsid w:val="00FE2A21"/>
    <w:rsid w:val="00FE2A89"/>
    <w:rsid w:val="00FE2AA9"/>
    <w:rsid w:val="00FE2AEF"/>
    <w:rsid w:val="00FE2D6B"/>
    <w:rsid w:val="00FE2D6E"/>
    <w:rsid w:val="00FE2EB7"/>
    <w:rsid w:val="00FE2F09"/>
    <w:rsid w:val="00FE3137"/>
    <w:rsid w:val="00FE31BD"/>
    <w:rsid w:val="00FE3255"/>
    <w:rsid w:val="00FE32C8"/>
    <w:rsid w:val="00FE32F6"/>
    <w:rsid w:val="00FE337B"/>
    <w:rsid w:val="00FE33C7"/>
    <w:rsid w:val="00FE33D9"/>
    <w:rsid w:val="00FE343D"/>
    <w:rsid w:val="00FE3552"/>
    <w:rsid w:val="00FE35C8"/>
    <w:rsid w:val="00FE364A"/>
    <w:rsid w:val="00FE36A9"/>
    <w:rsid w:val="00FE379B"/>
    <w:rsid w:val="00FE3811"/>
    <w:rsid w:val="00FE38EA"/>
    <w:rsid w:val="00FE38FD"/>
    <w:rsid w:val="00FE390D"/>
    <w:rsid w:val="00FE395D"/>
    <w:rsid w:val="00FE39C8"/>
    <w:rsid w:val="00FE39D6"/>
    <w:rsid w:val="00FE3A3E"/>
    <w:rsid w:val="00FE3A8E"/>
    <w:rsid w:val="00FE3AD5"/>
    <w:rsid w:val="00FE3C5E"/>
    <w:rsid w:val="00FE3CEB"/>
    <w:rsid w:val="00FE3CF1"/>
    <w:rsid w:val="00FE3D18"/>
    <w:rsid w:val="00FE3D51"/>
    <w:rsid w:val="00FE3E0A"/>
    <w:rsid w:val="00FE3E4B"/>
    <w:rsid w:val="00FE3EB3"/>
    <w:rsid w:val="00FE3EDC"/>
    <w:rsid w:val="00FE3F07"/>
    <w:rsid w:val="00FE3FF4"/>
    <w:rsid w:val="00FE4013"/>
    <w:rsid w:val="00FE4036"/>
    <w:rsid w:val="00FE4047"/>
    <w:rsid w:val="00FE4065"/>
    <w:rsid w:val="00FE406D"/>
    <w:rsid w:val="00FE4094"/>
    <w:rsid w:val="00FE40ED"/>
    <w:rsid w:val="00FE4107"/>
    <w:rsid w:val="00FE417D"/>
    <w:rsid w:val="00FE4186"/>
    <w:rsid w:val="00FE423C"/>
    <w:rsid w:val="00FE42CB"/>
    <w:rsid w:val="00FE4337"/>
    <w:rsid w:val="00FE4380"/>
    <w:rsid w:val="00FE4387"/>
    <w:rsid w:val="00FE43B1"/>
    <w:rsid w:val="00FE43B9"/>
    <w:rsid w:val="00FE43D3"/>
    <w:rsid w:val="00FE43E3"/>
    <w:rsid w:val="00FE444B"/>
    <w:rsid w:val="00FE4468"/>
    <w:rsid w:val="00FE4499"/>
    <w:rsid w:val="00FE456D"/>
    <w:rsid w:val="00FE466E"/>
    <w:rsid w:val="00FE4674"/>
    <w:rsid w:val="00FE4723"/>
    <w:rsid w:val="00FE472A"/>
    <w:rsid w:val="00FE47ED"/>
    <w:rsid w:val="00FE48B4"/>
    <w:rsid w:val="00FE48CF"/>
    <w:rsid w:val="00FE48D3"/>
    <w:rsid w:val="00FE4938"/>
    <w:rsid w:val="00FE49D1"/>
    <w:rsid w:val="00FE4A3E"/>
    <w:rsid w:val="00FE4B26"/>
    <w:rsid w:val="00FE4B3F"/>
    <w:rsid w:val="00FE4B72"/>
    <w:rsid w:val="00FE4B87"/>
    <w:rsid w:val="00FE4BC7"/>
    <w:rsid w:val="00FE4CFB"/>
    <w:rsid w:val="00FE4E5A"/>
    <w:rsid w:val="00FE4E6D"/>
    <w:rsid w:val="00FE4EB8"/>
    <w:rsid w:val="00FE4EFD"/>
    <w:rsid w:val="00FE4F39"/>
    <w:rsid w:val="00FE4FC7"/>
    <w:rsid w:val="00FE5077"/>
    <w:rsid w:val="00FE5104"/>
    <w:rsid w:val="00FE51D4"/>
    <w:rsid w:val="00FE51E9"/>
    <w:rsid w:val="00FE5255"/>
    <w:rsid w:val="00FE52A0"/>
    <w:rsid w:val="00FE530E"/>
    <w:rsid w:val="00FE5415"/>
    <w:rsid w:val="00FE543E"/>
    <w:rsid w:val="00FE5480"/>
    <w:rsid w:val="00FE5503"/>
    <w:rsid w:val="00FE55C3"/>
    <w:rsid w:val="00FE55CB"/>
    <w:rsid w:val="00FE5640"/>
    <w:rsid w:val="00FE565F"/>
    <w:rsid w:val="00FE568A"/>
    <w:rsid w:val="00FE568B"/>
    <w:rsid w:val="00FE56BC"/>
    <w:rsid w:val="00FE57B2"/>
    <w:rsid w:val="00FE57CE"/>
    <w:rsid w:val="00FE58C7"/>
    <w:rsid w:val="00FE5999"/>
    <w:rsid w:val="00FE59E5"/>
    <w:rsid w:val="00FE5A84"/>
    <w:rsid w:val="00FE5ABA"/>
    <w:rsid w:val="00FE5AFE"/>
    <w:rsid w:val="00FE5B71"/>
    <w:rsid w:val="00FE5D02"/>
    <w:rsid w:val="00FE5D7C"/>
    <w:rsid w:val="00FE5DA9"/>
    <w:rsid w:val="00FE5DB2"/>
    <w:rsid w:val="00FE5DDD"/>
    <w:rsid w:val="00FE5DE3"/>
    <w:rsid w:val="00FE5E54"/>
    <w:rsid w:val="00FE5EA7"/>
    <w:rsid w:val="00FE5ED7"/>
    <w:rsid w:val="00FE5EF4"/>
    <w:rsid w:val="00FE5F60"/>
    <w:rsid w:val="00FE5FA9"/>
    <w:rsid w:val="00FE6023"/>
    <w:rsid w:val="00FE6086"/>
    <w:rsid w:val="00FE60D7"/>
    <w:rsid w:val="00FE6150"/>
    <w:rsid w:val="00FE6351"/>
    <w:rsid w:val="00FE635B"/>
    <w:rsid w:val="00FE637F"/>
    <w:rsid w:val="00FE63AC"/>
    <w:rsid w:val="00FE63EA"/>
    <w:rsid w:val="00FE6406"/>
    <w:rsid w:val="00FE64DA"/>
    <w:rsid w:val="00FE64FB"/>
    <w:rsid w:val="00FE6542"/>
    <w:rsid w:val="00FE6580"/>
    <w:rsid w:val="00FE65E9"/>
    <w:rsid w:val="00FE6667"/>
    <w:rsid w:val="00FE6835"/>
    <w:rsid w:val="00FE6850"/>
    <w:rsid w:val="00FE68C6"/>
    <w:rsid w:val="00FE68CE"/>
    <w:rsid w:val="00FE6915"/>
    <w:rsid w:val="00FE6924"/>
    <w:rsid w:val="00FE6935"/>
    <w:rsid w:val="00FE6938"/>
    <w:rsid w:val="00FE693A"/>
    <w:rsid w:val="00FE6945"/>
    <w:rsid w:val="00FE6959"/>
    <w:rsid w:val="00FE6984"/>
    <w:rsid w:val="00FE698E"/>
    <w:rsid w:val="00FE699C"/>
    <w:rsid w:val="00FE6A58"/>
    <w:rsid w:val="00FE6A8B"/>
    <w:rsid w:val="00FE6A8C"/>
    <w:rsid w:val="00FE6ADE"/>
    <w:rsid w:val="00FE6B3C"/>
    <w:rsid w:val="00FE6C0F"/>
    <w:rsid w:val="00FE6C1B"/>
    <w:rsid w:val="00FE6C62"/>
    <w:rsid w:val="00FE6C7B"/>
    <w:rsid w:val="00FE6CEC"/>
    <w:rsid w:val="00FE6D51"/>
    <w:rsid w:val="00FE6E63"/>
    <w:rsid w:val="00FE6ED9"/>
    <w:rsid w:val="00FE6F80"/>
    <w:rsid w:val="00FE6FCC"/>
    <w:rsid w:val="00FE700A"/>
    <w:rsid w:val="00FE701C"/>
    <w:rsid w:val="00FE705F"/>
    <w:rsid w:val="00FE707A"/>
    <w:rsid w:val="00FE70B5"/>
    <w:rsid w:val="00FE7185"/>
    <w:rsid w:val="00FE71EA"/>
    <w:rsid w:val="00FE7372"/>
    <w:rsid w:val="00FE73C5"/>
    <w:rsid w:val="00FE74EC"/>
    <w:rsid w:val="00FE75CB"/>
    <w:rsid w:val="00FE75E6"/>
    <w:rsid w:val="00FE768B"/>
    <w:rsid w:val="00FE780C"/>
    <w:rsid w:val="00FE7852"/>
    <w:rsid w:val="00FE7874"/>
    <w:rsid w:val="00FE7954"/>
    <w:rsid w:val="00FE79DD"/>
    <w:rsid w:val="00FE7A1A"/>
    <w:rsid w:val="00FE7A20"/>
    <w:rsid w:val="00FE7AAE"/>
    <w:rsid w:val="00FE7BB5"/>
    <w:rsid w:val="00FE7BBC"/>
    <w:rsid w:val="00FE7C14"/>
    <w:rsid w:val="00FE7C8A"/>
    <w:rsid w:val="00FE7D15"/>
    <w:rsid w:val="00FE7D6C"/>
    <w:rsid w:val="00FE7DA3"/>
    <w:rsid w:val="00FE7DE3"/>
    <w:rsid w:val="00FE7E52"/>
    <w:rsid w:val="00FE7E99"/>
    <w:rsid w:val="00FE7ED4"/>
    <w:rsid w:val="00FE7F75"/>
    <w:rsid w:val="00FF0044"/>
    <w:rsid w:val="00FF0052"/>
    <w:rsid w:val="00FF007A"/>
    <w:rsid w:val="00FF007D"/>
    <w:rsid w:val="00FF009E"/>
    <w:rsid w:val="00FF0176"/>
    <w:rsid w:val="00FF0257"/>
    <w:rsid w:val="00FF02EB"/>
    <w:rsid w:val="00FF038E"/>
    <w:rsid w:val="00FF041A"/>
    <w:rsid w:val="00FF0451"/>
    <w:rsid w:val="00FF0476"/>
    <w:rsid w:val="00FF04C5"/>
    <w:rsid w:val="00FF058A"/>
    <w:rsid w:val="00FF05A2"/>
    <w:rsid w:val="00FF0635"/>
    <w:rsid w:val="00FF06B0"/>
    <w:rsid w:val="00FF0794"/>
    <w:rsid w:val="00FF0975"/>
    <w:rsid w:val="00FF0A3D"/>
    <w:rsid w:val="00FF0A85"/>
    <w:rsid w:val="00FF0AA7"/>
    <w:rsid w:val="00FF0AE5"/>
    <w:rsid w:val="00FF0B31"/>
    <w:rsid w:val="00FF0BB3"/>
    <w:rsid w:val="00FF0BCD"/>
    <w:rsid w:val="00FF0C1D"/>
    <w:rsid w:val="00FF0D52"/>
    <w:rsid w:val="00FF0D7D"/>
    <w:rsid w:val="00FF0DE8"/>
    <w:rsid w:val="00FF0DF4"/>
    <w:rsid w:val="00FF0E0A"/>
    <w:rsid w:val="00FF0E5C"/>
    <w:rsid w:val="00FF0E7D"/>
    <w:rsid w:val="00FF0E9F"/>
    <w:rsid w:val="00FF0F17"/>
    <w:rsid w:val="00FF0F2F"/>
    <w:rsid w:val="00FF0FED"/>
    <w:rsid w:val="00FF1035"/>
    <w:rsid w:val="00FF114C"/>
    <w:rsid w:val="00FF124D"/>
    <w:rsid w:val="00FF12E3"/>
    <w:rsid w:val="00FF1304"/>
    <w:rsid w:val="00FF1449"/>
    <w:rsid w:val="00FF14CF"/>
    <w:rsid w:val="00FF1505"/>
    <w:rsid w:val="00FF155F"/>
    <w:rsid w:val="00FF1564"/>
    <w:rsid w:val="00FF1670"/>
    <w:rsid w:val="00FF16AB"/>
    <w:rsid w:val="00FF172A"/>
    <w:rsid w:val="00FF176A"/>
    <w:rsid w:val="00FF17CD"/>
    <w:rsid w:val="00FF17F5"/>
    <w:rsid w:val="00FF18A3"/>
    <w:rsid w:val="00FF18B2"/>
    <w:rsid w:val="00FF18E9"/>
    <w:rsid w:val="00FF197D"/>
    <w:rsid w:val="00FF1995"/>
    <w:rsid w:val="00FF19A7"/>
    <w:rsid w:val="00FF19F1"/>
    <w:rsid w:val="00FF1A03"/>
    <w:rsid w:val="00FF1B16"/>
    <w:rsid w:val="00FF1D55"/>
    <w:rsid w:val="00FF1D6B"/>
    <w:rsid w:val="00FF1DC9"/>
    <w:rsid w:val="00FF1DEC"/>
    <w:rsid w:val="00FF1EA3"/>
    <w:rsid w:val="00FF1EAA"/>
    <w:rsid w:val="00FF1EC9"/>
    <w:rsid w:val="00FF1ED7"/>
    <w:rsid w:val="00FF1EEE"/>
    <w:rsid w:val="00FF1EF1"/>
    <w:rsid w:val="00FF1F3D"/>
    <w:rsid w:val="00FF1F44"/>
    <w:rsid w:val="00FF1F68"/>
    <w:rsid w:val="00FF1FB6"/>
    <w:rsid w:val="00FF1FBA"/>
    <w:rsid w:val="00FF1FCB"/>
    <w:rsid w:val="00FF2028"/>
    <w:rsid w:val="00FF20C6"/>
    <w:rsid w:val="00FF215B"/>
    <w:rsid w:val="00FF2239"/>
    <w:rsid w:val="00FF226F"/>
    <w:rsid w:val="00FF22AA"/>
    <w:rsid w:val="00FF22D3"/>
    <w:rsid w:val="00FF238A"/>
    <w:rsid w:val="00FF2409"/>
    <w:rsid w:val="00FF2479"/>
    <w:rsid w:val="00FF24A9"/>
    <w:rsid w:val="00FF24F8"/>
    <w:rsid w:val="00FF250F"/>
    <w:rsid w:val="00FF2512"/>
    <w:rsid w:val="00FF2520"/>
    <w:rsid w:val="00FF2670"/>
    <w:rsid w:val="00FF2681"/>
    <w:rsid w:val="00FF26B5"/>
    <w:rsid w:val="00FF273E"/>
    <w:rsid w:val="00FF2767"/>
    <w:rsid w:val="00FF276D"/>
    <w:rsid w:val="00FF2796"/>
    <w:rsid w:val="00FF27DA"/>
    <w:rsid w:val="00FF2809"/>
    <w:rsid w:val="00FF28C8"/>
    <w:rsid w:val="00FF28F9"/>
    <w:rsid w:val="00FF2962"/>
    <w:rsid w:val="00FF2A0A"/>
    <w:rsid w:val="00FF2ACB"/>
    <w:rsid w:val="00FF2B20"/>
    <w:rsid w:val="00FF2C2D"/>
    <w:rsid w:val="00FF2C47"/>
    <w:rsid w:val="00FF2C97"/>
    <w:rsid w:val="00FF2CC1"/>
    <w:rsid w:val="00FF2CF6"/>
    <w:rsid w:val="00FF2DC9"/>
    <w:rsid w:val="00FF2E24"/>
    <w:rsid w:val="00FF2E4F"/>
    <w:rsid w:val="00FF2EBD"/>
    <w:rsid w:val="00FF2F8B"/>
    <w:rsid w:val="00FF30E2"/>
    <w:rsid w:val="00FF315B"/>
    <w:rsid w:val="00FF324F"/>
    <w:rsid w:val="00FF32C7"/>
    <w:rsid w:val="00FF32CF"/>
    <w:rsid w:val="00FF33EF"/>
    <w:rsid w:val="00FF3410"/>
    <w:rsid w:val="00FF3485"/>
    <w:rsid w:val="00FF34C6"/>
    <w:rsid w:val="00FF350B"/>
    <w:rsid w:val="00FF3510"/>
    <w:rsid w:val="00FF3562"/>
    <w:rsid w:val="00FF3590"/>
    <w:rsid w:val="00FF3605"/>
    <w:rsid w:val="00FF3666"/>
    <w:rsid w:val="00FF368A"/>
    <w:rsid w:val="00FF369A"/>
    <w:rsid w:val="00FF370C"/>
    <w:rsid w:val="00FF3713"/>
    <w:rsid w:val="00FF3746"/>
    <w:rsid w:val="00FF3779"/>
    <w:rsid w:val="00FF3781"/>
    <w:rsid w:val="00FF3786"/>
    <w:rsid w:val="00FF3815"/>
    <w:rsid w:val="00FF395F"/>
    <w:rsid w:val="00FF397B"/>
    <w:rsid w:val="00FF3996"/>
    <w:rsid w:val="00FF39C6"/>
    <w:rsid w:val="00FF3A2D"/>
    <w:rsid w:val="00FF3A30"/>
    <w:rsid w:val="00FF3B90"/>
    <w:rsid w:val="00FF3C35"/>
    <w:rsid w:val="00FF3C40"/>
    <w:rsid w:val="00FF3D0A"/>
    <w:rsid w:val="00FF3D20"/>
    <w:rsid w:val="00FF3DD9"/>
    <w:rsid w:val="00FF3E09"/>
    <w:rsid w:val="00FF3E4C"/>
    <w:rsid w:val="00FF3E5F"/>
    <w:rsid w:val="00FF3E80"/>
    <w:rsid w:val="00FF3EBE"/>
    <w:rsid w:val="00FF3EC6"/>
    <w:rsid w:val="00FF3F30"/>
    <w:rsid w:val="00FF3F6E"/>
    <w:rsid w:val="00FF40B0"/>
    <w:rsid w:val="00FF40C5"/>
    <w:rsid w:val="00FF4103"/>
    <w:rsid w:val="00FF418B"/>
    <w:rsid w:val="00FF4221"/>
    <w:rsid w:val="00FF42B6"/>
    <w:rsid w:val="00FF437F"/>
    <w:rsid w:val="00FF44B5"/>
    <w:rsid w:val="00FF44E4"/>
    <w:rsid w:val="00FF4593"/>
    <w:rsid w:val="00FF460E"/>
    <w:rsid w:val="00FF4690"/>
    <w:rsid w:val="00FF46B9"/>
    <w:rsid w:val="00FF46CE"/>
    <w:rsid w:val="00FF46D7"/>
    <w:rsid w:val="00FF4778"/>
    <w:rsid w:val="00FF4791"/>
    <w:rsid w:val="00FF4792"/>
    <w:rsid w:val="00FF479C"/>
    <w:rsid w:val="00FF485F"/>
    <w:rsid w:val="00FF48B6"/>
    <w:rsid w:val="00FF48FA"/>
    <w:rsid w:val="00FF491D"/>
    <w:rsid w:val="00FF493D"/>
    <w:rsid w:val="00FF497D"/>
    <w:rsid w:val="00FF49F8"/>
    <w:rsid w:val="00FF4A70"/>
    <w:rsid w:val="00FF4A73"/>
    <w:rsid w:val="00FF4AF9"/>
    <w:rsid w:val="00FF4B04"/>
    <w:rsid w:val="00FF4D35"/>
    <w:rsid w:val="00FF4DC3"/>
    <w:rsid w:val="00FF4DF4"/>
    <w:rsid w:val="00FF4E16"/>
    <w:rsid w:val="00FF4E19"/>
    <w:rsid w:val="00FF4E7A"/>
    <w:rsid w:val="00FF4EB1"/>
    <w:rsid w:val="00FF4F6A"/>
    <w:rsid w:val="00FF4F78"/>
    <w:rsid w:val="00FF4FB3"/>
    <w:rsid w:val="00FF4FB4"/>
    <w:rsid w:val="00FF5060"/>
    <w:rsid w:val="00FF50CE"/>
    <w:rsid w:val="00FF51A4"/>
    <w:rsid w:val="00FF51FC"/>
    <w:rsid w:val="00FF529F"/>
    <w:rsid w:val="00FF52D5"/>
    <w:rsid w:val="00FF5373"/>
    <w:rsid w:val="00FF5388"/>
    <w:rsid w:val="00FF5394"/>
    <w:rsid w:val="00FF53C3"/>
    <w:rsid w:val="00FF53E0"/>
    <w:rsid w:val="00FF53F9"/>
    <w:rsid w:val="00FF541F"/>
    <w:rsid w:val="00FF5446"/>
    <w:rsid w:val="00FF547E"/>
    <w:rsid w:val="00FF54A2"/>
    <w:rsid w:val="00FF54CF"/>
    <w:rsid w:val="00FF5518"/>
    <w:rsid w:val="00FF5652"/>
    <w:rsid w:val="00FF56D3"/>
    <w:rsid w:val="00FF56E9"/>
    <w:rsid w:val="00FF5742"/>
    <w:rsid w:val="00FF57E1"/>
    <w:rsid w:val="00FF587E"/>
    <w:rsid w:val="00FF5899"/>
    <w:rsid w:val="00FF58D1"/>
    <w:rsid w:val="00FF5945"/>
    <w:rsid w:val="00FF5958"/>
    <w:rsid w:val="00FF595E"/>
    <w:rsid w:val="00FF599D"/>
    <w:rsid w:val="00FF59CF"/>
    <w:rsid w:val="00FF5A4F"/>
    <w:rsid w:val="00FF5A67"/>
    <w:rsid w:val="00FF5A89"/>
    <w:rsid w:val="00FF5ADE"/>
    <w:rsid w:val="00FF5AEF"/>
    <w:rsid w:val="00FF5C25"/>
    <w:rsid w:val="00FF5CD7"/>
    <w:rsid w:val="00FF5CE3"/>
    <w:rsid w:val="00FF5CEF"/>
    <w:rsid w:val="00FF5D01"/>
    <w:rsid w:val="00FF5D08"/>
    <w:rsid w:val="00FF5D1F"/>
    <w:rsid w:val="00FF5D6C"/>
    <w:rsid w:val="00FF5DBE"/>
    <w:rsid w:val="00FF5E61"/>
    <w:rsid w:val="00FF5E8F"/>
    <w:rsid w:val="00FF5F02"/>
    <w:rsid w:val="00FF5F0F"/>
    <w:rsid w:val="00FF5F87"/>
    <w:rsid w:val="00FF5FA5"/>
    <w:rsid w:val="00FF5FA8"/>
    <w:rsid w:val="00FF6000"/>
    <w:rsid w:val="00FF6129"/>
    <w:rsid w:val="00FF6180"/>
    <w:rsid w:val="00FF61D7"/>
    <w:rsid w:val="00FF621A"/>
    <w:rsid w:val="00FF622D"/>
    <w:rsid w:val="00FF62BD"/>
    <w:rsid w:val="00FF6359"/>
    <w:rsid w:val="00FF6361"/>
    <w:rsid w:val="00FF6495"/>
    <w:rsid w:val="00FF654E"/>
    <w:rsid w:val="00FF65B0"/>
    <w:rsid w:val="00FF65D9"/>
    <w:rsid w:val="00FF664D"/>
    <w:rsid w:val="00FF6690"/>
    <w:rsid w:val="00FF6691"/>
    <w:rsid w:val="00FF6700"/>
    <w:rsid w:val="00FF6772"/>
    <w:rsid w:val="00FF685F"/>
    <w:rsid w:val="00FF68C4"/>
    <w:rsid w:val="00FF6933"/>
    <w:rsid w:val="00FF69F1"/>
    <w:rsid w:val="00FF6A73"/>
    <w:rsid w:val="00FF6B42"/>
    <w:rsid w:val="00FF6B63"/>
    <w:rsid w:val="00FF6B75"/>
    <w:rsid w:val="00FF6B81"/>
    <w:rsid w:val="00FF6BCC"/>
    <w:rsid w:val="00FF6BF3"/>
    <w:rsid w:val="00FF6CA9"/>
    <w:rsid w:val="00FF6D32"/>
    <w:rsid w:val="00FF6E84"/>
    <w:rsid w:val="00FF6ED2"/>
    <w:rsid w:val="00FF6F22"/>
    <w:rsid w:val="00FF6F34"/>
    <w:rsid w:val="00FF6F8D"/>
    <w:rsid w:val="00FF703D"/>
    <w:rsid w:val="00FF70C1"/>
    <w:rsid w:val="00FF70FC"/>
    <w:rsid w:val="00FF71A9"/>
    <w:rsid w:val="00FF71BF"/>
    <w:rsid w:val="00FF71F5"/>
    <w:rsid w:val="00FF71FE"/>
    <w:rsid w:val="00FF7226"/>
    <w:rsid w:val="00FF728C"/>
    <w:rsid w:val="00FF73F5"/>
    <w:rsid w:val="00FF7439"/>
    <w:rsid w:val="00FF75E6"/>
    <w:rsid w:val="00FF769B"/>
    <w:rsid w:val="00FF76B3"/>
    <w:rsid w:val="00FF76B8"/>
    <w:rsid w:val="00FF76D0"/>
    <w:rsid w:val="00FF76EA"/>
    <w:rsid w:val="00FF7706"/>
    <w:rsid w:val="00FF77AE"/>
    <w:rsid w:val="00FF77B6"/>
    <w:rsid w:val="00FF7807"/>
    <w:rsid w:val="00FF7833"/>
    <w:rsid w:val="00FF7841"/>
    <w:rsid w:val="00FF78DD"/>
    <w:rsid w:val="00FF793C"/>
    <w:rsid w:val="00FF79BF"/>
    <w:rsid w:val="00FF79DC"/>
    <w:rsid w:val="00FF7ABC"/>
    <w:rsid w:val="00FF7B3C"/>
    <w:rsid w:val="00FF7B9F"/>
    <w:rsid w:val="00FF7D9E"/>
    <w:rsid w:val="00FF7E96"/>
    <w:rsid w:val="00FF7EA2"/>
    <w:rsid w:val="00FF7EFA"/>
    <w:rsid w:val="00FF7F51"/>
    <w:rsid w:val="00FF7F95"/>
    <w:rsid w:val="01042DA8"/>
    <w:rsid w:val="01106E9E"/>
    <w:rsid w:val="012D660E"/>
    <w:rsid w:val="013E8634"/>
    <w:rsid w:val="014637D0"/>
    <w:rsid w:val="015631BF"/>
    <w:rsid w:val="01695103"/>
    <w:rsid w:val="01768F28"/>
    <w:rsid w:val="0178D6FB"/>
    <w:rsid w:val="0185879A"/>
    <w:rsid w:val="01BED5FB"/>
    <w:rsid w:val="01CF2CDC"/>
    <w:rsid w:val="01D156C7"/>
    <w:rsid w:val="01DC48E3"/>
    <w:rsid w:val="01E7213D"/>
    <w:rsid w:val="01E94C44"/>
    <w:rsid w:val="01EFB5CA"/>
    <w:rsid w:val="01F73DAE"/>
    <w:rsid w:val="02035919"/>
    <w:rsid w:val="0229CE6D"/>
    <w:rsid w:val="022D9032"/>
    <w:rsid w:val="023F6E79"/>
    <w:rsid w:val="028C8BD8"/>
    <w:rsid w:val="0299FF4A"/>
    <w:rsid w:val="02B8AAD3"/>
    <w:rsid w:val="02BF69BA"/>
    <w:rsid w:val="02C1A8B6"/>
    <w:rsid w:val="02C3A27C"/>
    <w:rsid w:val="02CB5016"/>
    <w:rsid w:val="02E92B6E"/>
    <w:rsid w:val="02EF9881"/>
    <w:rsid w:val="02F0DD35"/>
    <w:rsid w:val="02F83A27"/>
    <w:rsid w:val="02FC8710"/>
    <w:rsid w:val="030BA776"/>
    <w:rsid w:val="0326ED28"/>
    <w:rsid w:val="034A34D3"/>
    <w:rsid w:val="0369EF34"/>
    <w:rsid w:val="036FC717"/>
    <w:rsid w:val="037FF107"/>
    <w:rsid w:val="038ACB0C"/>
    <w:rsid w:val="039458AA"/>
    <w:rsid w:val="039905F3"/>
    <w:rsid w:val="03BFD1B3"/>
    <w:rsid w:val="03C13A81"/>
    <w:rsid w:val="03C7A29F"/>
    <w:rsid w:val="03D1303D"/>
    <w:rsid w:val="03E08218"/>
    <w:rsid w:val="03EFCF31"/>
    <w:rsid w:val="04007E23"/>
    <w:rsid w:val="040FB083"/>
    <w:rsid w:val="0413D6F0"/>
    <w:rsid w:val="041D96FC"/>
    <w:rsid w:val="04218E79"/>
    <w:rsid w:val="04224D1B"/>
    <w:rsid w:val="042422C1"/>
    <w:rsid w:val="04313A4B"/>
    <w:rsid w:val="043AF7D6"/>
    <w:rsid w:val="04437BD9"/>
    <w:rsid w:val="044C4029"/>
    <w:rsid w:val="0462010B"/>
    <w:rsid w:val="04796D98"/>
    <w:rsid w:val="04A0A99E"/>
    <w:rsid w:val="04A0DC6F"/>
    <w:rsid w:val="04A73563"/>
    <w:rsid w:val="04BCC7E5"/>
    <w:rsid w:val="04BDC277"/>
    <w:rsid w:val="04EFB827"/>
    <w:rsid w:val="05111B10"/>
    <w:rsid w:val="051EB0CB"/>
    <w:rsid w:val="05205D9B"/>
    <w:rsid w:val="053EDB2D"/>
    <w:rsid w:val="054AF4EE"/>
    <w:rsid w:val="05612D20"/>
    <w:rsid w:val="056179C7"/>
    <w:rsid w:val="0563F8B0"/>
    <w:rsid w:val="05682DC5"/>
    <w:rsid w:val="05850A8E"/>
    <w:rsid w:val="059E3A03"/>
    <w:rsid w:val="05A93DD5"/>
    <w:rsid w:val="05B5EA75"/>
    <w:rsid w:val="05BBF713"/>
    <w:rsid w:val="05C362E7"/>
    <w:rsid w:val="05D32D38"/>
    <w:rsid w:val="05ED1EE3"/>
    <w:rsid w:val="05F9F42A"/>
    <w:rsid w:val="05FE0721"/>
    <w:rsid w:val="0611398D"/>
    <w:rsid w:val="062EAD08"/>
    <w:rsid w:val="0656F78F"/>
    <w:rsid w:val="06571FC8"/>
    <w:rsid w:val="065DE8F6"/>
    <w:rsid w:val="06745964"/>
    <w:rsid w:val="0681CAFD"/>
    <w:rsid w:val="0698A2F6"/>
    <w:rsid w:val="0699EBA8"/>
    <w:rsid w:val="06AFF76F"/>
    <w:rsid w:val="06EF2850"/>
    <w:rsid w:val="07052C1B"/>
    <w:rsid w:val="07052CD5"/>
    <w:rsid w:val="07176EA4"/>
    <w:rsid w:val="0718F972"/>
    <w:rsid w:val="072619C5"/>
    <w:rsid w:val="073A3E61"/>
    <w:rsid w:val="07839606"/>
    <w:rsid w:val="078BDDB2"/>
    <w:rsid w:val="07B0F389"/>
    <w:rsid w:val="07C436D7"/>
    <w:rsid w:val="07E1BC53"/>
    <w:rsid w:val="07E4B447"/>
    <w:rsid w:val="08214042"/>
    <w:rsid w:val="0834D51A"/>
    <w:rsid w:val="0835C6A1"/>
    <w:rsid w:val="083B63C3"/>
    <w:rsid w:val="08490549"/>
    <w:rsid w:val="084D24FF"/>
    <w:rsid w:val="08557E35"/>
    <w:rsid w:val="087492DB"/>
    <w:rsid w:val="0884D193"/>
    <w:rsid w:val="088D5487"/>
    <w:rsid w:val="0895841C"/>
    <w:rsid w:val="08B11191"/>
    <w:rsid w:val="08C07DCD"/>
    <w:rsid w:val="08C7AC9D"/>
    <w:rsid w:val="08DA8887"/>
    <w:rsid w:val="08E092C6"/>
    <w:rsid w:val="08F49E8C"/>
    <w:rsid w:val="09012D15"/>
    <w:rsid w:val="0908D5BC"/>
    <w:rsid w:val="091682A3"/>
    <w:rsid w:val="094B6A98"/>
    <w:rsid w:val="09559873"/>
    <w:rsid w:val="095C5709"/>
    <w:rsid w:val="095ECB99"/>
    <w:rsid w:val="096339F9"/>
    <w:rsid w:val="097516E0"/>
    <w:rsid w:val="09780B3D"/>
    <w:rsid w:val="097B0E11"/>
    <w:rsid w:val="0985416F"/>
    <w:rsid w:val="0999F506"/>
    <w:rsid w:val="099E6ECB"/>
    <w:rsid w:val="09B953B6"/>
    <w:rsid w:val="09BD10A3"/>
    <w:rsid w:val="09BF56AD"/>
    <w:rsid w:val="09D5AB11"/>
    <w:rsid w:val="0A098CA2"/>
    <w:rsid w:val="0A0C83D3"/>
    <w:rsid w:val="0A124354"/>
    <w:rsid w:val="0A298F30"/>
    <w:rsid w:val="0A456264"/>
    <w:rsid w:val="0A4BDDA0"/>
    <w:rsid w:val="0A5042EC"/>
    <w:rsid w:val="0A6A856A"/>
    <w:rsid w:val="0A833ABD"/>
    <w:rsid w:val="0A843F36"/>
    <w:rsid w:val="0A87760A"/>
    <w:rsid w:val="0A9210FB"/>
    <w:rsid w:val="0AB6E7DF"/>
    <w:rsid w:val="0AD565DC"/>
    <w:rsid w:val="0ADC43E6"/>
    <w:rsid w:val="0AEDF32A"/>
    <w:rsid w:val="0AEEF332"/>
    <w:rsid w:val="0AFB2DBF"/>
    <w:rsid w:val="0B03F35E"/>
    <w:rsid w:val="0B0A212F"/>
    <w:rsid w:val="0B492E31"/>
    <w:rsid w:val="0B790356"/>
    <w:rsid w:val="0B7FF295"/>
    <w:rsid w:val="0BA15551"/>
    <w:rsid w:val="0BAB04AD"/>
    <w:rsid w:val="0BAF6CF7"/>
    <w:rsid w:val="0BB9A103"/>
    <w:rsid w:val="0BBFE5BA"/>
    <w:rsid w:val="0BD6ADE2"/>
    <w:rsid w:val="0BFFA673"/>
    <w:rsid w:val="0C034B57"/>
    <w:rsid w:val="0C1D6257"/>
    <w:rsid w:val="0C20C25C"/>
    <w:rsid w:val="0C3D2111"/>
    <w:rsid w:val="0C4A7F4D"/>
    <w:rsid w:val="0C508265"/>
    <w:rsid w:val="0C6949B2"/>
    <w:rsid w:val="0C6F70D0"/>
    <w:rsid w:val="0C76887A"/>
    <w:rsid w:val="0CBD674B"/>
    <w:rsid w:val="0CD05C40"/>
    <w:rsid w:val="0CD409FD"/>
    <w:rsid w:val="0CD45DE9"/>
    <w:rsid w:val="0CE1E95C"/>
    <w:rsid w:val="0CFD4F2A"/>
    <w:rsid w:val="0D01734D"/>
    <w:rsid w:val="0D0355D9"/>
    <w:rsid w:val="0D0AE088"/>
    <w:rsid w:val="0D1575C7"/>
    <w:rsid w:val="0D6393D8"/>
    <w:rsid w:val="0D7D9791"/>
    <w:rsid w:val="0D888128"/>
    <w:rsid w:val="0D8AD375"/>
    <w:rsid w:val="0D9B0645"/>
    <w:rsid w:val="0DA3EB99"/>
    <w:rsid w:val="0DAE7F14"/>
    <w:rsid w:val="0DB9B14F"/>
    <w:rsid w:val="0DFBEE5F"/>
    <w:rsid w:val="0E05577C"/>
    <w:rsid w:val="0E1167A1"/>
    <w:rsid w:val="0E143473"/>
    <w:rsid w:val="0E17D2C1"/>
    <w:rsid w:val="0E197C18"/>
    <w:rsid w:val="0E239AB3"/>
    <w:rsid w:val="0E27C776"/>
    <w:rsid w:val="0E289773"/>
    <w:rsid w:val="0E296B59"/>
    <w:rsid w:val="0E299E2A"/>
    <w:rsid w:val="0E2AB6EF"/>
    <w:rsid w:val="0E38A6D7"/>
    <w:rsid w:val="0E5981DA"/>
    <w:rsid w:val="0E650964"/>
    <w:rsid w:val="0E671019"/>
    <w:rsid w:val="0E752554"/>
    <w:rsid w:val="0E7B91D2"/>
    <w:rsid w:val="0E7E92D1"/>
    <w:rsid w:val="0E8E3DA8"/>
    <w:rsid w:val="0E8FD0A6"/>
    <w:rsid w:val="0E994223"/>
    <w:rsid w:val="0EA2786F"/>
    <w:rsid w:val="0EBF5E32"/>
    <w:rsid w:val="0EC055F0"/>
    <w:rsid w:val="0EE3B0B8"/>
    <w:rsid w:val="0EE934CB"/>
    <w:rsid w:val="0EF6A1BE"/>
    <w:rsid w:val="0EFF9AA1"/>
    <w:rsid w:val="0F037C5F"/>
    <w:rsid w:val="0F07FA4A"/>
    <w:rsid w:val="0F15891B"/>
    <w:rsid w:val="0F160077"/>
    <w:rsid w:val="0F243FEE"/>
    <w:rsid w:val="0F38BAC9"/>
    <w:rsid w:val="0F4BB136"/>
    <w:rsid w:val="0F6784F4"/>
    <w:rsid w:val="0F6826F0"/>
    <w:rsid w:val="0F6C607C"/>
    <w:rsid w:val="0F7E00F5"/>
    <w:rsid w:val="0F820E17"/>
    <w:rsid w:val="0F857D32"/>
    <w:rsid w:val="0F8A849E"/>
    <w:rsid w:val="0F96AAA1"/>
    <w:rsid w:val="0F9BCB08"/>
    <w:rsid w:val="0FA24B3A"/>
    <w:rsid w:val="0FA6A859"/>
    <w:rsid w:val="0FACE08A"/>
    <w:rsid w:val="0FB17411"/>
    <w:rsid w:val="0FC52D8B"/>
    <w:rsid w:val="0FC88B21"/>
    <w:rsid w:val="0FCE8A06"/>
    <w:rsid w:val="0FE31444"/>
    <w:rsid w:val="102120CD"/>
    <w:rsid w:val="10297691"/>
    <w:rsid w:val="10420776"/>
    <w:rsid w:val="105A3E4C"/>
    <w:rsid w:val="10A42C6E"/>
    <w:rsid w:val="10BBE872"/>
    <w:rsid w:val="10C407CE"/>
    <w:rsid w:val="10C6000C"/>
    <w:rsid w:val="10C94CF1"/>
    <w:rsid w:val="10DE5E20"/>
    <w:rsid w:val="10F9DEBC"/>
    <w:rsid w:val="10FC64E9"/>
    <w:rsid w:val="1105D78F"/>
    <w:rsid w:val="110FEB92"/>
    <w:rsid w:val="11145F62"/>
    <w:rsid w:val="111D21D7"/>
    <w:rsid w:val="1126429D"/>
    <w:rsid w:val="113C9397"/>
    <w:rsid w:val="114A336F"/>
    <w:rsid w:val="11595545"/>
    <w:rsid w:val="116CDF85"/>
    <w:rsid w:val="11905853"/>
    <w:rsid w:val="11908B24"/>
    <w:rsid w:val="11AA8066"/>
    <w:rsid w:val="11AF543A"/>
    <w:rsid w:val="11C3714C"/>
    <w:rsid w:val="11DD62F7"/>
    <w:rsid w:val="11E70D85"/>
    <w:rsid w:val="11F3B0CD"/>
    <w:rsid w:val="11F40745"/>
    <w:rsid w:val="11F5DEC0"/>
    <w:rsid w:val="1207D569"/>
    <w:rsid w:val="121064FF"/>
    <w:rsid w:val="12115686"/>
    <w:rsid w:val="1212FF4D"/>
    <w:rsid w:val="12536E48"/>
    <w:rsid w:val="1260AFF4"/>
    <w:rsid w:val="12646BB6"/>
    <w:rsid w:val="126B1132"/>
    <w:rsid w:val="12784C6E"/>
    <w:rsid w:val="127D3BED"/>
    <w:rsid w:val="127ECD9B"/>
    <w:rsid w:val="1284CB86"/>
    <w:rsid w:val="129899F1"/>
    <w:rsid w:val="12AC252C"/>
    <w:rsid w:val="12BBFAAB"/>
    <w:rsid w:val="12BD959F"/>
    <w:rsid w:val="12C0E40E"/>
    <w:rsid w:val="12F4B894"/>
    <w:rsid w:val="12FE5AE3"/>
    <w:rsid w:val="12FF5205"/>
    <w:rsid w:val="130F1845"/>
    <w:rsid w:val="131736AD"/>
    <w:rsid w:val="131BB125"/>
    <w:rsid w:val="134A7FA7"/>
    <w:rsid w:val="13645790"/>
    <w:rsid w:val="1367A3A7"/>
    <w:rsid w:val="136836F9"/>
    <w:rsid w:val="136E61AE"/>
    <w:rsid w:val="1386E25A"/>
    <w:rsid w:val="138D79C6"/>
    <w:rsid w:val="1397D63F"/>
    <w:rsid w:val="139C287E"/>
    <w:rsid w:val="139E865E"/>
    <w:rsid w:val="139F4C15"/>
    <w:rsid w:val="13A0165E"/>
    <w:rsid w:val="13A03C8D"/>
    <w:rsid w:val="13A10D18"/>
    <w:rsid w:val="13BA6BA1"/>
    <w:rsid w:val="13C59625"/>
    <w:rsid w:val="13CE5D11"/>
    <w:rsid w:val="13D3706B"/>
    <w:rsid w:val="13F0C6AD"/>
    <w:rsid w:val="13F50309"/>
    <w:rsid w:val="13FAB9ED"/>
    <w:rsid w:val="13FD6AC1"/>
    <w:rsid w:val="14045D65"/>
    <w:rsid w:val="141854F8"/>
    <w:rsid w:val="1426897A"/>
    <w:rsid w:val="142E3221"/>
    <w:rsid w:val="144346B3"/>
    <w:rsid w:val="1445E9F2"/>
    <w:rsid w:val="147585F5"/>
    <w:rsid w:val="1479765D"/>
    <w:rsid w:val="148A2B2E"/>
    <w:rsid w:val="148C179B"/>
    <w:rsid w:val="14A83A47"/>
    <w:rsid w:val="14B875DB"/>
    <w:rsid w:val="14B8EDDB"/>
    <w:rsid w:val="14BFB790"/>
    <w:rsid w:val="14C1E405"/>
    <w:rsid w:val="14C88436"/>
    <w:rsid w:val="14ECB48F"/>
    <w:rsid w:val="14F05198"/>
    <w:rsid w:val="15059AF1"/>
    <w:rsid w:val="1505CCC7"/>
    <w:rsid w:val="150A8C1E"/>
    <w:rsid w:val="1522F445"/>
    <w:rsid w:val="15362339"/>
    <w:rsid w:val="15384B12"/>
    <w:rsid w:val="153CC2BA"/>
    <w:rsid w:val="153DFBA3"/>
    <w:rsid w:val="154280B3"/>
    <w:rsid w:val="15586BB7"/>
    <w:rsid w:val="1576C519"/>
    <w:rsid w:val="157AA065"/>
    <w:rsid w:val="158136AE"/>
    <w:rsid w:val="1581DD64"/>
    <w:rsid w:val="158BBD87"/>
    <w:rsid w:val="15B294E6"/>
    <w:rsid w:val="15D3C135"/>
    <w:rsid w:val="15D9A7ED"/>
    <w:rsid w:val="15E3A099"/>
    <w:rsid w:val="15F6618B"/>
    <w:rsid w:val="160310D7"/>
    <w:rsid w:val="16048E43"/>
    <w:rsid w:val="16109B37"/>
    <w:rsid w:val="1621CB76"/>
    <w:rsid w:val="16307697"/>
    <w:rsid w:val="163ABC5C"/>
    <w:rsid w:val="163BF96C"/>
    <w:rsid w:val="16418774"/>
    <w:rsid w:val="1645AD7D"/>
    <w:rsid w:val="165158AE"/>
    <w:rsid w:val="1655E89E"/>
    <w:rsid w:val="165950CC"/>
    <w:rsid w:val="166373F9"/>
    <w:rsid w:val="16707C59"/>
    <w:rsid w:val="16760167"/>
    <w:rsid w:val="1676F1DF"/>
    <w:rsid w:val="167AFD2C"/>
    <w:rsid w:val="167DA5F1"/>
    <w:rsid w:val="168F9202"/>
    <w:rsid w:val="1691A06B"/>
    <w:rsid w:val="16C1C7FF"/>
    <w:rsid w:val="16DF429B"/>
    <w:rsid w:val="16E37EF7"/>
    <w:rsid w:val="16E805FE"/>
    <w:rsid w:val="170224EC"/>
    <w:rsid w:val="170535EF"/>
    <w:rsid w:val="17156A0F"/>
    <w:rsid w:val="17179CD2"/>
    <w:rsid w:val="171FAD04"/>
    <w:rsid w:val="1720DBF4"/>
    <w:rsid w:val="174EC9EE"/>
    <w:rsid w:val="17763A11"/>
    <w:rsid w:val="1777A532"/>
    <w:rsid w:val="1786B4FA"/>
    <w:rsid w:val="17A993E1"/>
    <w:rsid w:val="17B0E2AA"/>
    <w:rsid w:val="17B4BDC5"/>
    <w:rsid w:val="17B517D4"/>
    <w:rsid w:val="17BCFCEA"/>
    <w:rsid w:val="17C152B3"/>
    <w:rsid w:val="17C3BF5E"/>
    <w:rsid w:val="17C8BB23"/>
    <w:rsid w:val="17D42B74"/>
    <w:rsid w:val="17E96858"/>
    <w:rsid w:val="17F4FCD3"/>
    <w:rsid w:val="17F8BB79"/>
    <w:rsid w:val="1801AF2A"/>
    <w:rsid w:val="181A7D86"/>
    <w:rsid w:val="18277C7F"/>
    <w:rsid w:val="183B8025"/>
    <w:rsid w:val="184F27C4"/>
    <w:rsid w:val="184F599A"/>
    <w:rsid w:val="184F8F4F"/>
    <w:rsid w:val="186510EE"/>
    <w:rsid w:val="1876F687"/>
    <w:rsid w:val="1879283A"/>
    <w:rsid w:val="18829AE0"/>
    <w:rsid w:val="18831048"/>
    <w:rsid w:val="1891841A"/>
    <w:rsid w:val="18D09E0C"/>
    <w:rsid w:val="18E6546A"/>
    <w:rsid w:val="19119594"/>
    <w:rsid w:val="1919E8A9"/>
    <w:rsid w:val="1932F6E4"/>
    <w:rsid w:val="1953C1B0"/>
    <w:rsid w:val="19570823"/>
    <w:rsid w:val="195F9356"/>
    <w:rsid w:val="196B696E"/>
    <w:rsid w:val="197A8BB8"/>
    <w:rsid w:val="19826905"/>
    <w:rsid w:val="19887823"/>
    <w:rsid w:val="198C51FB"/>
    <w:rsid w:val="198E2DB1"/>
    <w:rsid w:val="19949D1E"/>
    <w:rsid w:val="1995AC53"/>
    <w:rsid w:val="19BBF6D2"/>
    <w:rsid w:val="19BF5E4D"/>
    <w:rsid w:val="19C0B373"/>
    <w:rsid w:val="19C38C32"/>
    <w:rsid w:val="19F08AAF"/>
    <w:rsid w:val="1A1397D5"/>
    <w:rsid w:val="1A159A27"/>
    <w:rsid w:val="1A3992DD"/>
    <w:rsid w:val="1A5E5040"/>
    <w:rsid w:val="1A6DB733"/>
    <w:rsid w:val="1A86B685"/>
    <w:rsid w:val="1A8CA10C"/>
    <w:rsid w:val="1A96C71D"/>
    <w:rsid w:val="1A9BE00E"/>
    <w:rsid w:val="1AA09AD3"/>
    <w:rsid w:val="1AAFC45D"/>
    <w:rsid w:val="1AB34203"/>
    <w:rsid w:val="1ABBACEA"/>
    <w:rsid w:val="1B09BE5C"/>
    <w:rsid w:val="1B1E89EC"/>
    <w:rsid w:val="1B383B4A"/>
    <w:rsid w:val="1B390861"/>
    <w:rsid w:val="1B4F3406"/>
    <w:rsid w:val="1B52284F"/>
    <w:rsid w:val="1B53A6CA"/>
    <w:rsid w:val="1B7884F0"/>
    <w:rsid w:val="1BB67B8E"/>
    <w:rsid w:val="1BCFB3B7"/>
    <w:rsid w:val="1BDA3011"/>
    <w:rsid w:val="1BE484A8"/>
    <w:rsid w:val="1BE4D0AC"/>
    <w:rsid w:val="1BF4AEA5"/>
    <w:rsid w:val="1BFF2D9A"/>
    <w:rsid w:val="1C09633A"/>
    <w:rsid w:val="1C0F3E78"/>
    <w:rsid w:val="1C375CDB"/>
    <w:rsid w:val="1C414CE6"/>
    <w:rsid w:val="1C42B26A"/>
    <w:rsid w:val="1C43A25D"/>
    <w:rsid w:val="1C465F41"/>
    <w:rsid w:val="1C535FE9"/>
    <w:rsid w:val="1C75DD21"/>
    <w:rsid w:val="1C8AD6A6"/>
    <w:rsid w:val="1C91EF57"/>
    <w:rsid w:val="1C95C319"/>
    <w:rsid w:val="1CCBC19F"/>
    <w:rsid w:val="1CD039A8"/>
    <w:rsid w:val="1CD57804"/>
    <w:rsid w:val="1CE8B5B1"/>
    <w:rsid w:val="1D02BF5C"/>
    <w:rsid w:val="1D0E90F1"/>
    <w:rsid w:val="1D40D9AF"/>
    <w:rsid w:val="1D41A9FE"/>
    <w:rsid w:val="1D485A61"/>
    <w:rsid w:val="1D5A047B"/>
    <w:rsid w:val="1D5D6F8D"/>
    <w:rsid w:val="1D5D81A9"/>
    <w:rsid w:val="1D6279B3"/>
    <w:rsid w:val="1D628EA8"/>
    <w:rsid w:val="1D86F656"/>
    <w:rsid w:val="1D97023D"/>
    <w:rsid w:val="1D996F5B"/>
    <w:rsid w:val="1DA01175"/>
    <w:rsid w:val="1DC53A56"/>
    <w:rsid w:val="1DC6AA46"/>
    <w:rsid w:val="1DCBE697"/>
    <w:rsid w:val="1DD284C2"/>
    <w:rsid w:val="1DE15AA7"/>
    <w:rsid w:val="1DEC876F"/>
    <w:rsid w:val="1DF01BDD"/>
    <w:rsid w:val="1E0A45C2"/>
    <w:rsid w:val="1E3E559B"/>
    <w:rsid w:val="1E655ED0"/>
    <w:rsid w:val="1E78137C"/>
    <w:rsid w:val="1E80D031"/>
    <w:rsid w:val="1E8A9E06"/>
    <w:rsid w:val="1E8D96F5"/>
    <w:rsid w:val="1E903FBA"/>
    <w:rsid w:val="1EA688EA"/>
    <w:rsid w:val="1EB8F648"/>
    <w:rsid w:val="1EC850F5"/>
    <w:rsid w:val="1ED46C60"/>
    <w:rsid w:val="1EECFA61"/>
    <w:rsid w:val="1EF32281"/>
    <w:rsid w:val="1EFE260E"/>
    <w:rsid w:val="1F16ED5B"/>
    <w:rsid w:val="1F17B312"/>
    <w:rsid w:val="1F25F98C"/>
    <w:rsid w:val="1F27F3AB"/>
    <w:rsid w:val="1F2EB060"/>
    <w:rsid w:val="1F31D67F"/>
    <w:rsid w:val="1F5F7AB7"/>
    <w:rsid w:val="1F653296"/>
    <w:rsid w:val="1F7F5AA9"/>
    <w:rsid w:val="1F82B111"/>
    <w:rsid w:val="1F8C83CC"/>
    <w:rsid w:val="1F918867"/>
    <w:rsid w:val="1FA07597"/>
    <w:rsid w:val="1FB3A570"/>
    <w:rsid w:val="1FC5E0A0"/>
    <w:rsid w:val="1FCBF36D"/>
    <w:rsid w:val="1FCD31CE"/>
    <w:rsid w:val="1FD99AD3"/>
    <w:rsid w:val="1FE3623E"/>
    <w:rsid w:val="1FEC2785"/>
    <w:rsid w:val="1FED1E40"/>
    <w:rsid w:val="1FF25CD2"/>
    <w:rsid w:val="1FF8AB2E"/>
    <w:rsid w:val="2013D661"/>
    <w:rsid w:val="201828E8"/>
    <w:rsid w:val="204D2503"/>
    <w:rsid w:val="204FEDBB"/>
    <w:rsid w:val="205DD694"/>
    <w:rsid w:val="20699347"/>
    <w:rsid w:val="207039DD"/>
    <w:rsid w:val="2092E25C"/>
    <w:rsid w:val="209FF9E6"/>
    <w:rsid w:val="20B1268E"/>
    <w:rsid w:val="20C21417"/>
    <w:rsid w:val="20CBB348"/>
    <w:rsid w:val="20E22E4E"/>
    <w:rsid w:val="20E28FE6"/>
    <w:rsid w:val="20E3F74C"/>
    <w:rsid w:val="20E4715D"/>
    <w:rsid w:val="20FA8C62"/>
    <w:rsid w:val="210ADBCC"/>
    <w:rsid w:val="211A2B25"/>
    <w:rsid w:val="211C3BA6"/>
    <w:rsid w:val="211E8778"/>
    <w:rsid w:val="21397FDA"/>
    <w:rsid w:val="214856CB"/>
    <w:rsid w:val="2160890F"/>
    <w:rsid w:val="216D0C7D"/>
    <w:rsid w:val="216DD701"/>
    <w:rsid w:val="217C778A"/>
    <w:rsid w:val="2192E7F8"/>
    <w:rsid w:val="21A749FD"/>
    <w:rsid w:val="21A7AEA4"/>
    <w:rsid w:val="21D7A87F"/>
    <w:rsid w:val="21DB8D54"/>
    <w:rsid w:val="21DE6395"/>
    <w:rsid w:val="21EB2073"/>
    <w:rsid w:val="21F5F3DF"/>
    <w:rsid w:val="2201854E"/>
    <w:rsid w:val="2218E743"/>
    <w:rsid w:val="22191A14"/>
    <w:rsid w:val="2229199B"/>
    <w:rsid w:val="2243175C"/>
    <w:rsid w:val="22454B64"/>
    <w:rsid w:val="225D02D6"/>
    <w:rsid w:val="226EF1CB"/>
    <w:rsid w:val="22762B33"/>
    <w:rsid w:val="2278C581"/>
    <w:rsid w:val="2280B69E"/>
    <w:rsid w:val="229273D6"/>
    <w:rsid w:val="229F4118"/>
    <w:rsid w:val="22A43303"/>
    <w:rsid w:val="22AC9267"/>
    <w:rsid w:val="22BB0BF7"/>
    <w:rsid w:val="22BB8A60"/>
    <w:rsid w:val="22C06112"/>
    <w:rsid w:val="22C87D90"/>
    <w:rsid w:val="22E73C4C"/>
    <w:rsid w:val="22F94450"/>
    <w:rsid w:val="230600BC"/>
    <w:rsid w:val="230874DB"/>
    <w:rsid w:val="2315DACD"/>
    <w:rsid w:val="232675D7"/>
    <w:rsid w:val="2333D42E"/>
    <w:rsid w:val="2335D60D"/>
    <w:rsid w:val="2336FEF3"/>
    <w:rsid w:val="2352260E"/>
    <w:rsid w:val="235BA59C"/>
    <w:rsid w:val="235E4591"/>
    <w:rsid w:val="23659A2F"/>
    <w:rsid w:val="2376CD2D"/>
    <w:rsid w:val="238AA103"/>
    <w:rsid w:val="238C710A"/>
    <w:rsid w:val="238EA7AA"/>
    <w:rsid w:val="23C32E0B"/>
    <w:rsid w:val="23C48B2E"/>
    <w:rsid w:val="23F7A447"/>
    <w:rsid w:val="23FA309B"/>
    <w:rsid w:val="24013393"/>
    <w:rsid w:val="24049692"/>
    <w:rsid w:val="242288C8"/>
    <w:rsid w:val="246521D7"/>
    <w:rsid w:val="24673F6A"/>
    <w:rsid w:val="249C2D4E"/>
    <w:rsid w:val="24A47BA4"/>
    <w:rsid w:val="24D1EABF"/>
    <w:rsid w:val="24D84538"/>
    <w:rsid w:val="24D9638F"/>
    <w:rsid w:val="25141330"/>
    <w:rsid w:val="2526319A"/>
    <w:rsid w:val="2530C667"/>
    <w:rsid w:val="253871BD"/>
    <w:rsid w:val="2554CC01"/>
    <w:rsid w:val="255C5F8C"/>
    <w:rsid w:val="25E89EA8"/>
    <w:rsid w:val="25E93620"/>
    <w:rsid w:val="25F27704"/>
    <w:rsid w:val="25FBFFE0"/>
    <w:rsid w:val="25FD1B7E"/>
    <w:rsid w:val="2614C711"/>
    <w:rsid w:val="261D0C0E"/>
    <w:rsid w:val="261F7BCD"/>
    <w:rsid w:val="26348603"/>
    <w:rsid w:val="263A57B8"/>
    <w:rsid w:val="26461914"/>
    <w:rsid w:val="26587AA7"/>
    <w:rsid w:val="265FA8FC"/>
    <w:rsid w:val="2665CD36"/>
    <w:rsid w:val="266ED987"/>
    <w:rsid w:val="267F2A4D"/>
    <w:rsid w:val="26949309"/>
    <w:rsid w:val="2696DEDB"/>
    <w:rsid w:val="26C0541F"/>
    <w:rsid w:val="26C0B7D8"/>
    <w:rsid w:val="26C244FE"/>
    <w:rsid w:val="26D21BD6"/>
    <w:rsid w:val="26E5A563"/>
    <w:rsid w:val="270610C5"/>
    <w:rsid w:val="271E9AA9"/>
    <w:rsid w:val="273911BE"/>
    <w:rsid w:val="27395D9E"/>
    <w:rsid w:val="274C8C80"/>
    <w:rsid w:val="27537CEC"/>
    <w:rsid w:val="27584777"/>
    <w:rsid w:val="276BC908"/>
    <w:rsid w:val="277C3D95"/>
    <w:rsid w:val="27A1D0F2"/>
    <w:rsid w:val="27A58E89"/>
    <w:rsid w:val="27B17CC4"/>
    <w:rsid w:val="27D76F1D"/>
    <w:rsid w:val="27E8F052"/>
    <w:rsid w:val="27F25AFE"/>
    <w:rsid w:val="27F5F396"/>
    <w:rsid w:val="27F94B6A"/>
    <w:rsid w:val="28105495"/>
    <w:rsid w:val="283D887B"/>
    <w:rsid w:val="2841C396"/>
    <w:rsid w:val="28809367"/>
    <w:rsid w:val="2885375E"/>
    <w:rsid w:val="288DA32B"/>
    <w:rsid w:val="2890DCB7"/>
    <w:rsid w:val="2892163F"/>
    <w:rsid w:val="28A39BE7"/>
    <w:rsid w:val="28B41917"/>
    <w:rsid w:val="28B904A3"/>
    <w:rsid w:val="28BD5AC1"/>
    <w:rsid w:val="28C41633"/>
    <w:rsid w:val="28CEF773"/>
    <w:rsid w:val="28D0B71E"/>
    <w:rsid w:val="28DE4079"/>
    <w:rsid w:val="28E979C1"/>
    <w:rsid w:val="28EAA8C9"/>
    <w:rsid w:val="28F9959A"/>
    <w:rsid w:val="29059E47"/>
    <w:rsid w:val="295F9C2F"/>
    <w:rsid w:val="2965E953"/>
    <w:rsid w:val="2967A46F"/>
    <w:rsid w:val="297AEF9B"/>
    <w:rsid w:val="29956A47"/>
    <w:rsid w:val="2998170E"/>
    <w:rsid w:val="29A52A96"/>
    <w:rsid w:val="29C88B50"/>
    <w:rsid w:val="29E33A5B"/>
    <w:rsid w:val="29E4B949"/>
    <w:rsid w:val="29F10475"/>
    <w:rsid w:val="29F1CEBE"/>
    <w:rsid w:val="29F6531B"/>
    <w:rsid w:val="29FDA82E"/>
    <w:rsid w:val="2A06A002"/>
    <w:rsid w:val="2A1119A7"/>
    <w:rsid w:val="2A57D603"/>
    <w:rsid w:val="2A640098"/>
    <w:rsid w:val="2A6E4CEC"/>
    <w:rsid w:val="2A764F8E"/>
    <w:rsid w:val="2A81636B"/>
    <w:rsid w:val="2A930E58"/>
    <w:rsid w:val="2A9E88A0"/>
    <w:rsid w:val="2AB71336"/>
    <w:rsid w:val="2AB98BBC"/>
    <w:rsid w:val="2ACBB534"/>
    <w:rsid w:val="2AEBF53D"/>
    <w:rsid w:val="2B083FC5"/>
    <w:rsid w:val="2B129634"/>
    <w:rsid w:val="2B249358"/>
    <w:rsid w:val="2B2DEC3C"/>
    <w:rsid w:val="2B417FC7"/>
    <w:rsid w:val="2B4F989C"/>
    <w:rsid w:val="2B50C2FA"/>
    <w:rsid w:val="2B63211A"/>
    <w:rsid w:val="2B63E0DF"/>
    <w:rsid w:val="2B6F2485"/>
    <w:rsid w:val="2B82169A"/>
    <w:rsid w:val="2BA6D119"/>
    <w:rsid w:val="2BB4CAEC"/>
    <w:rsid w:val="2BCF0C22"/>
    <w:rsid w:val="2C002676"/>
    <w:rsid w:val="2C0329FD"/>
    <w:rsid w:val="2C2B0AF7"/>
    <w:rsid w:val="2C4739A9"/>
    <w:rsid w:val="2C728420"/>
    <w:rsid w:val="2C72B5F6"/>
    <w:rsid w:val="2CB5B4A7"/>
    <w:rsid w:val="2CC5B5F6"/>
    <w:rsid w:val="2CCED872"/>
    <w:rsid w:val="2CDEC1AD"/>
    <w:rsid w:val="2CFF19C8"/>
    <w:rsid w:val="2CFF949A"/>
    <w:rsid w:val="2D285890"/>
    <w:rsid w:val="2D5DCF91"/>
    <w:rsid w:val="2D9AA440"/>
    <w:rsid w:val="2DA80B41"/>
    <w:rsid w:val="2DAC4104"/>
    <w:rsid w:val="2DB06AEA"/>
    <w:rsid w:val="2DB12AE6"/>
    <w:rsid w:val="2DBAB4EA"/>
    <w:rsid w:val="2DCF10DF"/>
    <w:rsid w:val="2DD7F87A"/>
    <w:rsid w:val="2DDFF1A7"/>
    <w:rsid w:val="2DE1BB88"/>
    <w:rsid w:val="2DE2F297"/>
    <w:rsid w:val="2DF1A04F"/>
    <w:rsid w:val="2DF3081C"/>
    <w:rsid w:val="2E1E512A"/>
    <w:rsid w:val="2E3F7FE8"/>
    <w:rsid w:val="2E41D235"/>
    <w:rsid w:val="2E4393F7"/>
    <w:rsid w:val="2E53A484"/>
    <w:rsid w:val="2E6A3F06"/>
    <w:rsid w:val="2E845C06"/>
    <w:rsid w:val="2EA74D95"/>
    <w:rsid w:val="2EB44209"/>
    <w:rsid w:val="2EC7922E"/>
    <w:rsid w:val="2ECF85BA"/>
    <w:rsid w:val="2EDACFDB"/>
    <w:rsid w:val="2EE39242"/>
    <w:rsid w:val="2F155805"/>
    <w:rsid w:val="2F4F0586"/>
    <w:rsid w:val="2F50511C"/>
    <w:rsid w:val="2F5F99CB"/>
    <w:rsid w:val="2F7A29BE"/>
    <w:rsid w:val="2F7FE8EC"/>
    <w:rsid w:val="2FB37DC6"/>
    <w:rsid w:val="2FB8C470"/>
    <w:rsid w:val="2FEB039D"/>
    <w:rsid w:val="2FF3BCD4"/>
    <w:rsid w:val="300F0C61"/>
    <w:rsid w:val="30197A73"/>
    <w:rsid w:val="3019B142"/>
    <w:rsid w:val="3023173B"/>
    <w:rsid w:val="30246A85"/>
    <w:rsid w:val="30333DDF"/>
    <w:rsid w:val="304CAD42"/>
    <w:rsid w:val="30787FB3"/>
    <w:rsid w:val="307A6161"/>
    <w:rsid w:val="307AC66B"/>
    <w:rsid w:val="3095C3E7"/>
    <w:rsid w:val="309722D8"/>
    <w:rsid w:val="30B45843"/>
    <w:rsid w:val="30CF5CC0"/>
    <w:rsid w:val="3100D716"/>
    <w:rsid w:val="311510E2"/>
    <w:rsid w:val="3125E965"/>
    <w:rsid w:val="312A0A5F"/>
    <w:rsid w:val="31325C8C"/>
    <w:rsid w:val="313D00D3"/>
    <w:rsid w:val="316A0D17"/>
    <w:rsid w:val="3171B93D"/>
    <w:rsid w:val="318FE8FD"/>
    <w:rsid w:val="319503CC"/>
    <w:rsid w:val="31D7A0FF"/>
    <w:rsid w:val="31E12331"/>
    <w:rsid w:val="31E227DD"/>
    <w:rsid w:val="31E2B18F"/>
    <w:rsid w:val="32098D86"/>
    <w:rsid w:val="3225AAA0"/>
    <w:rsid w:val="323AAA06"/>
    <w:rsid w:val="325252B8"/>
    <w:rsid w:val="326710EE"/>
    <w:rsid w:val="32781003"/>
    <w:rsid w:val="32C1BA57"/>
    <w:rsid w:val="32C9FA76"/>
    <w:rsid w:val="32CF5BDD"/>
    <w:rsid w:val="32DB0B6D"/>
    <w:rsid w:val="32DC915C"/>
    <w:rsid w:val="32DFC6DA"/>
    <w:rsid w:val="32FC4EC7"/>
    <w:rsid w:val="330EE5BE"/>
    <w:rsid w:val="3313090B"/>
    <w:rsid w:val="3316A00F"/>
    <w:rsid w:val="33267989"/>
    <w:rsid w:val="332AAD0F"/>
    <w:rsid w:val="332E918E"/>
    <w:rsid w:val="332FD151"/>
    <w:rsid w:val="3356B573"/>
    <w:rsid w:val="3356EEBF"/>
    <w:rsid w:val="3363D094"/>
    <w:rsid w:val="336587D2"/>
    <w:rsid w:val="33711693"/>
    <w:rsid w:val="338126D6"/>
    <w:rsid w:val="33A8BCEB"/>
    <w:rsid w:val="33D05FCB"/>
    <w:rsid w:val="33E702C0"/>
    <w:rsid w:val="33EE25FD"/>
    <w:rsid w:val="33FA879D"/>
    <w:rsid w:val="33FD8959"/>
    <w:rsid w:val="341A73F3"/>
    <w:rsid w:val="341B1603"/>
    <w:rsid w:val="342E54AB"/>
    <w:rsid w:val="34392331"/>
    <w:rsid w:val="3446E0FE"/>
    <w:rsid w:val="3456984D"/>
    <w:rsid w:val="345ADE5C"/>
    <w:rsid w:val="345C62B5"/>
    <w:rsid w:val="34626640"/>
    <w:rsid w:val="3467913F"/>
    <w:rsid w:val="34724051"/>
    <w:rsid w:val="347D3EDA"/>
    <w:rsid w:val="34817743"/>
    <w:rsid w:val="34900A64"/>
    <w:rsid w:val="34913C38"/>
    <w:rsid w:val="34A4DF87"/>
    <w:rsid w:val="34A8C287"/>
    <w:rsid w:val="34B046D4"/>
    <w:rsid w:val="34B3BBF9"/>
    <w:rsid w:val="34B51806"/>
    <w:rsid w:val="34CDA0AD"/>
    <w:rsid w:val="34D33DCF"/>
    <w:rsid w:val="34DE4788"/>
    <w:rsid w:val="34FA79D5"/>
    <w:rsid w:val="350C56BC"/>
    <w:rsid w:val="35154061"/>
    <w:rsid w:val="353FD287"/>
    <w:rsid w:val="354A6DC3"/>
    <w:rsid w:val="3561A476"/>
    <w:rsid w:val="35634FE7"/>
    <w:rsid w:val="356780B0"/>
    <w:rsid w:val="356CD6EB"/>
    <w:rsid w:val="357A780A"/>
    <w:rsid w:val="35A767B1"/>
    <w:rsid w:val="35C93669"/>
    <w:rsid w:val="35CD27E0"/>
    <w:rsid w:val="35E5777D"/>
    <w:rsid w:val="35E6CBC3"/>
    <w:rsid w:val="35F3F570"/>
    <w:rsid w:val="35F59C73"/>
    <w:rsid w:val="35F836AD"/>
    <w:rsid w:val="360C0895"/>
    <w:rsid w:val="36230920"/>
    <w:rsid w:val="36251E0D"/>
    <w:rsid w:val="3636946F"/>
    <w:rsid w:val="364CB244"/>
    <w:rsid w:val="367EB28C"/>
    <w:rsid w:val="368B9840"/>
    <w:rsid w:val="368C2425"/>
    <w:rsid w:val="368D907E"/>
    <w:rsid w:val="369C5F46"/>
    <w:rsid w:val="36A270F6"/>
    <w:rsid w:val="36C6075B"/>
    <w:rsid w:val="36DB3E41"/>
    <w:rsid w:val="36E708E6"/>
    <w:rsid w:val="36F4CA4A"/>
    <w:rsid w:val="36FCF81D"/>
    <w:rsid w:val="372058D7"/>
    <w:rsid w:val="3740C1A8"/>
    <w:rsid w:val="3741A973"/>
    <w:rsid w:val="374268CF"/>
    <w:rsid w:val="3753810E"/>
    <w:rsid w:val="37585D24"/>
    <w:rsid w:val="3758EB5F"/>
    <w:rsid w:val="375A9412"/>
    <w:rsid w:val="3769B07C"/>
    <w:rsid w:val="3775C3EB"/>
    <w:rsid w:val="3777D254"/>
    <w:rsid w:val="37802481"/>
    <w:rsid w:val="378618CE"/>
    <w:rsid w:val="379B139A"/>
    <w:rsid w:val="37A925F4"/>
    <w:rsid w:val="37AAC707"/>
    <w:rsid w:val="37ADD621"/>
    <w:rsid w:val="37DDAE3E"/>
    <w:rsid w:val="37EFEDE3"/>
    <w:rsid w:val="37F308A8"/>
    <w:rsid w:val="37F3D528"/>
    <w:rsid w:val="37FF29BB"/>
    <w:rsid w:val="3800C6F7"/>
    <w:rsid w:val="380F92DB"/>
    <w:rsid w:val="38102DEA"/>
    <w:rsid w:val="38164BD8"/>
    <w:rsid w:val="3826F867"/>
    <w:rsid w:val="382AB376"/>
    <w:rsid w:val="382C7D75"/>
    <w:rsid w:val="3845BDE6"/>
    <w:rsid w:val="384FC372"/>
    <w:rsid w:val="386BABE9"/>
    <w:rsid w:val="386BDBF9"/>
    <w:rsid w:val="387A35D0"/>
    <w:rsid w:val="389C2182"/>
    <w:rsid w:val="389E89FA"/>
    <w:rsid w:val="38BCFE39"/>
    <w:rsid w:val="38DD27F5"/>
    <w:rsid w:val="38E80702"/>
    <w:rsid w:val="38F4499D"/>
    <w:rsid w:val="390B2196"/>
    <w:rsid w:val="3920DDE6"/>
    <w:rsid w:val="393211BC"/>
    <w:rsid w:val="3937A863"/>
    <w:rsid w:val="3943BA57"/>
    <w:rsid w:val="394DBAA5"/>
    <w:rsid w:val="394FE2D0"/>
    <w:rsid w:val="39656596"/>
    <w:rsid w:val="396FCBAC"/>
    <w:rsid w:val="397CB939"/>
    <w:rsid w:val="39BC18A9"/>
    <w:rsid w:val="39E6DAEE"/>
    <w:rsid w:val="39F1675D"/>
    <w:rsid w:val="39F3E600"/>
    <w:rsid w:val="3A0776DB"/>
    <w:rsid w:val="3A110E03"/>
    <w:rsid w:val="3A21ADCB"/>
    <w:rsid w:val="3A2AD51C"/>
    <w:rsid w:val="3A6B4670"/>
    <w:rsid w:val="3A7FE8C2"/>
    <w:rsid w:val="3A8DADEF"/>
    <w:rsid w:val="3AA1466D"/>
    <w:rsid w:val="3AB730AF"/>
    <w:rsid w:val="3AD11F76"/>
    <w:rsid w:val="3AD36861"/>
    <w:rsid w:val="3AE3B556"/>
    <w:rsid w:val="3AED3C30"/>
    <w:rsid w:val="3AF05422"/>
    <w:rsid w:val="3AF5E2CB"/>
    <w:rsid w:val="3B198F90"/>
    <w:rsid w:val="3B51B470"/>
    <w:rsid w:val="3B527DBE"/>
    <w:rsid w:val="3B744524"/>
    <w:rsid w:val="3B8788EF"/>
    <w:rsid w:val="3B959BE3"/>
    <w:rsid w:val="3BA61FCE"/>
    <w:rsid w:val="3BA680DE"/>
    <w:rsid w:val="3BAF1848"/>
    <w:rsid w:val="3BB43F0A"/>
    <w:rsid w:val="3BD86AE7"/>
    <w:rsid w:val="3C026879"/>
    <w:rsid w:val="3C034200"/>
    <w:rsid w:val="3C0BADEA"/>
    <w:rsid w:val="3C0F73C0"/>
    <w:rsid w:val="3C14C8B7"/>
    <w:rsid w:val="3C179263"/>
    <w:rsid w:val="3C27196F"/>
    <w:rsid w:val="3C321B83"/>
    <w:rsid w:val="3C553E17"/>
    <w:rsid w:val="3C65BF21"/>
    <w:rsid w:val="3C6724A5"/>
    <w:rsid w:val="3C80B6CD"/>
    <w:rsid w:val="3C8DC132"/>
    <w:rsid w:val="3CA5100D"/>
    <w:rsid w:val="3CC77424"/>
    <w:rsid w:val="3CCA6C14"/>
    <w:rsid w:val="3CE36C3C"/>
    <w:rsid w:val="3CFA8C22"/>
    <w:rsid w:val="3D01157E"/>
    <w:rsid w:val="3D11D617"/>
    <w:rsid w:val="3D1220E8"/>
    <w:rsid w:val="3D2A370F"/>
    <w:rsid w:val="3D42F7E1"/>
    <w:rsid w:val="3D58ED7D"/>
    <w:rsid w:val="3D6DE6FA"/>
    <w:rsid w:val="3D7E263D"/>
    <w:rsid w:val="3D9FD197"/>
    <w:rsid w:val="3DA07EBA"/>
    <w:rsid w:val="3DBFD8CD"/>
    <w:rsid w:val="3DC487FF"/>
    <w:rsid w:val="3DC616F0"/>
    <w:rsid w:val="3DD0D2A4"/>
    <w:rsid w:val="3DD329D7"/>
    <w:rsid w:val="3DDEAC7B"/>
    <w:rsid w:val="3E058E72"/>
    <w:rsid w:val="3E075048"/>
    <w:rsid w:val="3E0DB866"/>
    <w:rsid w:val="3E1D223D"/>
    <w:rsid w:val="3E2241A9"/>
    <w:rsid w:val="3E23E0D3"/>
    <w:rsid w:val="3E362AF0"/>
    <w:rsid w:val="3E475E33"/>
    <w:rsid w:val="3E491462"/>
    <w:rsid w:val="3E506952"/>
    <w:rsid w:val="3E5EFFD5"/>
    <w:rsid w:val="3E66ACB3"/>
    <w:rsid w:val="3E70D1C9"/>
    <w:rsid w:val="3E869D43"/>
    <w:rsid w:val="3E8F6FA7"/>
    <w:rsid w:val="3E9FD31C"/>
    <w:rsid w:val="3EAF5911"/>
    <w:rsid w:val="3EE5241A"/>
    <w:rsid w:val="3F0CC4C7"/>
    <w:rsid w:val="3F187A90"/>
    <w:rsid w:val="3F2F5A29"/>
    <w:rsid w:val="3F33F256"/>
    <w:rsid w:val="3F749327"/>
    <w:rsid w:val="3F74D374"/>
    <w:rsid w:val="3F7CC069"/>
    <w:rsid w:val="3F8B8CDE"/>
    <w:rsid w:val="3F9B649F"/>
    <w:rsid w:val="3FB525C9"/>
    <w:rsid w:val="3FBE5B06"/>
    <w:rsid w:val="3FC06FEA"/>
    <w:rsid w:val="3FC14134"/>
    <w:rsid w:val="3FC40752"/>
    <w:rsid w:val="3FCA1E37"/>
    <w:rsid w:val="3FEDC8BC"/>
    <w:rsid w:val="3FFEAF44"/>
    <w:rsid w:val="4005D618"/>
    <w:rsid w:val="400833F8"/>
    <w:rsid w:val="401AA4C0"/>
    <w:rsid w:val="402F05B6"/>
    <w:rsid w:val="4037BC8A"/>
    <w:rsid w:val="4039F340"/>
    <w:rsid w:val="404947E7"/>
    <w:rsid w:val="405E2E47"/>
    <w:rsid w:val="40613D75"/>
    <w:rsid w:val="40806EFB"/>
    <w:rsid w:val="409AEDDA"/>
    <w:rsid w:val="40A5F6FB"/>
    <w:rsid w:val="40AD57A1"/>
    <w:rsid w:val="40B282A0"/>
    <w:rsid w:val="40B3A5FD"/>
    <w:rsid w:val="40C2E896"/>
    <w:rsid w:val="40DB1042"/>
    <w:rsid w:val="40E80709"/>
    <w:rsid w:val="40EE8FEA"/>
    <w:rsid w:val="40F713ED"/>
    <w:rsid w:val="4109E53F"/>
    <w:rsid w:val="410F7201"/>
    <w:rsid w:val="4126E544"/>
    <w:rsid w:val="4142BEDA"/>
    <w:rsid w:val="414322AE"/>
    <w:rsid w:val="4147CE0D"/>
    <w:rsid w:val="414CB11F"/>
    <w:rsid w:val="415CC385"/>
    <w:rsid w:val="4163D2C7"/>
    <w:rsid w:val="41696DEA"/>
    <w:rsid w:val="417327F0"/>
    <w:rsid w:val="4177E629"/>
    <w:rsid w:val="4180B524"/>
    <w:rsid w:val="4180E3D6"/>
    <w:rsid w:val="4191BA06"/>
    <w:rsid w:val="4195F0B0"/>
    <w:rsid w:val="419F0C2B"/>
    <w:rsid w:val="41B35F06"/>
    <w:rsid w:val="41CAA8E7"/>
    <w:rsid w:val="41D0DD81"/>
    <w:rsid w:val="41DD3FE7"/>
    <w:rsid w:val="41E79B23"/>
    <w:rsid w:val="41FE0AF0"/>
    <w:rsid w:val="4201321E"/>
    <w:rsid w:val="420434F9"/>
    <w:rsid w:val="42163633"/>
    <w:rsid w:val="42186CE5"/>
    <w:rsid w:val="421DBE17"/>
    <w:rsid w:val="4233D94B"/>
    <w:rsid w:val="42359CB3"/>
    <w:rsid w:val="423F2D0E"/>
    <w:rsid w:val="4247E3E2"/>
    <w:rsid w:val="424C94FB"/>
    <w:rsid w:val="426715BC"/>
    <w:rsid w:val="4285B794"/>
    <w:rsid w:val="4296D8A9"/>
    <w:rsid w:val="42A25C9C"/>
    <w:rsid w:val="42D306B6"/>
    <w:rsid w:val="42DF77FD"/>
    <w:rsid w:val="42EF8803"/>
    <w:rsid w:val="4300BFB6"/>
    <w:rsid w:val="4312A467"/>
    <w:rsid w:val="431C7069"/>
    <w:rsid w:val="43334DE5"/>
    <w:rsid w:val="43459636"/>
    <w:rsid w:val="4362E1E0"/>
    <w:rsid w:val="4362E8E1"/>
    <w:rsid w:val="436EE95A"/>
    <w:rsid w:val="4370A9F1"/>
    <w:rsid w:val="4371011C"/>
    <w:rsid w:val="4395FC4F"/>
    <w:rsid w:val="439AD39A"/>
    <w:rsid w:val="439C6675"/>
    <w:rsid w:val="43AAA257"/>
    <w:rsid w:val="43D9BF41"/>
    <w:rsid w:val="43E8AA40"/>
    <w:rsid w:val="43FE92E3"/>
    <w:rsid w:val="440202A5"/>
    <w:rsid w:val="441E388E"/>
    <w:rsid w:val="444A622A"/>
    <w:rsid w:val="4462ABB4"/>
    <w:rsid w:val="446BC1F7"/>
    <w:rsid w:val="448A4729"/>
    <w:rsid w:val="448C2D59"/>
    <w:rsid w:val="448FD5D4"/>
    <w:rsid w:val="449362A4"/>
    <w:rsid w:val="44A9228B"/>
    <w:rsid w:val="44AA4DE4"/>
    <w:rsid w:val="44B982CC"/>
    <w:rsid w:val="44C5759F"/>
    <w:rsid w:val="44C64265"/>
    <w:rsid w:val="44C8FF3A"/>
    <w:rsid w:val="44CBC2EE"/>
    <w:rsid w:val="44CCCB88"/>
    <w:rsid w:val="44D0EBC5"/>
    <w:rsid w:val="44D2B7DF"/>
    <w:rsid w:val="44F06721"/>
    <w:rsid w:val="44F7BFC5"/>
    <w:rsid w:val="44FEEC13"/>
    <w:rsid w:val="451CAA93"/>
    <w:rsid w:val="4523D7FB"/>
    <w:rsid w:val="455F4F35"/>
    <w:rsid w:val="457D2573"/>
    <w:rsid w:val="458A0548"/>
    <w:rsid w:val="4598C515"/>
    <w:rsid w:val="4598F607"/>
    <w:rsid w:val="45A67D76"/>
    <w:rsid w:val="45D26050"/>
    <w:rsid w:val="45E3399C"/>
    <w:rsid w:val="4605FD1A"/>
    <w:rsid w:val="4607D401"/>
    <w:rsid w:val="4618A9AE"/>
    <w:rsid w:val="4636A8DB"/>
    <w:rsid w:val="463C3C18"/>
    <w:rsid w:val="465860B8"/>
    <w:rsid w:val="4658F2EB"/>
    <w:rsid w:val="467E0BD9"/>
    <w:rsid w:val="4684FF29"/>
    <w:rsid w:val="46A1DFB1"/>
    <w:rsid w:val="46A9CC3C"/>
    <w:rsid w:val="46D38C51"/>
    <w:rsid w:val="46E3E4DF"/>
    <w:rsid w:val="46E9B1EE"/>
    <w:rsid w:val="46FB79A5"/>
    <w:rsid w:val="4716C87F"/>
    <w:rsid w:val="47234C28"/>
    <w:rsid w:val="47335573"/>
    <w:rsid w:val="473F370C"/>
    <w:rsid w:val="47418C27"/>
    <w:rsid w:val="474B1FA6"/>
    <w:rsid w:val="474E0F5D"/>
    <w:rsid w:val="47503748"/>
    <w:rsid w:val="4774EA3D"/>
    <w:rsid w:val="4781CC84"/>
    <w:rsid w:val="4797CCB8"/>
    <w:rsid w:val="47A200F8"/>
    <w:rsid w:val="47C7A967"/>
    <w:rsid w:val="47E6F7E7"/>
    <w:rsid w:val="47F691AB"/>
    <w:rsid w:val="482B1285"/>
    <w:rsid w:val="482F1320"/>
    <w:rsid w:val="484EF07F"/>
    <w:rsid w:val="48574E29"/>
    <w:rsid w:val="486333DF"/>
    <w:rsid w:val="48682EF1"/>
    <w:rsid w:val="486B778B"/>
    <w:rsid w:val="48868152"/>
    <w:rsid w:val="48BC566B"/>
    <w:rsid w:val="48BCF275"/>
    <w:rsid w:val="48C60DF0"/>
    <w:rsid w:val="48C9FAD5"/>
    <w:rsid w:val="48D14441"/>
    <w:rsid w:val="48EDADF0"/>
    <w:rsid w:val="48EE3EE5"/>
    <w:rsid w:val="48EE85C8"/>
    <w:rsid w:val="48F307DB"/>
    <w:rsid w:val="49039521"/>
    <w:rsid w:val="490C0E7A"/>
    <w:rsid w:val="4913D3C7"/>
    <w:rsid w:val="49193FC6"/>
    <w:rsid w:val="4944FFF6"/>
    <w:rsid w:val="494D9CAB"/>
    <w:rsid w:val="495F703D"/>
    <w:rsid w:val="496C925F"/>
    <w:rsid w:val="497EAC5B"/>
    <w:rsid w:val="49CBADCA"/>
    <w:rsid w:val="49F4E20E"/>
    <w:rsid w:val="49FFF230"/>
    <w:rsid w:val="4A1242E8"/>
    <w:rsid w:val="4A1FA557"/>
    <w:rsid w:val="4A2DC82A"/>
    <w:rsid w:val="4A3AA24B"/>
    <w:rsid w:val="4A41F859"/>
    <w:rsid w:val="4A4C4D5C"/>
    <w:rsid w:val="4A8E118A"/>
    <w:rsid w:val="4AAC2682"/>
    <w:rsid w:val="4AAF6020"/>
    <w:rsid w:val="4AC143A6"/>
    <w:rsid w:val="4ACBE1A5"/>
    <w:rsid w:val="4AD7812F"/>
    <w:rsid w:val="4AE5D6E7"/>
    <w:rsid w:val="4B026044"/>
    <w:rsid w:val="4B299B4F"/>
    <w:rsid w:val="4B3E4CCB"/>
    <w:rsid w:val="4B524745"/>
    <w:rsid w:val="4B5338CC"/>
    <w:rsid w:val="4B6DDA03"/>
    <w:rsid w:val="4B6FFC1A"/>
    <w:rsid w:val="4B917BBD"/>
    <w:rsid w:val="4BA22D93"/>
    <w:rsid w:val="4BCCF731"/>
    <w:rsid w:val="4BD3637E"/>
    <w:rsid w:val="4BDCBAE3"/>
    <w:rsid w:val="4BDE6DAE"/>
    <w:rsid w:val="4BE7EDD0"/>
    <w:rsid w:val="4C006CA7"/>
    <w:rsid w:val="4C2235AD"/>
    <w:rsid w:val="4C39C694"/>
    <w:rsid w:val="4C409726"/>
    <w:rsid w:val="4C4434A6"/>
    <w:rsid w:val="4C4982B0"/>
    <w:rsid w:val="4C587304"/>
    <w:rsid w:val="4C611916"/>
    <w:rsid w:val="4C733990"/>
    <w:rsid w:val="4C98A496"/>
    <w:rsid w:val="4C9C1F85"/>
    <w:rsid w:val="4C9D5F5B"/>
    <w:rsid w:val="4CAB6006"/>
    <w:rsid w:val="4CAC94C8"/>
    <w:rsid w:val="4CB5D39A"/>
    <w:rsid w:val="4CE3E217"/>
    <w:rsid w:val="4CE5FB2E"/>
    <w:rsid w:val="4D03E8E8"/>
    <w:rsid w:val="4D14DFDB"/>
    <w:rsid w:val="4D156FE7"/>
    <w:rsid w:val="4D17D329"/>
    <w:rsid w:val="4D2A5060"/>
    <w:rsid w:val="4D3251C8"/>
    <w:rsid w:val="4D366402"/>
    <w:rsid w:val="4D385B04"/>
    <w:rsid w:val="4D47B0E7"/>
    <w:rsid w:val="4D603DED"/>
    <w:rsid w:val="4D78FD11"/>
    <w:rsid w:val="4D7C037C"/>
    <w:rsid w:val="4D843F64"/>
    <w:rsid w:val="4D9C3D08"/>
    <w:rsid w:val="4DA5EEEC"/>
    <w:rsid w:val="4DD1E5B7"/>
    <w:rsid w:val="4DDF6D8F"/>
    <w:rsid w:val="4DECAC43"/>
    <w:rsid w:val="4DFCA30E"/>
    <w:rsid w:val="4E1B1E2D"/>
    <w:rsid w:val="4E1CE031"/>
    <w:rsid w:val="4E2BABC1"/>
    <w:rsid w:val="4E32DDC9"/>
    <w:rsid w:val="4E37CB19"/>
    <w:rsid w:val="4E37D98E"/>
    <w:rsid w:val="4E3A9C15"/>
    <w:rsid w:val="4E4855AF"/>
    <w:rsid w:val="4E68D483"/>
    <w:rsid w:val="4E6A5A58"/>
    <w:rsid w:val="4E76A5C8"/>
    <w:rsid w:val="4E7BC909"/>
    <w:rsid w:val="4E8CDC64"/>
    <w:rsid w:val="4E9B511D"/>
    <w:rsid w:val="4EA19077"/>
    <w:rsid w:val="4EA1AEA3"/>
    <w:rsid w:val="4EB9E042"/>
    <w:rsid w:val="4EBEC351"/>
    <w:rsid w:val="4EC3986C"/>
    <w:rsid w:val="4ED5488C"/>
    <w:rsid w:val="4EE6E2FB"/>
    <w:rsid w:val="4EE86AFF"/>
    <w:rsid w:val="4F0E6D7D"/>
    <w:rsid w:val="4F1236BB"/>
    <w:rsid w:val="4F1890AA"/>
    <w:rsid w:val="4F309793"/>
    <w:rsid w:val="4F3D4697"/>
    <w:rsid w:val="4F3F56D5"/>
    <w:rsid w:val="4F4C412F"/>
    <w:rsid w:val="4F6A68BB"/>
    <w:rsid w:val="4F6E430C"/>
    <w:rsid w:val="4F908258"/>
    <w:rsid w:val="4F949FBB"/>
    <w:rsid w:val="4F987F22"/>
    <w:rsid w:val="4FAEFD9F"/>
    <w:rsid w:val="4FB35ABE"/>
    <w:rsid w:val="4FB993EA"/>
    <w:rsid w:val="4FC65BFD"/>
    <w:rsid w:val="4FD75DE9"/>
    <w:rsid w:val="4FEA9BAA"/>
    <w:rsid w:val="50199265"/>
    <w:rsid w:val="50364656"/>
    <w:rsid w:val="5047275F"/>
    <w:rsid w:val="504C9C48"/>
    <w:rsid w:val="5057E2D2"/>
    <w:rsid w:val="505B8F56"/>
    <w:rsid w:val="506C42EE"/>
    <w:rsid w:val="5077324D"/>
    <w:rsid w:val="50849C70"/>
    <w:rsid w:val="50AB066E"/>
    <w:rsid w:val="50BD949A"/>
    <w:rsid w:val="50D478D9"/>
    <w:rsid w:val="50D81493"/>
    <w:rsid w:val="50ECBD2B"/>
    <w:rsid w:val="50EDA837"/>
    <w:rsid w:val="50F0A126"/>
    <w:rsid w:val="510288A5"/>
    <w:rsid w:val="5102E2B4"/>
    <w:rsid w:val="511D0B97"/>
    <w:rsid w:val="512E52A6"/>
    <w:rsid w:val="5154C140"/>
    <w:rsid w:val="517385C5"/>
    <w:rsid w:val="51766ABC"/>
    <w:rsid w:val="517B2581"/>
    <w:rsid w:val="51A1F0BA"/>
    <w:rsid w:val="51B84515"/>
    <w:rsid w:val="51C3DB16"/>
    <w:rsid w:val="51CCCF53"/>
    <w:rsid w:val="51F49E18"/>
    <w:rsid w:val="52037C8D"/>
    <w:rsid w:val="52086499"/>
    <w:rsid w:val="5229EA27"/>
    <w:rsid w:val="522D6398"/>
    <w:rsid w:val="522FB3FC"/>
    <w:rsid w:val="528532EC"/>
    <w:rsid w:val="52B4A8B1"/>
    <w:rsid w:val="52CBAABF"/>
    <w:rsid w:val="52E14D1F"/>
    <w:rsid w:val="530E6FBF"/>
    <w:rsid w:val="53223C6C"/>
    <w:rsid w:val="535A0BAD"/>
    <w:rsid w:val="535F2A2A"/>
    <w:rsid w:val="53734AA8"/>
    <w:rsid w:val="539791DD"/>
    <w:rsid w:val="539CB03A"/>
    <w:rsid w:val="53C5BE4F"/>
    <w:rsid w:val="53CA556D"/>
    <w:rsid w:val="53F23383"/>
    <w:rsid w:val="53FA3CB4"/>
    <w:rsid w:val="53FAA85C"/>
    <w:rsid w:val="541451EA"/>
    <w:rsid w:val="54170616"/>
    <w:rsid w:val="541B37DA"/>
    <w:rsid w:val="541DF6BA"/>
    <w:rsid w:val="54297E54"/>
    <w:rsid w:val="542DA387"/>
    <w:rsid w:val="5438D50E"/>
    <w:rsid w:val="547F6FCD"/>
    <w:rsid w:val="54940F3B"/>
    <w:rsid w:val="54A0B1E5"/>
    <w:rsid w:val="54AF947D"/>
    <w:rsid w:val="54B0CE05"/>
    <w:rsid w:val="54C7FD29"/>
    <w:rsid w:val="54CA7DA1"/>
    <w:rsid w:val="54F4B578"/>
    <w:rsid w:val="5505DE57"/>
    <w:rsid w:val="550A5429"/>
    <w:rsid w:val="550CF081"/>
    <w:rsid w:val="55178968"/>
    <w:rsid w:val="5529A3A4"/>
    <w:rsid w:val="552B4044"/>
    <w:rsid w:val="555AC473"/>
    <w:rsid w:val="555B9312"/>
    <w:rsid w:val="555F3562"/>
    <w:rsid w:val="55619247"/>
    <w:rsid w:val="556EB74D"/>
    <w:rsid w:val="557C2602"/>
    <w:rsid w:val="55852612"/>
    <w:rsid w:val="559810E6"/>
    <w:rsid w:val="55B1B322"/>
    <w:rsid w:val="55B530C0"/>
    <w:rsid w:val="55EF4963"/>
    <w:rsid w:val="55F63638"/>
    <w:rsid w:val="55FAD7EE"/>
    <w:rsid w:val="560E52B0"/>
    <w:rsid w:val="560EC92F"/>
    <w:rsid w:val="5610C2F2"/>
    <w:rsid w:val="5622F9E8"/>
    <w:rsid w:val="564FDED6"/>
    <w:rsid w:val="5650DBAC"/>
    <w:rsid w:val="565D41C5"/>
    <w:rsid w:val="566AAEF9"/>
    <w:rsid w:val="566E07B3"/>
    <w:rsid w:val="56787B6F"/>
    <w:rsid w:val="5680DE99"/>
    <w:rsid w:val="56AC03A1"/>
    <w:rsid w:val="56B3B80C"/>
    <w:rsid w:val="56C3DB37"/>
    <w:rsid w:val="56C62886"/>
    <w:rsid w:val="56ECC331"/>
    <w:rsid w:val="56FD5046"/>
    <w:rsid w:val="571B5654"/>
    <w:rsid w:val="5725F036"/>
    <w:rsid w:val="573473F5"/>
    <w:rsid w:val="5765535D"/>
    <w:rsid w:val="578F6FE2"/>
    <w:rsid w:val="5791E2F2"/>
    <w:rsid w:val="579E176C"/>
    <w:rsid w:val="57B14744"/>
    <w:rsid w:val="57C417E0"/>
    <w:rsid w:val="57E2206B"/>
    <w:rsid w:val="5804540A"/>
    <w:rsid w:val="58067CBC"/>
    <w:rsid w:val="580E6AF4"/>
    <w:rsid w:val="583CD838"/>
    <w:rsid w:val="58485380"/>
    <w:rsid w:val="585372CC"/>
    <w:rsid w:val="585424ED"/>
    <w:rsid w:val="585D333B"/>
    <w:rsid w:val="58759BE7"/>
    <w:rsid w:val="588AAA80"/>
    <w:rsid w:val="58923264"/>
    <w:rsid w:val="589A31F6"/>
    <w:rsid w:val="58A1423E"/>
    <w:rsid w:val="58D17715"/>
    <w:rsid w:val="58EF6029"/>
    <w:rsid w:val="59196DF4"/>
    <w:rsid w:val="592D8082"/>
    <w:rsid w:val="593049EB"/>
    <w:rsid w:val="5957BF5C"/>
    <w:rsid w:val="59709842"/>
    <w:rsid w:val="597E4F06"/>
    <w:rsid w:val="598E2F84"/>
    <w:rsid w:val="599CE1A2"/>
    <w:rsid w:val="59A18C77"/>
    <w:rsid w:val="59B16F7B"/>
    <w:rsid w:val="59B8429B"/>
    <w:rsid w:val="59C72A7C"/>
    <w:rsid w:val="59CDD436"/>
    <w:rsid w:val="59D492CC"/>
    <w:rsid w:val="59E1F53B"/>
    <w:rsid w:val="59F5BB95"/>
    <w:rsid w:val="5A040CF8"/>
    <w:rsid w:val="5A06608E"/>
    <w:rsid w:val="5A097FBD"/>
    <w:rsid w:val="5A0E5EDC"/>
    <w:rsid w:val="5A0E8174"/>
    <w:rsid w:val="5A154BB1"/>
    <w:rsid w:val="5A2C41FE"/>
    <w:rsid w:val="5A2C5A12"/>
    <w:rsid w:val="5A2D06A6"/>
    <w:rsid w:val="5A38DB1F"/>
    <w:rsid w:val="5A56888C"/>
    <w:rsid w:val="5A7668FB"/>
    <w:rsid w:val="5A78D8E5"/>
    <w:rsid w:val="5ADDB3E3"/>
    <w:rsid w:val="5AE4D625"/>
    <w:rsid w:val="5B143187"/>
    <w:rsid w:val="5B2E30AE"/>
    <w:rsid w:val="5B4463B3"/>
    <w:rsid w:val="5B4BB9C1"/>
    <w:rsid w:val="5B68F24E"/>
    <w:rsid w:val="5B85E17A"/>
    <w:rsid w:val="5B97D109"/>
    <w:rsid w:val="5B99FC18"/>
    <w:rsid w:val="5BB063D7"/>
    <w:rsid w:val="5BB21CC3"/>
    <w:rsid w:val="5BBDF200"/>
    <w:rsid w:val="5BD37C90"/>
    <w:rsid w:val="5C01A902"/>
    <w:rsid w:val="5C26140A"/>
    <w:rsid w:val="5C2D592F"/>
    <w:rsid w:val="5C6E278F"/>
    <w:rsid w:val="5C736AA2"/>
    <w:rsid w:val="5CAEC4C9"/>
    <w:rsid w:val="5CC1AFDD"/>
    <w:rsid w:val="5CC20276"/>
    <w:rsid w:val="5CC8A049"/>
    <w:rsid w:val="5CDFB1B8"/>
    <w:rsid w:val="5CDFC9BA"/>
    <w:rsid w:val="5CFF5B56"/>
    <w:rsid w:val="5D1CA41C"/>
    <w:rsid w:val="5D411E64"/>
    <w:rsid w:val="5D4C6709"/>
    <w:rsid w:val="5D51D8FA"/>
    <w:rsid w:val="5D6A2A72"/>
    <w:rsid w:val="5D6F1A20"/>
    <w:rsid w:val="5D7044DA"/>
    <w:rsid w:val="5D86C402"/>
    <w:rsid w:val="5D986F27"/>
    <w:rsid w:val="5DA03906"/>
    <w:rsid w:val="5DD2B704"/>
    <w:rsid w:val="5DDF2D8B"/>
    <w:rsid w:val="5DEB277A"/>
    <w:rsid w:val="5DF2206B"/>
    <w:rsid w:val="5E0AFB10"/>
    <w:rsid w:val="5E461E49"/>
    <w:rsid w:val="5E463AF7"/>
    <w:rsid w:val="5E5A1BA7"/>
    <w:rsid w:val="5E7F14DE"/>
    <w:rsid w:val="5EB527E6"/>
    <w:rsid w:val="5EBCEE42"/>
    <w:rsid w:val="5EDABE39"/>
    <w:rsid w:val="5EF5E66C"/>
    <w:rsid w:val="5F1127D9"/>
    <w:rsid w:val="5F178455"/>
    <w:rsid w:val="5F2828AF"/>
    <w:rsid w:val="5F2E9580"/>
    <w:rsid w:val="5F44BF40"/>
    <w:rsid w:val="5F49EDA3"/>
    <w:rsid w:val="5F96B2E8"/>
    <w:rsid w:val="5F9CC206"/>
    <w:rsid w:val="5FA11B08"/>
    <w:rsid w:val="5FB47C6A"/>
    <w:rsid w:val="5FC9B159"/>
    <w:rsid w:val="5FCA1997"/>
    <w:rsid w:val="5FD838F8"/>
    <w:rsid w:val="5FDA8789"/>
    <w:rsid w:val="5FF0D135"/>
    <w:rsid w:val="5FF2A401"/>
    <w:rsid w:val="5FFDD0E4"/>
    <w:rsid w:val="60029DF0"/>
    <w:rsid w:val="600D25C4"/>
    <w:rsid w:val="601CCD04"/>
    <w:rsid w:val="604F6FE2"/>
    <w:rsid w:val="6056FCCD"/>
    <w:rsid w:val="6071531F"/>
    <w:rsid w:val="607E3441"/>
    <w:rsid w:val="608E8CBB"/>
    <w:rsid w:val="608EE6CA"/>
    <w:rsid w:val="6095EE88"/>
    <w:rsid w:val="60AD139B"/>
    <w:rsid w:val="60B022F0"/>
    <w:rsid w:val="60B0EE10"/>
    <w:rsid w:val="60E99A4F"/>
    <w:rsid w:val="60FD8420"/>
    <w:rsid w:val="610DD7F4"/>
    <w:rsid w:val="611CD2A0"/>
    <w:rsid w:val="61579232"/>
    <w:rsid w:val="615DD62F"/>
    <w:rsid w:val="616D7363"/>
    <w:rsid w:val="619028D2"/>
    <w:rsid w:val="61AD0BF6"/>
    <w:rsid w:val="61E5D83C"/>
    <w:rsid w:val="61E6FCA8"/>
    <w:rsid w:val="61F99845"/>
    <w:rsid w:val="6206D360"/>
    <w:rsid w:val="6217DD2A"/>
    <w:rsid w:val="622CEFB6"/>
    <w:rsid w:val="623541E3"/>
    <w:rsid w:val="62532CB9"/>
    <w:rsid w:val="626AE42B"/>
    <w:rsid w:val="6277A821"/>
    <w:rsid w:val="6285AE4E"/>
    <w:rsid w:val="628FDD38"/>
    <w:rsid w:val="629D4463"/>
    <w:rsid w:val="62AC2E82"/>
    <w:rsid w:val="62AF9CA2"/>
    <w:rsid w:val="62C028FC"/>
    <w:rsid w:val="62C33D69"/>
    <w:rsid w:val="62E0F042"/>
    <w:rsid w:val="62EA4DCC"/>
    <w:rsid w:val="62F1B604"/>
    <w:rsid w:val="63038E3D"/>
    <w:rsid w:val="63061077"/>
    <w:rsid w:val="6312750D"/>
    <w:rsid w:val="63161D59"/>
    <w:rsid w:val="63222567"/>
    <w:rsid w:val="63356842"/>
    <w:rsid w:val="6336790E"/>
    <w:rsid w:val="63403116"/>
    <w:rsid w:val="63577CE0"/>
    <w:rsid w:val="63724ED0"/>
    <w:rsid w:val="6389BD75"/>
    <w:rsid w:val="638FCB84"/>
    <w:rsid w:val="63936F49"/>
    <w:rsid w:val="63B04FF5"/>
    <w:rsid w:val="63BFB9B8"/>
    <w:rsid w:val="63C91E3E"/>
    <w:rsid w:val="63F4DB3C"/>
    <w:rsid w:val="63F60A2C"/>
    <w:rsid w:val="641013EB"/>
    <w:rsid w:val="64195124"/>
    <w:rsid w:val="641DF2DA"/>
    <w:rsid w:val="641E03E7"/>
    <w:rsid w:val="644E2222"/>
    <w:rsid w:val="64555E6E"/>
    <w:rsid w:val="645F0D4C"/>
    <w:rsid w:val="6476441C"/>
    <w:rsid w:val="6477647D"/>
    <w:rsid w:val="647A94E4"/>
    <w:rsid w:val="647D3708"/>
    <w:rsid w:val="6481C478"/>
    <w:rsid w:val="6495DABD"/>
    <w:rsid w:val="64A40BE7"/>
    <w:rsid w:val="64CF112B"/>
    <w:rsid w:val="64D03F23"/>
    <w:rsid w:val="64E71FC8"/>
    <w:rsid w:val="64EB261B"/>
    <w:rsid w:val="64EFD69C"/>
    <w:rsid w:val="6520134C"/>
    <w:rsid w:val="653780E8"/>
    <w:rsid w:val="653ED6F6"/>
    <w:rsid w:val="656E67C5"/>
    <w:rsid w:val="6578423C"/>
    <w:rsid w:val="659E72B3"/>
    <w:rsid w:val="65A99C83"/>
    <w:rsid w:val="65BC02BE"/>
    <w:rsid w:val="65BFDEC6"/>
    <w:rsid w:val="65DB727F"/>
    <w:rsid w:val="660A1E90"/>
    <w:rsid w:val="660BE9B4"/>
    <w:rsid w:val="66370BB2"/>
    <w:rsid w:val="666E6D61"/>
    <w:rsid w:val="6671086F"/>
    <w:rsid w:val="6678CDF7"/>
    <w:rsid w:val="6682CB6A"/>
    <w:rsid w:val="66A395D2"/>
    <w:rsid w:val="66ACE323"/>
    <w:rsid w:val="66D483D0"/>
    <w:rsid w:val="66DBD647"/>
    <w:rsid w:val="66E09F3B"/>
    <w:rsid w:val="66E1ED9F"/>
    <w:rsid w:val="66F0AC1D"/>
    <w:rsid w:val="66F10D2D"/>
    <w:rsid w:val="66F3E75F"/>
    <w:rsid w:val="670EA753"/>
    <w:rsid w:val="671353A1"/>
    <w:rsid w:val="672B065C"/>
    <w:rsid w:val="67352E34"/>
    <w:rsid w:val="67356002"/>
    <w:rsid w:val="67418013"/>
    <w:rsid w:val="674B41F9"/>
    <w:rsid w:val="675303E6"/>
    <w:rsid w:val="676936EB"/>
    <w:rsid w:val="6779DA4A"/>
    <w:rsid w:val="6783D4EA"/>
    <w:rsid w:val="67BFC2C0"/>
    <w:rsid w:val="67F6A606"/>
    <w:rsid w:val="67FB99A2"/>
    <w:rsid w:val="67FD3C63"/>
    <w:rsid w:val="68041EA0"/>
    <w:rsid w:val="6808C056"/>
    <w:rsid w:val="680A9A9F"/>
    <w:rsid w:val="6823A388"/>
    <w:rsid w:val="6826738B"/>
    <w:rsid w:val="6834107F"/>
    <w:rsid w:val="6849D7DC"/>
    <w:rsid w:val="68557664"/>
    <w:rsid w:val="68865FF8"/>
    <w:rsid w:val="689A8B95"/>
    <w:rsid w:val="68A1E805"/>
    <w:rsid w:val="68A52F00"/>
    <w:rsid w:val="68BB6EA7"/>
    <w:rsid w:val="68D3599F"/>
    <w:rsid w:val="68DD5486"/>
    <w:rsid w:val="690C2D6D"/>
    <w:rsid w:val="691665CA"/>
    <w:rsid w:val="692E0BA3"/>
    <w:rsid w:val="693489EC"/>
    <w:rsid w:val="6938F81E"/>
    <w:rsid w:val="695A7E6B"/>
    <w:rsid w:val="6978A754"/>
    <w:rsid w:val="6978F3FB"/>
    <w:rsid w:val="697F4DEA"/>
    <w:rsid w:val="698197B4"/>
    <w:rsid w:val="699FCCD5"/>
    <w:rsid w:val="69A688F5"/>
    <w:rsid w:val="69A7CFE5"/>
    <w:rsid w:val="69AA4A7F"/>
    <w:rsid w:val="69B7CC0D"/>
    <w:rsid w:val="69BE2918"/>
    <w:rsid w:val="69CBE3C2"/>
    <w:rsid w:val="69FB3C00"/>
    <w:rsid w:val="6A080EC1"/>
    <w:rsid w:val="6A23F079"/>
    <w:rsid w:val="6A2809D5"/>
    <w:rsid w:val="6A2B413C"/>
    <w:rsid w:val="6A2C161D"/>
    <w:rsid w:val="6A2FFC01"/>
    <w:rsid w:val="6A301510"/>
    <w:rsid w:val="6A3EC18C"/>
    <w:rsid w:val="6A47FC6F"/>
    <w:rsid w:val="6A5DC3CC"/>
    <w:rsid w:val="6A683B67"/>
    <w:rsid w:val="6A746279"/>
    <w:rsid w:val="6A7824B6"/>
    <w:rsid w:val="6A7EBDF7"/>
    <w:rsid w:val="6AC02EED"/>
    <w:rsid w:val="6AC05BE2"/>
    <w:rsid w:val="6AD3AD1C"/>
    <w:rsid w:val="6AD4E241"/>
    <w:rsid w:val="6AD717E8"/>
    <w:rsid w:val="6AEFFE36"/>
    <w:rsid w:val="6B030EB3"/>
    <w:rsid w:val="6B4A48C5"/>
    <w:rsid w:val="6B4F9487"/>
    <w:rsid w:val="6B55EB9E"/>
    <w:rsid w:val="6B7E98E1"/>
    <w:rsid w:val="6B86D0CD"/>
    <w:rsid w:val="6B8D6138"/>
    <w:rsid w:val="6B98C0D1"/>
    <w:rsid w:val="6BAB2322"/>
    <w:rsid w:val="6BB549E6"/>
    <w:rsid w:val="6BC02131"/>
    <w:rsid w:val="6BCDA7FA"/>
    <w:rsid w:val="6BDC8BDE"/>
    <w:rsid w:val="6BEB1B0F"/>
    <w:rsid w:val="6BECF624"/>
    <w:rsid w:val="6BF507A7"/>
    <w:rsid w:val="6BFEEA39"/>
    <w:rsid w:val="6C032A7A"/>
    <w:rsid w:val="6C29102A"/>
    <w:rsid w:val="6C3114F1"/>
    <w:rsid w:val="6C33E031"/>
    <w:rsid w:val="6C5669CC"/>
    <w:rsid w:val="6C5DAAAD"/>
    <w:rsid w:val="6C8AE9EC"/>
    <w:rsid w:val="6CAF8273"/>
    <w:rsid w:val="6CB6A5B0"/>
    <w:rsid w:val="6CBE46A3"/>
    <w:rsid w:val="6CE49F51"/>
    <w:rsid w:val="6CFD7837"/>
    <w:rsid w:val="6D2CA0C8"/>
    <w:rsid w:val="6D42B9F7"/>
    <w:rsid w:val="6D42BFEC"/>
    <w:rsid w:val="6D43D3CB"/>
    <w:rsid w:val="6D662272"/>
    <w:rsid w:val="6D670C4C"/>
    <w:rsid w:val="6D766D3E"/>
    <w:rsid w:val="6D90529E"/>
    <w:rsid w:val="6DA50BCE"/>
    <w:rsid w:val="6DA7382D"/>
    <w:rsid w:val="6DAB071C"/>
    <w:rsid w:val="6DD0D5BA"/>
    <w:rsid w:val="6DF84072"/>
    <w:rsid w:val="6E140641"/>
    <w:rsid w:val="6E348F58"/>
    <w:rsid w:val="6E4FA664"/>
    <w:rsid w:val="6E6519AA"/>
    <w:rsid w:val="6E74AABF"/>
    <w:rsid w:val="6E849AFB"/>
    <w:rsid w:val="6E859AB1"/>
    <w:rsid w:val="6EC4E838"/>
    <w:rsid w:val="6EC61444"/>
    <w:rsid w:val="6ED3530C"/>
    <w:rsid w:val="6ED78F68"/>
    <w:rsid w:val="6EF16F05"/>
    <w:rsid w:val="6F04A2FC"/>
    <w:rsid w:val="6F15768B"/>
    <w:rsid w:val="6F1B6691"/>
    <w:rsid w:val="6F1D9C38"/>
    <w:rsid w:val="6F587B8D"/>
    <w:rsid w:val="6F5CCC0A"/>
    <w:rsid w:val="6F85790F"/>
    <w:rsid w:val="6F8937B5"/>
    <w:rsid w:val="6FA0EA44"/>
    <w:rsid w:val="6FA1AAF9"/>
    <w:rsid w:val="6FA366C9"/>
    <w:rsid w:val="6FA6BC36"/>
    <w:rsid w:val="6FAA5379"/>
    <w:rsid w:val="6FC2B1B2"/>
    <w:rsid w:val="6FC89EFE"/>
    <w:rsid w:val="6FD3BD4F"/>
    <w:rsid w:val="6FE29FD8"/>
    <w:rsid w:val="6FF8444A"/>
    <w:rsid w:val="70005293"/>
    <w:rsid w:val="7000FB1E"/>
    <w:rsid w:val="7014050C"/>
    <w:rsid w:val="7060036C"/>
    <w:rsid w:val="70647DD8"/>
    <w:rsid w:val="70653EA4"/>
    <w:rsid w:val="707046F2"/>
    <w:rsid w:val="70765426"/>
    <w:rsid w:val="7086F60C"/>
    <w:rsid w:val="70926B14"/>
    <w:rsid w:val="7095952A"/>
    <w:rsid w:val="70A8A3E5"/>
    <w:rsid w:val="70AFE7E5"/>
    <w:rsid w:val="70B5FA93"/>
    <w:rsid w:val="70C64DBB"/>
    <w:rsid w:val="70CBA610"/>
    <w:rsid w:val="70F24377"/>
    <w:rsid w:val="71015AE1"/>
    <w:rsid w:val="711614A2"/>
    <w:rsid w:val="711B629F"/>
    <w:rsid w:val="712AEC2A"/>
    <w:rsid w:val="712EB721"/>
    <w:rsid w:val="71318828"/>
    <w:rsid w:val="714032C1"/>
    <w:rsid w:val="7144ABFF"/>
    <w:rsid w:val="71450622"/>
    <w:rsid w:val="714CFB88"/>
    <w:rsid w:val="715274D7"/>
    <w:rsid w:val="716015AA"/>
    <w:rsid w:val="71771594"/>
    <w:rsid w:val="71776C63"/>
    <w:rsid w:val="717A2300"/>
    <w:rsid w:val="7186987A"/>
    <w:rsid w:val="71A5D97E"/>
    <w:rsid w:val="71A6B8F7"/>
    <w:rsid w:val="71C1EE6E"/>
    <w:rsid w:val="71CB0A61"/>
    <w:rsid w:val="71D4A20A"/>
    <w:rsid w:val="71DCA01E"/>
    <w:rsid w:val="71E694C9"/>
    <w:rsid w:val="71F082AB"/>
    <w:rsid w:val="71F3229A"/>
    <w:rsid w:val="720EAEDD"/>
    <w:rsid w:val="721576F2"/>
    <w:rsid w:val="721B87EF"/>
    <w:rsid w:val="721E561D"/>
    <w:rsid w:val="7224B3A3"/>
    <w:rsid w:val="723C8FEE"/>
    <w:rsid w:val="724E4C8E"/>
    <w:rsid w:val="7258A191"/>
    <w:rsid w:val="72630E94"/>
    <w:rsid w:val="7288A4A5"/>
    <w:rsid w:val="7292842D"/>
    <w:rsid w:val="72B60681"/>
    <w:rsid w:val="72D0D794"/>
    <w:rsid w:val="72FAAB74"/>
    <w:rsid w:val="72FE8F83"/>
    <w:rsid w:val="73033B1E"/>
    <w:rsid w:val="7307ADE2"/>
    <w:rsid w:val="732E0690"/>
    <w:rsid w:val="732E4062"/>
    <w:rsid w:val="73423219"/>
    <w:rsid w:val="73516508"/>
    <w:rsid w:val="73546E01"/>
    <w:rsid w:val="735FED02"/>
    <w:rsid w:val="7361D8D3"/>
    <w:rsid w:val="738C70C1"/>
    <w:rsid w:val="738E0458"/>
    <w:rsid w:val="739168EF"/>
    <w:rsid w:val="73A01EF3"/>
    <w:rsid w:val="73A35100"/>
    <w:rsid w:val="73A75810"/>
    <w:rsid w:val="73B53084"/>
    <w:rsid w:val="73B54812"/>
    <w:rsid w:val="73C35407"/>
    <w:rsid w:val="73D8056D"/>
    <w:rsid w:val="73DC7885"/>
    <w:rsid w:val="73E000C3"/>
    <w:rsid w:val="73E5A277"/>
    <w:rsid w:val="73EDE296"/>
    <w:rsid w:val="73F1E23C"/>
    <w:rsid w:val="7402ACD9"/>
    <w:rsid w:val="7413A790"/>
    <w:rsid w:val="74244A0F"/>
    <w:rsid w:val="742EEBA5"/>
    <w:rsid w:val="74429692"/>
    <w:rsid w:val="745B8480"/>
    <w:rsid w:val="746266BD"/>
    <w:rsid w:val="74803555"/>
    <w:rsid w:val="74890B4B"/>
    <w:rsid w:val="74C2BAB5"/>
    <w:rsid w:val="74C452DE"/>
    <w:rsid w:val="74D800C5"/>
    <w:rsid w:val="74F0B8E8"/>
    <w:rsid w:val="74F83634"/>
    <w:rsid w:val="75026429"/>
    <w:rsid w:val="7508E42B"/>
    <w:rsid w:val="75217179"/>
    <w:rsid w:val="75436971"/>
    <w:rsid w:val="754546DE"/>
    <w:rsid w:val="75556E91"/>
    <w:rsid w:val="755629B0"/>
    <w:rsid w:val="755F5C32"/>
    <w:rsid w:val="756506A7"/>
    <w:rsid w:val="7578AD8D"/>
    <w:rsid w:val="757D0F3E"/>
    <w:rsid w:val="758855C8"/>
    <w:rsid w:val="75AC5B76"/>
    <w:rsid w:val="75B0895B"/>
    <w:rsid w:val="75B7BBC2"/>
    <w:rsid w:val="75C15F8B"/>
    <w:rsid w:val="75CACA7D"/>
    <w:rsid w:val="75EB030E"/>
    <w:rsid w:val="75F5102F"/>
    <w:rsid w:val="761E6B92"/>
    <w:rsid w:val="763E845B"/>
    <w:rsid w:val="768A75E7"/>
    <w:rsid w:val="7691B870"/>
    <w:rsid w:val="76A8A603"/>
    <w:rsid w:val="76DC13BA"/>
    <w:rsid w:val="76E197B2"/>
    <w:rsid w:val="76E3F497"/>
    <w:rsid w:val="76E97571"/>
    <w:rsid w:val="76F91C53"/>
    <w:rsid w:val="7710C043"/>
    <w:rsid w:val="77377BD6"/>
    <w:rsid w:val="7747334F"/>
    <w:rsid w:val="7761A215"/>
    <w:rsid w:val="7765D477"/>
    <w:rsid w:val="776CB669"/>
    <w:rsid w:val="777433A6"/>
    <w:rsid w:val="77859E79"/>
    <w:rsid w:val="778D5F34"/>
    <w:rsid w:val="77D626D7"/>
    <w:rsid w:val="77DF66AC"/>
    <w:rsid w:val="77F1FE9E"/>
    <w:rsid w:val="78033651"/>
    <w:rsid w:val="7811D157"/>
    <w:rsid w:val="781B31E7"/>
    <w:rsid w:val="781EE704"/>
    <w:rsid w:val="7822F548"/>
    <w:rsid w:val="782EBE31"/>
    <w:rsid w:val="78386DE4"/>
    <w:rsid w:val="784C4362"/>
    <w:rsid w:val="786B4BB9"/>
    <w:rsid w:val="7888EDEF"/>
    <w:rsid w:val="78AB966E"/>
    <w:rsid w:val="78ABF92C"/>
    <w:rsid w:val="78B13B30"/>
    <w:rsid w:val="78D51D37"/>
    <w:rsid w:val="78D8B5AE"/>
    <w:rsid w:val="78D9E835"/>
    <w:rsid w:val="78DE64DD"/>
    <w:rsid w:val="78F3EF10"/>
    <w:rsid w:val="7905E506"/>
    <w:rsid w:val="79064AA8"/>
    <w:rsid w:val="790D4943"/>
    <w:rsid w:val="790E2B8C"/>
    <w:rsid w:val="79155E07"/>
    <w:rsid w:val="7918819E"/>
    <w:rsid w:val="792DEEEC"/>
    <w:rsid w:val="793FD94F"/>
    <w:rsid w:val="7943334E"/>
    <w:rsid w:val="795D5F7E"/>
    <w:rsid w:val="795D9533"/>
    <w:rsid w:val="795F28CA"/>
    <w:rsid w:val="79A64521"/>
    <w:rsid w:val="79AC309E"/>
    <w:rsid w:val="79AFB8DC"/>
    <w:rsid w:val="79C9A978"/>
    <w:rsid w:val="79D7EFF2"/>
    <w:rsid w:val="79E20468"/>
    <w:rsid w:val="79F81462"/>
    <w:rsid w:val="79FECBF7"/>
    <w:rsid w:val="7A3163B7"/>
    <w:rsid w:val="7A35E814"/>
    <w:rsid w:val="7A412C00"/>
    <w:rsid w:val="7A42D15F"/>
    <w:rsid w:val="7A4E49BF"/>
    <w:rsid w:val="7A5D0073"/>
    <w:rsid w:val="7A7DD7F2"/>
    <w:rsid w:val="7A8FF242"/>
    <w:rsid w:val="7A96F1C5"/>
    <w:rsid w:val="7A9BD328"/>
    <w:rsid w:val="7AAFBF4A"/>
    <w:rsid w:val="7AE49355"/>
    <w:rsid w:val="7AEA654F"/>
    <w:rsid w:val="7AF03E86"/>
    <w:rsid w:val="7AF44FB1"/>
    <w:rsid w:val="7B24B2D9"/>
    <w:rsid w:val="7B302FE0"/>
    <w:rsid w:val="7B4F570D"/>
    <w:rsid w:val="7B6F17B0"/>
    <w:rsid w:val="7B80E047"/>
    <w:rsid w:val="7B91A0A4"/>
    <w:rsid w:val="7B951F06"/>
    <w:rsid w:val="7B9ACE2E"/>
    <w:rsid w:val="7BA18CC4"/>
    <w:rsid w:val="7BB07FE6"/>
    <w:rsid w:val="7BBC0E1D"/>
    <w:rsid w:val="7BC86EBB"/>
    <w:rsid w:val="7BCAB93E"/>
    <w:rsid w:val="7BCC41B3"/>
    <w:rsid w:val="7BDAEB2A"/>
    <w:rsid w:val="7BDF6B0E"/>
    <w:rsid w:val="7C03E48D"/>
    <w:rsid w:val="7C0EBADD"/>
    <w:rsid w:val="7C1622E1"/>
    <w:rsid w:val="7C1BE892"/>
    <w:rsid w:val="7C208186"/>
    <w:rsid w:val="7C3DD5AF"/>
    <w:rsid w:val="7C94F88C"/>
    <w:rsid w:val="7CAC1493"/>
    <w:rsid w:val="7CC2CAEF"/>
    <w:rsid w:val="7CC623F3"/>
    <w:rsid w:val="7CEB276E"/>
    <w:rsid w:val="7CFC3DC1"/>
    <w:rsid w:val="7D08143C"/>
    <w:rsid w:val="7D085577"/>
    <w:rsid w:val="7D295FC7"/>
    <w:rsid w:val="7D39C117"/>
    <w:rsid w:val="7D3F2E25"/>
    <w:rsid w:val="7D4163CC"/>
    <w:rsid w:val="7D49065D"/>
    <w:rsid w:val="7D4C17F6"/>
    <w:rsid w:val="7D540719"/>
    <w:rsid w:val="7D5AAFD0"/>
    <w:rsid w:val="7D7156A6"/>
    <w:rsid w:val="7D774D3F"/>
    <w:rsid w:val="7D859356"/>
    <w:rsid w:val="7D87F31C"/>
    <w:rsid w:val="7D8C0261"/>
    <w:rsid w:val="7D8E3CAE"/>
    <w:rsid w:val="7D9891B1"/>
    <w:rsid w:val="7DDB52F9"/>
    <w:rsid w:val="7E029655"/>
    <w:rsid w:val="7E105F9E"/>
    <w:rsid w:val="7E13FE34"/>
    <w:rsid w:val="7E32FE94"/>
    <w:rsid w:val="7E52D27E"/>
    <w:rsid w:val="7E5920C6"/>
    <w:rsid w:val="7E816492"/>
    <w:rsid w:val="7E8A9C18"/>
    <w:rsid w:val="7E9C2322"/>
    <w:rsid w:val="7EA410A8"/>
    <w:rsid w:val="7EA4F305"/>
    <w:rsid w:val="7EB38C18"/>
    <w:rsid w:val="7EBA4E45"/>
    <w:rsid w:val="7EBC0474"/>
    <w:rsid w:val="7ECC0267"/>
    <w:rsid w:val="7ED2E9C2"/>
    <w:rsid w:val="7ED56B49"/>
    <w:rsid w:val="7ED8C33E"/>
    <w:rsid w:val="7ED93A38"/>
    <w:rsid w:val="7EFF52B0"/>
    <w:rsid w:val="7F0CD965"/>
    <w:rsid w:val="7F0EC81A"/>
    <w:rsid w:val="7F2BA0A6"/>
    <w:rsid w:val="7F729A6B"/>
    <w:rsid w:val="7F77235A"/>
    <w:rsid w:val="7F79FB11"/>
    <w:rsid w:val="7F7D071C"/>
    <w:rsid w:val="7F942271"/>
    <w:rsid w:val="7FA72E48"/>
    <w:rsid w:val="7FBC24E1"/>
    <w:rsid w:val="7FC4848A"/>
    <w:rsid w:val="7FD3769D"/>
    <w:rsid w:val="7FE1A517"/>
    <w:rsid w:val="7FE4E8EB"/>
    <w:rsid w:val="7FE67C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15:docId w15:val="{A6CF13D4-0960-4563-B9FB-55351A81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058"/>
    <w:pPr>
      <w:spacing w:after="0" w:line="276" w:lineRule="auto"/>
      <w:jc w:val="both"/>
    </w:pPr>
    <w:rPr>
      <w:sz w:val="24"/>
    </w:rPr>
  </w:style>
  <w:style w:type="paragraph" w:styleId="Heading1">
    <w:name w:val="heading 1"/>
    <w:basedOn w:val="Normal"/>
    <w:next w:val="Normal"/>
    <w:link w:val="Heading1Char"/>
    <w:uiPriority w:val="9"/>
    <w:qFormat/>
    <w:rsid w:val="00E614A3"/>
    <w:pPr>
      <w:keepNext/>
      <w:keepLines/>
      <w:spacing w:after="240" w:line="560" w:lineRule="exact"/>
      <w:jc w:val="left"/>
      <w:outlineLvl w:val="0"/>
    </w:pPr>
    <w:rPr>
      <w:rFonts w:asciiTheme="majorHAnsi" w:eastAsiaTheme="majorEastAsia" w:hAnsiTheme="majorHAnsi" w:cstheme="majorBidi"/>
      <w:color w:val="064276" w:themeColor="accent1"/>
      <w:sz w:val="56"/>
      <w:szCs w:val="32"/>
    </w:rPr>
  </w:style>
  <w:style w:type="paragraph" w:styleId="Heading2">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pPr>
    <w:rPr>
      <w:color w:val="064276" w:themeColor="text2"/>
      <w:sz w:val="72"/>
      <w:szCs w:val="72"/>
    </w:rPr>
  </w:style>
  <w:style w:type="character" w:customStyle="1" w:styleId="Heading1Char">
    <w:name w:val="Heading 1 Char"/>
    <w:basedOn w:val="DefaultParagraphFont"/>
    <w:link w:val="Heading1"/>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
    <w:uiPriority w:val="9"/>
    <w:rsid w:val="00F4666F"/>
    <w:rPr>
      <w:rFonts w:eastAsiaTheme="majorEastAsia" w:cstheme="majorBidi"/>
      <w:color w:val="064276" w:themeColor="text2"/>
      <w:sz w:val="26"/>
    </w:rPr>
  </w:style>
  <w:style w:type="paragraph" w:customStyle="1" w:styleId="Largeheading">
    <w:name w:val="Large heading"/>
    <w:basedOn w:val="Heading1"/>
    <w:qFormat/>
    <w:rsid w:val="00E614A3"/>
    <w:pPr>
      <w:spacing w:after="120"/>
    </w:pPr>
    <w:rPr>
      <w:b/>
      <w:bCs/>
      <w:sz w:val="64"/>
      <w:szCs w:val="64"/>
    </w:rPr>
  </w:style>
  <w:style w:type="paragraph" w:customStyle="1" w:styleId="Smallheading">
    <w:name w:val="Small heading"/>
    <w:basedOn w:val="Heading1"/>
    <w:qFormat/>
    <w:rsid w:val="00E614A3"/>
    <w:pPr>
      <w:spacing w:before="120" w:line="240" w:lineRule="auto"/>
    </w:pPr>
    <w:rPr>
      <w:color w:val="5F7577" w:themeColor="accent2"/>
      <w:sz w:val="36"/>
      <w:szCs w:val="36"/>
    </w:rPr>
  </w:style>
  <w:style w:type="paragraph" w:customStyle="1" w:styleId="SMALLHEADINGALLCAPS">
    <w:name w:val="SMALL HEADING ALL CAPS"/>
    <w:basedOn w:val="Normal"/>
    <w:qFormat/>
    <w:rsid w:val="00E614A3"/>
    <w:pPr>
      <w:keepNext/>
      <w:spacing w:after="60" w:line="240" w:lineRule="auto"/>
      <w:jc w:val="left"/>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107209"/>
    <w:pPr>
      <w:numPr>
        <w:numId w:val="3"/>
      </w:numPr>
      <w:spacing w:line="288" w:lineRule="auto"/>
      <w:ind w:left="357" w:hanging="357"/>
      <w:contextualSpacing/>
    </w:pPr>
    <w:rPr>
      <w:rFonts w:cstheme="minorHAnsi"/>
      <w:color w:val="000000" w:themeColor="text1"/>
      <w:szCs w:val="20"/>
    </w:rPr>
  </w:style>
  <w:style w:type="paragraph" w:customStyle="1" w:styleId="List1">
    <w:name w:val="# List 1"/>
    <w:basedOn w:val="Normal"/>
    <w:rsid w:val="00F74641"/>
    <w:pPr>
      <w:numPr>
        <w:numId w:val="2"/>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1"/>
      </w:numPr>
      <w:ind w:left="490" w:hanging="238"/>
    </w:pPr>
  </w:style>
  <w:style w:type="paragraph" w:customStyle="1" w:styleId="Bullet3">
    <w:name w:val="Bullet 3"/>
    <w:basedOn w:val="Bullet2"/>
    <w:rsid w:val="00F75A70"/>
    <w:pPr>
      <w:numPr>
        <w:ilvl w:val="1"/>
        <w:numId w:val="4"/>
      </w:numPr>
      <w:ind w:left="714" w:hanging="210"/>
    </w:pPr>
  </w:style>
  <w:style w:type="paragraph" w:customStyle="1" w:styleId="List2">
    <w:name w:val="# List 2"/>
    <w:basedOn w:val="Normal"/>
    <w:rsid w:val="00F74641"/>
    <w:pPr>
      <w:numPr>
        <w:ilvl w:val="1"/>
        <w:numId w:val="2"/>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2"/>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2"/>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E614A3"/>
    <w:pPr>
      <w:keepNext/>
      <w:spacing w:after="120"/>
      <w:jc w:val="left"/>
    </w:pPr>
    <w:rPr>
      <w:rFonts w:asciiTheme="majorHAnsi" w:hAnsiTheme="majorHAnsi"/>
      <w:bCs/>
      <w:i/>
      <w:iCs/>
      <w:color w:val="497A9C" w:themeColor="background2"/>
    </w:rPr>
  </w:style>
  <w:style w:type="paragraph" w:customStyle="1" w:styleId="Smallheadingbold">
    <w:name w:val="Small heading bold"/>
    <w:basedOn w:val="Smallheading"/>
    <w:qFormat/>
    <w:rsid w:val="00E614A3"/>
    <w:rPr>
      <w:rFonts w:asciiTheme="minorHAnsi" w:hAnsiTheme="minorHAnsi"/>
      <w:b/>
      <w:bCs/>
      <w:color w:val="064276" w:themeColor="text2"/>
      <w:sz w:val="28"/>
      <w:szCs w:val="28"/>
    </w:rPr>
  </w:style>
  <w:style w:type="paragraph" w:styleId="TOCHeading">
    <w:name w:val="TOC Heading"/>
    <w:basedOn w:val="Heading1"/>
    <w:next w:val="Normal"/>
    <w:uiPriority w:val="39"/>
    <w:unhideWhenUsed/>
    <w:qFormat/>
    <w:rsid w:val="00C33232"/>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0A42BF"/>
    <w:pPr>
      <w:tabs>
        <w:tab w:val="left" w:pos="1320"/>
        <w:tab w:val="right" w:leader="dot" w:pos="9628"/>
      </w:tabs>
      <w:spacing w:after="100"/>
      <w:ind w:left="480"/>
    </w:pPr>
    <w:rPr>
      <w:noProof/>
      <w:sz w:val="22"/>
      <w:szCs w:val="20"/>
    </w:rPr>
  </w:style>
  <w:style w:type="paragraph" w:styleId="Caption">
    <w:name w:val="caption"/>
    <w:basedOn w:val="Normal"/>
    <w:next w:val="Normal"/>
    <w:uiPriority w:val="35"/>
    <w:unhideWhenUsed/>
    <w:qFormat/>
    <w:rsid w:val="001909D9"/>
    <w:pPr>
      <w:spacing w:after="200" w:line="240" w:lineRule="auto"/>
    </w:pPr>
    <w:rPr>
      <w:i/>
      <w:iCs/>
      <w:color w:val="064276" w:themeColor="text2"/>
      <w:szCs w:val="18"/>
    </w:rPr>
  </w:style>
  <w:style w:type="paragraph" w:styleId="TableofFigures">
    <w:name w:val="table of figures"/>
    <w:basedOn w:val="Normal"/>
    <w:next w:val="Normal"/>
    <w:uiPriority w:val="99"/>
    <w:unhideWhenUsed/>
    <w:rsid w:val="0043144D"/>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C51C1A"/>
    <w:pPr>
      <w:tabs>
        <w:tab w:val="left" w:pos="480"/>
        <w:tab w:val="right" w:leader="dot" w:pos="9628"/>
      </w:tabs>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2B6187"/>
    <w:pPr>
      <w:spacing w:line="240" w:lineRule="auto"/>
    </w:pPr>
    <w:rPr>
      <w:sz w:val="20"/>
      <w:szCs w:val="20"/>
    </w:rPr>
  </w:style>
  <w:style w:type="character" w:customStyle="1" w:styleId="FootnoteTextChar">
    <w:name w:val="Footnote Text Char"/>
    <w:basedOn w:val="DefaultParagraphFont"/>
    <w:link w:val="FootnoteText"/>
    <w:uiPriority w:val="99"/>
    <w:rsid w:val="002B6187"/>
    <w:rPr>
      <w:sz w:val="20"/>
      <w:szCs w:val="20"/>
    </w:rPr>
  </w:style>
  <w:style w:type="character" w:styleId="FootnoteReference">
    <w:name w:val="footnote reference"/>
    <w:basedOn w:val="DefaultParagraphFont"/>
    <w:uiPriority w:val="99"/>
    <w:semiHidden/>
    <w:unhideWhenUsed/>
    <w:rsid w:val="002B6187"/>
    <w:rPr>
      <w:vertAlign w:val="superscript"/>
    </w:rPr>
  </w:style>
  <w:style w:type="paragraph" w:styleId="Revision">
    <w:name w:val="Revision"/>
    <w:hidden/>
    <w:uiPriority w:val="99"/>
    <w:semiHidden/>
    <w:rsid w:val="001D26DF"/>
    <w:pPr>
      <w:spacing w:after="0" w:line="240" w:lineRule="auto"/>
    </w:pPr>
    <w:rPr>
      <w:sz w:val="24"/>
    </w:rPr>
  </w:style>
  <w:style w:type="character" w:styleId="UnresolvedMention">
    <w:name w:val="Unresolved Mention"/>
    <w:basedOn w:val="DefaultParagraphFont"/>
    <w:uiPriority w:val="99"/>
    <w:semiHidden/>
    <w:unhideWhenUsed/>
    <w:rsid w:val="00C805A8"/>
    <w:rPr>
      <w:color w:val="605E5C"/>
      <w:shd w:val="clear" w:color="auto" w:fill="E1DFDD"/>
    </w:rPr>
  </w:style>
  <w:style w:type="character" w:styleId="CommentReference">
    <w:name w:val="annotation reference"/>
    <w:basedOn w:val="DefaultParagraphFont"/>
    <w:uiPriority w:val="99"/>
    <w:semiHidden/>
    <w:unhideWhenUsed/>
    <w:rsid w:val="00B12DD7"/>
    <w:rPr>
      <w:sz w:val="16"/>
      <w:szCs w:val="16"/>
    </w:rPr>
  </w:style>
  <w:style w:type="paragraph" w:styleId="CommentText">
    <w:name w:val="annotation text"/>
    <w:basedOn w:val="Normal"/>
    <w:link w:val="CommentTextChar"/>
    <w:uiPriority w:val="99"/>
    <w:unhideWhenUsed/>
    <w:rsid w:val="00B12DD7"/>
    <w:pPr>
      <w:spacing w:line="240" w:lineRule="auto"/>
    </w:pPr>
    <w:rPr>
      <w:sz w:val="20"/>
      <w:szCs w:val="20"/>
    </w:rPr>
  </w:style>
  <w:style w:type="character" w:customStyle="1" w:styleId="CommentTextChar">
    <w:name w:val="Comment Text Char"/>
    <w:basedOn w:val="DefaultParagraphFont"/>
    <w:link w:val="CommentText"/>
    <w:uiPriority w:val="99"/>
    <w:rsid w:val="00B12DD7"/>
    <w:rPr>
      <w:sz w:val="20"/>
      <w:szCs w:val="20"/>
    </w:rPr>
  </w:style>
  <w:style w:type="paragraph" w:styleId="CommentSubject">
    <w:name w:val="annotation subject"/>
    <w:basedOn w:val="CommentText"/>
    <w:next w:val="CommentText"/>
    <w:link w:val="CommentSubjectChar"/>
    <w:uiPriority w:val="99"/>
    <w:semiHidden/>
    <w:unhideWhenUsed/>
    <w:rsid w:val="00B12DD7"/>
    <w:rPr>
      <w:b/>
      <w:bCs/>
    </w:rPr>
  </w:style>
  <w:style w:type="character" w:customStyle="1" w:styleId="CommentSubjectChar">
    <w:name w:val="Comment Subject Char"/>
    <w:basedOn w:val="CommentTextChar"/>
    <w:link w:val="CommentSubject"/>
    <w:uiPriority w:val="99"/>
    <w:semiHidden/>
    <w:rsid w:val="00B12DD7"/>
    <w:rPr>
      <w:b/>
      <w:bCs/>
      <w:sz w:val="20"/>
      <w:szCs w:val="20"/>
    </w:rPr>
  </w:style>
  <w:style w:type="character" w:styleId="Mention">
    <w:name w:val="Mention"/>
    <w:basedOn w:val="DefaultParagraphFont"/>
    <w:uiPriority w:val="99"/>
    <w:unhideWhenUsed/>
    <w:rsid w:val="00E64225"/>
    <w:rPr>
      <w:color w:val="2B579A"/>
      <w:shd w:val="clear" w:color="auto" w:fill="E1DFDD"/>
    </w:rPr>
  </w:style>
  <w:style w:type="character" w:styleId="FollowedHyperlink">
    <w:name w:val="FollowedHyperlink"/>
    <w:basedOn w:val="DefaultParagraphFont"/>
    <w:uiPriority w:val="99"/>
    <w:semiHidden/>
    <w:unhideWhenUsed/>
    <w:rsid w:val="003E58E1"/>
    <w:rPr>
      <w:color w:val="497A9C" w:themeColor="followedHyperlink"/>
      <w:u w:val="single"/>
    </w:rPr>
  </w:style>
  <w:style w:type="paragraph" w:customStyle="1" w:styleId="heading10">
    <w:name w:val="heading 10"/>
    <w:basedOn w:val="Normal"/>
    <w:qFormat/>
    <w:rsid w:val="00E614A3"/>
    <w:pPr>
      <w:numPr>
        <w:numId w:val="7"/>
      </w:numPr>
      <w:spacing w:after="240" w:line="560" w:lineRule="exact"/>
      <w:jc w:val="left"/>
    </w:pPr>
    <w:rPr>
      <w:rFonts w:asciiTheme="majorHAnsi" w:hAnsiTheme="majorHAnsi"/>
      <w:color w:val="064276" w:themeColor="accent1"/>
      <w:spacing w:val="-10"/>
      <w:sz w:val="56"/>
      <w:szCs w:val="40"/>
    </w:rPr>
  </w:style>
  <w:style w:type="paragraph" w:customStyle="1" w:styleId="heading20">
    <w:name w:val="heading 20"/>
    <w:basedOn w:val="ListParagraph"/>
    <w:qFormat/>
    <w:rsid w:val="00E614A3"/>
    <w:pPr>
      <w:numPr>
        <w:ilvl w:val="1"/>
        <w:numId w:val="7"/>
      </w:numPr>
      <w:spacing w:before="60" w:after="60" w:line="240" w:lineRule="auto"/>
      <w:jc w:val="left"/>
    </w:pPr>
    <w:rPr>
      <w:color w:val="5F7577" w:themeColor="accent2"/>
      <w:sz w:val="32"/>
      <w:szCs w:val="28"/>
    </w:rPr>
  </w:style>
  <w:style w:type="paragraph" w:customStyle="1" w:styleId="heading30">
    <w:name w:val="heading 30"/>
    <w:basedOn w:val="ListParagraph"/>
    <w:qFormat/>
    <w:rsid w:val="00E614A3"/>
    <w:pPr>
      <w:numPr>
        <w:ilvl w:val="2"/>
        <w:numId w:val="7"/>
      </w:numPr>
      <w:spacing w:before="240" w:after="120" w:line="240" w:lineRule="auto"/>
      <w:jc w:val="left"/>
    </w:pPr>
    <w:rPr>
      <w:rFonts w:asciiTheme="majorHAnsi" w:hAnsiTheme="majorHAnsi"/>
      <w:b/>
      <w:bCs/>
      <w:caps/>
      <w:color w:val="064276" w:themeColor="text2"/>
      <w:sz w:val="28"/>
      <w:szCs w:val="24"/>
    </w:rPr>
  </w:style>
  <w:style w:type="paragraph" w:customStyle="1" w:styleId="heading40">
    <w:name w:val="heading 40"/>
    <w:basedOn w:val="ListParagraph"/>
    <w:rsid w:val="00440697"/>
    <w:pPr>
      <w:numPr>
        <w:ilvl w:val="3"/>
        <w:numId w:val="7"/>
      </w:numPr>
      <w:spacing w:before="120" w:after="120" w:line="240" w:lineRule="auto"/>
    </w:pPr>
    <w:rPr>
      <w:bCs/>
      <w:color w:val="064276" w:themeColor="text2"/>
      <w:szCs w:val="24"/>
    </w:rPr>
  </w:style>
  <w:style w:type="paragraph" w:styleId="Title">
    <w:name w:val="Title"/>
    <w:basedOn w:val="Normal"/>
    <w:next w:val="Normal"/>
    <w:link w:val="TitleChar"/>
    <w:uiPriority w:val="10"/>
    <w:qFormat/>
    <w:rsid w:val="006237A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37A8"/>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6017A7"/>
    <w:pPr>
      <w:spacing w:line="240" w:lineRule="auto"/>
    </w:pPr>
    <w:rPr>
      <w:sz w:val="20"/>
      <w:szCs w:val="20"/>
    </w:rPr>
  </w:style>
  <w:style w:type="character" w:customStyle="1" w:styleId="EndnoteTextChar">
    <w:name w:val="Endnote Text Char"/>
    <w:basedOn w:val="DefaultParagraphFont"/>
    <w:link w:val="EndnoteText"/>
    <w:uiPriority w:val="99"/>
    <w:semiHidden/>
    <w:rsid w:val="006017A7"/>
    <w:rPr>
      <w:sz w:val="20"/>
      <w:szCs w:val="20"/>
    </w:rPr>
  </w:style>
  <w:style w:type="character" w:styleId="EndnoteReference">
    <w:name w:val="endnote reference"/>
    <w:basedOn w:val="DefaultParagraphFont"/>
    <w:uiPriority w:val="99"/>
    <w:semiHidden/>
    <w:unhideWhenUsed/>
    <w:rsid w:val="006017A7"/>
    <w:rPr>
      <w:vertAlign w:val="superscript"/>
    </w:rPr>
  </w:style>
  <w:style w:type="table" w:styleId="PlainTable2">
    <w:name w:val="Plain Table 2"/>
    <w:basedOn w:val="TableNormal"/>
    <w:uiPriority w:val="42"/>
    <w:rsid w:val="004359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54688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B65061"/>
  </w:style>
  <w:style w:type="character" w:styleId="PlaceholderText">
    <w:name w:val="Placeholder Text"/>
    <w:basedOn w:val="DefaultParagraphFont"/>
    <w:uiPriority w:val="99"/>
    <w:semiHidden/>
    <w:rsid w:val="004216AA"/>
    <w:rPr>
      <w:color w:val="808080"/>
    </w:rPr>
  </w:style>
  <w:style w:type="paragraph" w:customStyle="1" w:styleId="pf0">
    <w:name w:val="pf0"/>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6B6541"/>
    <w:rPr>
      <w:rFonts w:ascii="Segoe UI" w:hAnsi="Segoe UI" w:cs="Segoe UI" w:hint="default"/>
      <w:sz w:val="18"/>
      <w:szCs w:val="18"/>
    </w:rPr>
  </w:style>
  <w:style w:type="paragraph" w:customStyle="1" w:styleId="pf1">
    <w:name w:val="pf1"/>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6B6541"/>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B6541"/>
  </w:style>
  <w:style w:type="character" w:customStyle="1" w:styleId="eop">
    <w:name w:val="eop"/>
    <w:basedOn w:val="DefaultParagraphFont"/>
    <w:rsid w:val="006B6541"/>
  </w:style>
  <w:style w:type="character" w:styleId="Strong">
    <w:name w:val="Strong"/>
    <w:basedOn w:val="DefaultParagraphFont"/>
    <w:uiPriority w:val="22"/>
    <w:qFormat/>
    <w:rsid w:val="00B20D40"/>
    <w:rPr>
      <w:b/>
      <w:bCs/>
      <w:color w:val="D4521A" w:themeColor="accent4" w:themeShade="BF"/>
    </w:rPr>
  </w:style>
  <w:style w:type="paragraph" w:styleId="Subtitle">
    <w:name w:val="Subtitle"/>
    <w:basedOn w:val="Normal"/>
    <w:next w:val="Normal"/>
    <w:link w:val="SubtitleChar"/>
    <w:uiPriority w:val="11"/>
    <w:qFormat/>
    <w:rsid w:val="00B20D40"/>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B20D40"/>
    <w:rPr>
      <w:rFonts w:eastAsiaTheme="minorEastAsia"/>
      <w:color w:val="5A5A5A" w:themeColor="text1" w:themeTint="A5"/>
      <w:spacing w:val="15"/>
    </w:rPr>
  </w:style>
  <w:style w:type="paragraph" w:styleId="TOC4">
    <w:name w:val="toc 4"/>
    <w:basedOn w:val="Normal"/>
    <w:next w:val="Normal"/>
    <w:autoRedefine/>
    <w:uiPriority w:val="39"/>
    <w:unhideWhenUsed/>
    <w:rsid w:val="00006794"/>
    <w:pPr>
      <w:spacing w:after="100" w:line="278"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006794"/>
    <w:pPr>
      <w:spacing w:after="100" w:line="278"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006794"/>
    <w:pPr>
      <w:spacing w:after="100" w:line="278"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006794"/>
    <w:pPr>
      <w:spacing w:after="100" w:line="278"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006794"/>
    <w:pPr>
      <w:spacing w:after="100" w:line="278"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006794"/>
    <w:pPr>
      <w:spacing w:after="100" w:line="278" w:lineRule="auto"/>
      <w:ind w:left="1920"/>
    </w:pPr>
    <w:rPr>
      <w:rFonts w:eastAsiaTheme="minorEastAsia"/>
      <w:kern w:val="2"/>
      <w:szCs w:val="24"/>
      <w:lang w:eastAsia="en-GB"/>
      <w14:ligatures w14:val="standardContextual"/>
    </w:rPr>
  </w:style>
  <w:style w:type="paragraph" w:customStyle="1" w:styleId="TableParagraph">
    <w:name w:val="Table Paragraph"/>
    <w:basedOn w:val="Normal"/>
    <w:uiPriority w:val="1"/>
    <w:qFormat/>
    <w:rsid w:val="00845C40"/>
    <w:pPr>
      <w:widowControl w:val="0"/>
      <w:spacing w:line="240" w:lineRule="auto"/>
      <w:jc w:val="left"/>
    </w:pPr>
    <w:rPr>
      <w:sz w:val="22"/>
    </w:rPr>
  </w:style>
  <w:style w:type="paragraph" w:styleId="BodyText">
    <w:name w:val="Body Text"/>
    <w:link w:val="BodyTextChar"/>
    <w:uiPriority w:val="1"/>
    <w:rsid w:val="00BC1B5F"/>
    <w:pPr>
      <w:widowControl w:val="0"/>
      <w:spacing w:before="69" w:after="0" w:line="240" w:lineRule="auto"/>
    </w:pPr>
    <w:rPr>
      <w:rFonts w:ascii="Arial" w:eastAsia="Arial" w:hAnsi="Arial"/>
      <w:sz w:val="24"/>
      <w:szCs w:val="24"/>
    </w:rPr>
  </w:style>
  <w:style w:type="character" w:customStyle="1" w:styleId="BodyTextChar">
    <w:name w:val="Body Text Char"/>
    <w:basedOn w:val="DefaultParagraphFont"/>
    <w:link w:val="BodyText"/>
    <w:uiPriority w:val="1"/>
    <w:rsid w:val="00BC1B5F"/>
    <w:rPr>
      <w:rFonts w:ascii="Arial" w:eastAsia="Arial" w:hAnsi="Arial"/>
      <w:sz w:val="24"/>
      <w:szCs w:val="24"/>
    </w:rPr>
  </w:style>
  <w:style w:type="table" w:customStyle="1" w:styleId="TableGrid1">
    <w:name w:val="Table Grid1"/>
    <w:basedOn w:val="TableNormal"/>
    <w:next w:val="TableGrid"/>
    <w:uiPriority w:val="39"/>
    <w:rsid w:val="006603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597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6751">
      <w:bodyDiv w:val="1"/>
      <w:marLeft w:val="0"/>
      <w:marRight w:val="0"/>
      <w:marTop w:val="0"/>
      <w:marBottom w:val="0"/>
      <w:divBdr>
        <w:top w:val="none" w:sz="0" w:space="0" w:color="auto"/>
        <w:left w:val="none" w:sz="0" w:space="0" w:color="auto"/>
        <w:bottom w:val="none" w:sz="0" w:space="0" w:color="auto"/>
        <w:right w:val="none" w:sz="0" w:space="0" w:color="auto"/>
      </w:divBdr>
    </w:div>
    <w:div w:id="28997665">
      <w:bodyDiv w:val="1"/>
      <w:marLeft w:val="0"/>
      <w:marRight w:val="0"/>
      <w:marTop w:val="0"/>
      <w:marBottom w:val="0"/>
      <w:divBdr>
        <w:top w:val="none" w:sz="0" w:space="0" w:color="auto"/>
        <w:left w:val="none" w:sz="0" w:space="0" w:color="auto"/>
        <w:bottom w:val="none" w:sz="0" w:space="0" w:color="auto"/>
        <w:right w:val="none" w:sz="0" w:space="0" w:color="auto"/>
      </w:divBdr>
    </w:div>
    <w:div w:id="55978913">
      <w:bodyDiv w:val="1"/>
      <w:marLeft w:val="0"/>
      <w:marRight w:val="0"/>
      <w:marTop w:val="0"/>
      <w:marBottom w:val="0"/>
      <w:divBdr>
        <w:top w:val="none" w:sz="0" w:space="0" w:color="auto"/>
        <w:left w:val="none" w:sz="0" w:space="0" w:color="auto"/>
        <w:bottom w:val="none" w:sz="0" w:space="0" w:color="auto"/>
        <w:right w:val="none" w:sz="0" w:space="0" w:color="auto"/>
      </w:divBdr>
    </w:div>
    <w:div w:id="64954762">
      <w:bodyDiv w:val="1"/>
      <w:marLeft w:val="0"/>
      <w:marRight w:val="0"/>
      <w:marTop w:val="0"/>
      <w:marBottom w:val="0"/>
      <w:divBdr>
        <w:top w:val="none" w:sz="0" w:space="0" w:color="auto"/>
        <w:left w:val="none" w:sz="0" w:space="0" w:color="auto"/>
        <w:bottom w:val="none" w:sz="0" w:space="0" w:color="auto"/>
        <w:right w:val="none" w:sz="0" w:space="0" w:color="auto"/>
      </w:divBdr>
    </w:div>
    <w:div w:id="69617556">
      <w:bodyDiv w:val="1"/>
      <w:marLeft w:val="0"/>
      <w:marRight w:val="0"/>
      <w:marTop w:val="0"/>
      <w:marBottom w:val="0"/>
      <w:divBdr>
        <w:top w:val="none" w:sz="0" w:space="0" w:color="auto"/>
        <w:left w:val="none" w:sz="0" w:space="0" w:color="auto"/>
        <w:bottom w:val="none" w:sz="0" w:space="0" w:color="auto"/>
        <w:right w:val="none" w:sz="0" w:space="0" w:color="auto"/>
      </w:divBdr>
      <w:divsChild>
        <w:div w:id="756749280">
          <w:marLeft w:val="0"/>
          <w:marRight w:val="0"/>
          <w:marTop w:val="0"/>
          <w:marBottom w:val="0"/>
          <w:divBdr>
            <w:top w:val="none" w:sz="0" w:space="0" w:color="auto"/>
            <w:left w:val="none" w:sz="0" w:space="0" w:color="auto"/>
            <w:bottom w:val="none" w:sz="0" w:space="0" w:color="auto"/>
            <w:right w:val="none" w:sz="0" w:space="0" w:color="auto"/>
          </w:divBdr>
        </w:div>
      </w:divsChild>
    </w:div>
    <w:div w:id="82647620">
      <w:bodyDiv w:val="1"/>
      <w:marLeft w:val="0"/>
      <w:marRight w:val="0"/>
      <w:marTop w:val="0"/>
      <w:marBottom w:val="0"/>
      <w:divBdr>
        <w:top w:val="none" w:sz="0" w:space="0" w:color="auto"/>
        <w:left w:val="none" w:sz="0" w:space="0" w:color="auto"/>
        <w:bottom w:val="none" w:sz="0" w:space="0" w:color="auto"/>
        <w:right w:val="none" w:sz="0" w:space="0" w:color="auto"/>
      </w:divBdr>
    </w:div>
    <w:div w:id="87312690">
      <w:bodyDiv w:val="1"/>
      <w:marLeft w:val="0"/>
      <w:marRight w:val="0"/>
      <w:marTop w:val="0"/>
      <w:marBottom w:val="0"/>
      <w:divBdr>
        <w:top w:val="none" w:sz="0" w:space="0" w:color="auto"/>
        <w:left w:val="none" w:sz="0" w:space="0" w:color="auto"/>
        <w:bottom w:val="none" w:sz="0" w:space="0" w:color="auto"/>
        <w:right w:val="none" w:sz="0" w:space="0" w:color="auto"/>
      </w:divBdr>
    </w:div>
    <w:div w:id="94831296">
      <w:bodyDiv w:val="1"/>
      <w:marLeft w:val="0"/>
      <w:marRight w:val="0"/>
      <w:marTop w:val="0"/>
      <w:marBottom w:val="0"/>
      <w:divBdr>
        <w:top w:val="none" w:sz="0" w:space="0" w:color="auto"/>
        <w:left w:val="none" w:sz="0" w:space="0" w:color="auto"/>
        <w:bottom w:val="none" w:sz="0" w:space="0" w:color="auto"/>
        <w:right w:val="none" w:sz="0" w:space="0" w:color="auto"/>
      </w:divBdr>
    </w:div>
    <w:div w:id="116291649">
      <w:bodyDiv w:val="1"/>
      <w:marLeft w:val="0"/>
      <w:marRight w:val="0"/>
      <w:marTop w:val="0"/>
      <w:marBottom w:val="0"/>
      <w:divBdr>
        <w:top w:val="none" w:sz="0" w:space="0" w:color="auto"/>
        <w:left w:val="none" w:sz="0" w:space="0" w:color="auto"/>
        <w:bottom w:val="none" w:sz="0" w:space="0" w:color="auto"/>
        <w:right w:val="none" w:sz="0" w:space="0" w:color="auto"/>
      </w:divBdr>
    </w:div>
    <w:div w:id="127091908">
      <w:bodyDiv w:val="1"/>
      <w:marLeft w:val="0"/>
      <w:marRight w:val="0"/>
      <w:marTop w:val="0"/>
      <w:marBottom w:val="0"/>
      <w:divBdr>
        <w:top w:val="none" w:sz="0" w:space="0" w:color="auto"/>
        <w:left w:val="none" w:sz="0" w:space="0" w:color="auto"/>
        <w:bottom w:val="none" w:sz="0" w:space="0" w:color="auto"/>
        <w:right w:val="none" w:sz="0" w:space="0" w:color="auto"/>
      </w:divBdr>
    </w:div>
    <w:div w:id="176700859">
      <w:bodyDiv w:val="1"/>
      <w:marLeft w:val="0"/>
      <w:marRight w:val="0"/>
      <w:marTop w:val="0"/>
      <w:marBottom w:val="0"/>
      <w:divBdr>
        <w:top w:val="none" w:sz="0" w:space="0" w:color="auto"/>
        <w:left w:val="none" w:sz="0" w:space="0" w:color="auto"/>
        <w:bottom w:val="none" w:sz="0" w:space="0" w:color="auto"/>
        <w:right w:val="none" w:sz="0" w:space="0" w:color="auto"/>
      </w:divBdr>
      <w:divsChild>
        <w:div w:id="2087071684">
          <w:marLeft w:val="0"/>
          <w:marRight w:val="0"/>
          <w:marTop w:val="0"/>
          <w:marBottom w:val="0"/>
          <w:divBdr>
            <w:top w:val="none" w:sz="0" w:space="0" w:color="auto"/>
            <w:left w:val="none" w:sz="0" w:space="0" w:color="auto"/>
            <w:bottom w:val="none" w:sz="0" w:space="0" w:color="auto"/>
            <w:right w:val="none" w:sz="0" w:space="0" w:color="auto"/>
          </w:divBdr>
          <w:divsChild>
            <w:div w:id="1748457808">
              <w:marLeft w:val="0"/>
              <w:marRight w:val="0"/>
              <w:marTop w:val="0"/>
              <w:marBottom w:val="0"/>
              <w:divBdr>
                <w:top w:val="none" w:sz="0" w:space="0" w:color="auto"/>
                <w:left w:val="none" w:sz="0" w:space="0" w:color="auto"/>
                <w:bottom w:val="none" w:sz="0" w:space="0" w:color="auto"/>
                <w:right w:val="none" w:sz="0" w:space="0" w:color="auto"/>
              </w:divBdr>
              <w:divsChild>
                <w:div w:id="1679187297">
                  <w:marLeft w:val="0"/>
                  <w:marRight w:val="0"/>
                  <w:marTop w:val="0"/>
                  <w:marBottom w:val="0"/>
                  <w:divBdr>
                    <w:top w:val="none" w:sz="0" w:space="0" w:color="auto"/>
                    <w:left w:val="none" w:sz="0" w:space="0" w:color="auto"/>
                    <w:bottom w:val="none" w:sz="0" w:space="0" w:color="auto"/>
                    <w:right w:val="none" w:sz="0" w:space="0" w:color="auto"/>
                  </w:divBdr>
                  <w:divsChild>
                    <w:div w:id="831145791">
                      <w:marLeft w:val="0"/>
                      <w:marRight w:val="0"/>
                      <w:marTop w:val="0"/>
                      <w:marBottom w:val="0"/>
                      <w:divBdr>
                        <w:top w:val="none" w:sz="0" w:space="0" w:color="auto"/>
                        <w:left w:val="none" w:sz="0" w:space="0" w:color="auto"/>
                        <w:bottom w:val="none" w:sz="0" w:space="0" w:color="auto"/>
                        <w:right w:val="none" w:sz="0" w:space="0" w:color="auto"/>
                      </w:divBdr>
                      <w:divsChild>
                        <w:div w:id="1253008028">
                          <w:marLeft w:val="0"/>
                          <w:marRight w:val="0"/>
                          <w:marTop w:val="0"/>
                          <w:marBottom w:val="0"/>
                          <w:divBdr>
                            <w:top w:val="none" w:sz="0" w:space="0" w:color="auto"/>
                            <w:left w:val="none" w:sz="0" w:space="0" w:color="auto"/>
                            <w:bottom w:val="none" w:sz="0" w:space="0" w:color="auto"/>
                            <w:right w:val="none" w:sz="0" w:space="0" w:color="auto"/>
                          </w:divBdr>
                          <w:divsChild>
                            <w:div w:id="1951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0952">
      <w:bodyDiv w:val="1"/>
      <w:marLeft w:val="0"/>
      <w:marRight w:val="0"/>
      <w:marTop w:val="0"/>
      <w:marBottom w:val="0"/>
      <w:divBdr>
        <w:top w:val="none" w:sz="0" w:space="0" w:color="auto"/>
        <w:left w:val="none" w:sz="0" w:space="0" w:color="auto"/>
        <w:bottom w:val="none" w:sz="0" w:space="0" w:color="auto"/>
        <w:right w:val="none" w:sz="0" w:space="0" w:color="auto"/>
      </w:divBdr>
    </w:div>
    <w:div w:id="210774448">
      <w:bodyDiv w:val="1"/>
      <w:marLeft w:val="0"/>
      <w:marRight w:val="0"/>
      <w:marTop w:val="0"/>
      <w:marBottom w:val="0"/>
      <w:divBdr>
        <w:top w:val="none" w:sz="0" w:space="0" w:color="auto"/>
        <w:left w:val="none" w:sz="0" w:space="0" w:color="auto"/>
        <w:bottom w:val="none" w:sz="0" w:space="0" w:color="auto"/>
        <w:right w:val="none" w:sz="0" w:space="0" w:color="auto"/>
      </w:divBdr>
    </w:div>
    <w:div w:id="246228927">
      <w:bodyDiv w:val="1"/>
      <w:marLeft w:val="0"/>
      <w:marRight w:val="0"/>
      <w:marTop w:val="0"/>
      <w:marBottom w:val="0"/>
      <w:divBdr>
        <w:top w:val="none" w:sz="0" w:space="0" w:color="auto"/>
        <w:left w:val="none" w:sz="0" w:space="0" w:color="auto"/>
        <w:bottom w:val="none" w:sz="0" w:space="0" w:color="auto"/>
        <w:right w:val="none" w:sz="0" w:space="0" w:color="auto"/>
      </w:divBdr>
    </w:div>
    <w:div w:id="252738056">
      <w:bodyDiv w:val="1"/>
      <w:marLeft w:val="0"/>
      <w:marRight w:val="0"/>
      <w:marTop w:val="0"/>
      <w:marBottom w:val="0"/>
      <w:divBdr>
        <w:top w:val="none" w:sz="0" w:space="0" w:color="auto"/>
        <w:left w:val="none" w:sz="0" w:space="0" w:color="auto"/>
        <w:bottom w:val="none" w:sz="0" w:space="0" w:color="auto"/>
        <w:right w:val="none" w:sz="0" w:space="0" w:color="auto"/>
      </w:divBdr>
    </w:div>
    <w:div w:id="254166317">
      <w:bodyDiv w:val="1"/>
      <w:marLeft w:val="0"/>
      <w:marRight w:val="0"/>
      <w:marTop w:val="0"/>
      <w:marBottom w:val="0"/>
      <w:divBdr>
        <w:top w:val="none" w:sz="0" w:space="0" w:color="auto"/>
        <w:left w:val="none" w:sz="0" w:space="0" w:color="auto"/>
        <w:bottom w:val="none" w:sz="0" w:space="0" w:color="auto"/>
        <w:right w:val="none" w:sz="0" w:space="0" w:color="auto"/>
      </w:divBdr>
    </w:div>
    <w:div w:id="265887462">
      <w:bodyDiv w:val="1"/>
      <w:marLeft w:val="0"/>
      <w:marRight w:val="0"/>
      <w:marTop w:val="0"/>
      <w:marBottom w:val="0"/>
      <w:divBdr>
        <w:top w:val="none" w:sz="0" w:space="0" w:color="auto"/>
        <w:left w:val="none" w:sz="0" w:space="0" w:color="auto"/>
        <w:bottom w:val="none" w:sz="0" w:space="0" w:color="auto"/>
        <w:right w:val="none" w:sz="0" w:space="0" w:color="auto"/>
      </w:divBdr>
    </w:div>
    <w:div w:id="268977497">
      <w:bodyDiv w:val="1"/>
      <w:marLeft w:val="0"/>
      <w:marRight w:val="0"/>
      <w:marTop w:val="0"/>
      <w:marBottom w:val="0"/>
      <w:divBdr>
        <w:top w:val="none" w:sz="0" w:space="0" w:color="auto"/>
        <w:left w:val="none" w:sz="0" w:space="0" w:color="auto"/>
        <w:bottom w:val="none" w:sz="0" w:space="0" w:color="auto"/>
        <w:right w:val="none" w:sz="0" w:space="0" w:color="auto"/>
      </w:divBdr>
    </w:div>
    <w:div w:id="305089623">
      <w:bodyDiv w:val="1"/>
      <w:marLeft w:val="0"/>
      <w:marRight w:val="0"/>
      <w:marTop w:val="0"/>
      <w:marBottom w:val="0"/>
      <w:divBdr>
        <w:top w:val="none" w:sz="0" w:space="0" w:color="auto"/>
        <w:left w:val="none" w:sz="0" w:space="0" w:color="auto"/>
        <w:bottom w:val="none" w:sz="0" w:space="0" w:color="auto"/>
        <w:right w:val="none" w:sz="0" w:space="0" w:color="auto"/>
      </w:divBdr>
      <w:divsChild>
        <w:div w:id="1270703505">
          <w:marLeft w:val="0"/>
          <w:marRight w:val="0"/>
          <w:marTop w:val="0"/>
          <w:marBottom w:val="0"/>
          <w:divBdr>
            <w:top w:val="none" w:sz="0" w:space="0" w:color="auto"/>
            <w:left w:val="none" w:sz="0" w:space="0" w:color="auto"/>
            <w:bottom w:val="none" w:sz="0" w:space="0" w:color="auto"/>
            <w:right w:val="none" w:sz="0" w:space="0" w:color="auto"/>
          </w:divBdr>
          <w:divsChild>
            <w:div w:id="1737195274">
              <w:marLeft w:val="0"/>
              <w:marRight w:val="0"/>
              <w:marTop w:val="0"/>
              <w:marBottom w:val="0"/>
              <w:divBdr>
                <w:top w:val="none" w:sz="0" w:space="0" w:color="auto"/>
                <w:left w:val="none" w:sz="0" w:space="0" w:color="auto"/>
                <w:bottom w:val="none" w:sz="0" w:space="0" w:color="auto"/>
                <w:right w:val="none" w:sz="0" w:space="0" w:color="auto"/>
              </w:divBdr>
              <w:divsChild>
                <w:div w:id="1379236468">
                  <w:marLeft w:val="0"/>
                  <w:marRight w:val="0"/>
                  <w:marTop w:val="0"/>
                  <w:marBottom w:val="0"/>
                  <w:divBdr>
                    <w:top w:val="none" w:sz="0" w:space="0" w:color="auto"/>
                    <w:left w:val="none" w:sz="0" w:space="0" w:color="auto"/>
                    <w:bottom w:val="none" w:sz="0" w:space="0" w:color="auto"/>
                    <w:right w:val="none" w:sz="0" w:space="0" w:color="auto"/>
                  </w:divBdr>
                  <w:divsChild>
                    <w:div w:id="1029767290">
                      <w:marLeft w:val="0"/>
                      <w:marRight w:val="0"/>
                      <w:marTop w:val="0"/>
                      <w:marBottom w:val="0"/>
                      <w:divBdr>
                        <w:top w:val="none" w:sz="0" w:space="0" w:color="auto"/>
                        <w:left w:val="none" w:sz="0" w:space="0" w:color="auto"/>
                        <w:bottom w:val="none" w:sz="0" w:space="0" w:color="auto"/>
                        <w:right w:val="none" w:sz="0" w:space="0" w:color="auto"/>
                      </w:divBdr>
                      <w:divsChild>
                        <w:div w:id="1213496887">
                          <w:marLeft w:val="0"/>
                          <w:marRight w:val="0"/>
                          <w:marTop w:val="0"/>
                          <w:marBottom w:val="0"/>
                          <w:divBdr>
                            <w:top w:val="none" w:sz="0" w:space="0" w:color="auto"/>
                            <w:left w:val="none" w:sz="0" w:space="0" w:color="auto"/>
                            <w:bottom w:val="none" w:sz="0" w:space="0" w:color="auto"/>
                            <w:right w:val="none" w:sz="0" w:space="0" w:color="auto"/>
                          </w:divBdr>
                          <w:divsChild>
                            <w:div w:id="18167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62410">
      <w:bodyDiv w:val="1"/>
      <w:marLeft w:val="0"/>
      <w:marRight w:val="0"/>
      <w:marTop w:val="0"/>
      <w:marBottom w:val="0"/>
      <w:divBdr>
        <w:top w:val="none" w:sz="0" w:space="0" w:color="auto"/>
        <w:left w:val="none" w:sz="0" w:space="0" w:color="auto"/>
        <w:bottom w:val="none" w:sz="0" w:space="0" w:color="auto"/>
        <w:right w:val="none" w:sz="0" w:space="0" w:color="auto"/>
      </w:divBdr>
    </w:div>
    <w:div w:id="311060392">
      <w:bodyDiv w:val="1"/>
      <w:marLeft w:val="0"/>
      <w:marRight w:val="0"/>
      <w:marTop w:val="0"/>
      <w:marBottom w:val="0"/>
      <w:divBdr>
        <w:top w:val="none" w:sz="0" w:space="0" w:color="auto"/>
        <w:left w:val="none" w:sz="0" w:space="0" w:color="auto"/>
        <w:bottom w:val="none" w:sz="0" w:space="0" w:color="auto"/>
        <w:right w:val="none" w:sz="0" w:space="0" w:color="auto"/>
      </w:divBdr>
      <w:divsChild>
        <w:div w:id="310250884">
          <w:marLeft w:val="0"/>
          <w:marRight w:val="0"/>
          <w:marTop w:val="0"/>
          <w:marBottom w:val="0"/>
          <w:divBdr>
            <w:top w:val="none" w:sz="0" w:space="0" w:color="auto"/>
            <w:left w:val="none" w:sz="0" w:space="0" w:color="auto"/>
            <w:bottom w:val="none" w:sz="0" w:space="0" w:color="auto"/>
            <w:right w:val="none" w:sz="0" w:space="0" w:color="auto"/>
          </w:divBdr>
          <w:divsChild>
            <w:div w:id="1883907625">
              <w:marLeft w:val="0"/>
              <w:marRight w:val="0"/>
              <w:marTop w:val="0"/>
              <w:marBottom w:val="0"/>
              <w:divBdr>
                <w:top w:val="none" w:sz="0" w:space="0" w:color="auto"/>
                <w:left w:val="none" w:sz="0" w:space="0" w:color="auto"/>
                <w:bottom w:val="none" w:sz="0" w:space="0" w:color="auto"/>
                <w:right w:val="none" w:sz="0" w:space="0" w:color="auto"/>
              </w:divBdr>
              <w:divsChild>
                <w:div w:id="751698924">
                  <w:marLeft w:val="0"/>
                  <w:marRight w:val="0"/>
                  <w:marTop w:val="0"/>
                  <w:marBottom w:val="0"/>
                  <w:divBdr>
                    <w:top w:val="none" w:sz="0" w:space="0" w:color="auto"/>
                    <w:left w:val="none" w:sz="0" w:space="0" w:color="auto"/>
                    <w:bottom w:val="none" w:sz="0" w:space="0" w:color="auto"/>
                    <w:right w:val="none" w:sz="0" w:space="0" w:color="auto"/>
                  </w:divBdr>
                  <w:divsChild>
                    <w:div w:id="1616980823">
                      <w:marLeft w:val="0"/>
                      <w:marRight w:val="0"/>
                      <w:marTop w:val="0"/>
                      <w:marBottom w:val="0"/>
                      <w:divBdr>
                        <w:top w:val="none" w:sz="0" w:space="0" w:color="auto"/>
                        <w:left w:val="none" w:sz="0" w:space="0" w:color="auto"/>
                        <w:bottom w:val="none" w:sz="0" w:space="0" w:color="auto"/>
                        <w:right w:val="none" w:sz="0" w:space="0" w:color="auto"/>
                      </w:divBdr>
                      <w:divsChild>
                        <w:div w:id="932012151">
                          <w:marLeft w:val="0"/>
                          <w:marRight w:val="0"/>
                          <w:marTop w:val="0"/>
                          <w:marBottom w:val="0"/>
                          <w:divBdr>
                            <w:top w:val="none" w:sz="0" w:space="0" w:color="auto"/>
                            <w:left w:val="none" w:sz="0" w:space="0" w:color="auto"/>
                            <w:bottom w:val="none" w:sz="0" w:space="0" w:color="auto"/>
                            <w:right w:val="none" w:sz="0" w:space="0" w:color="auto"/>
                          </w:divBdr>
                          <w:divsChild>
                            <w:div w:id="14386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881960">
      <w:bodyDiv w:val="1"/>
      <w:marLeft w:val="0"/>
      <w:marRight w:val="0"/>
      <w:marTop w:val="0"/>
      <w:marBottom w:val="0"/>
      <w:divBdr>
        <w:top w:val="none" w:sz="0" w:space="0" w:color="auto"/>
        <w:left w:val="none" w:sz="0" w:space="0" w:color="auto"/>
        <w:bottom w:val="none" w:sz="0" w:space="0" w:color="auto"/>
        <w:right w:val="none" w:sz="0" w:space="0" w:color="auto"/>
      </w:divBdr>
    </w:div>
    <w:div w:id="341317703">
      <w:bodyDiv w:val="1"/>
      <w:marLeft w:val="0"/>
      <w:marRight w:val="0"/>
      <w:marTop w:val="0"/>
      <w:marBottom w:val="0"/>
      <w:divBdr>
        <w:top w:val="none" w:sz="0" w:space="0" w:color="auto"/>
        <w:left w:val="none" w:sz="0" w:space="0" w:color="auto"/>
        <w:bottom w:val="none" w:sz="0" w:space="0" w:color="auto"/>
        <w:right w:val="none" w:sz="0" w:space="0" w:color="auto"/>
      </w:divBdr>
    </w:div>
    <w:div w:id="357004993">
      <w:bodyDiv w:val="1"/>
      <w:marLeft w:val="0"/>
      <w:marRight w:val="0"/>
      <w:marTop w:val="0"/>
      <w:marBottom w:val="0"/>
      <w:divBdr>
        <w:top w:val="none" w:sz="0" w:space="0" w:color="auto"/>
        <w:left w:val="none" w:sz="0" w:space="0" w:color="auto"/>
        <w:bottom w:val="none" w:sz="0" w:space="0" w:color="auto"/>
        <w:right w:val="none" w:sz="0" w:space="0" w:color="auto"/>
      </w:divBdr>
    </w:div>
    <w:div w:id="373818353">
      <w:bodyDiv w:val="1"/>
      <w:marLeft w:val="0"/>
      <w:marRight w:val="0"/>
      <w:marTop w:val="0"/>
      <w:marBottom w:val="0"/>
      <w:divBdr>
        <w:top w:val="none" w:sz="0" w:space="0" w:color="auto"/>
        <w:left w:val="none" w:sz="0" w:space="0" w:color="auto"/>
        <w:bottom w:val="none" w:sz="0" w:space="0" w:color="auto"/>
        <w:right w:val="none" w:sz="0" w:space="0" w:color="auto"/>
      </w:divBdr>
    </w:div>
    <w:div w:id="391079620">
      <w:bodyDiv w:val="1"/>
      <w:marLeft w:val="0"/>
      <w:marRight w:val="0"/>
      <w:marTop w:val="0"/>
      <w:marBottom w:val="0"/>
      <w:divBdr>
        <w:top w:val="none" w:sz="0" w:space="0" w:color="auto"/>
        <w:left w:val="none" w:sz="0" w:space="0" w:color="auto"/>
        <w:bottom w:val="none" w:sz="0" w:space="0" w:color="auto"/>
        <w:right w:val="none" w:sz="0" w:space="0" w:color="auto"/>
      </w:divBdr>
    </w:div>
    <w:div w:id="405299117">
      <w:bodyDiv w:val="1"/>
      <w:marLeft w:val="0"/>
      <w:marRight w:val="0"/>
      <w:marTop w:val="0"/>
      <w:marBottom w:val="0"/>
      <w:divBdr>
        <w:top w:val="none" w:sz="0" w:space="0" w:color="auto"/>
        <w:left w:val="none" w:sz="0" w:space="0" w:color="auto"/>
        <w:bottom w:val="none" w:sz="0" w:space="0" w:color="auto"/>
        <w:right w:val="none" w:sz="0" w:space="0" w:color="auto"/>
      </w:divBdr>
    </w:div>
    <w:div w:id="407583380">
      <w:bodyDiv w:val="1"/>
      <w:marLeft w:val="0"/>
      <w:marRight w:val="0"/>
      <w:marTop w:val="0"/>
      <w:marBottom w:val="0"/>
      <w:divBdr>
        <w:top w:val="none" w:sz="0" w:space="0" w:color="auto"/>
        <w:left w:val="none" w:sz="0" w:space="0" w:color="auto"/>
        <w:bottom w:val="none" w:sz="0" w:space="0" w:color="auto"/>
        <w:right w:val="none" w:sz="0" w:space="0" w:color="auto"/>
      </w:divBdr>
    </w:div>
    <w:div w:id="412702965">
      <w:bodyDiv w:val="1"/>
      <w:marLeft w:val="0"/>
      <w:marRight w:val="0"/>
      <w:marTop w:val="0"/>
      <w:marBottom w:val="0"/>
      <w:divBdr>
        <w:top w:val="none" w:sz="0" w:space="0" w:color="auto"/>
        <w:left w:val="none" w:sz="0" w:space="0" w:color="auto"/>
        <w:bottom w:val="none" w:sz="0" w:space="0" w:color="auto"/>
        <w:right w:val="none" w:sz="0" w:space="0" w:color="auto"/>
      </w:divBdr>
    </w:div>
    <w:div w:id="459225012">
      <w:bodyDiv w:val="1"/>
      <w:marLeft w:val="0"/>
      <w:marRight w:val="0"/>
      <w:marTop w:val="0"/>
      <w:marBottom w:val="0"/>
      <w:divBdr>
        <w:top w:val="none" w:sz="0" w:space="0" w:color="auto"/>
        <w:left w:val="none" w:sz="0" w:space="0" w:color="auto"/>
        <w:bottom w:val="none" w:sz="0" w:space="0" w:color="auto"/>
        <w:right w:val="none" w:sz="0" w:space="0" w:color="auto"/>
      </w:divBdr>
    </w:div>
    <w:div w:id="461383245">
      <w:bodyDiv w:val="1"/>
      <w:marLeft w:val="0"/>
      <w:marRight w:val="0"/>
      <w:marTop w:val="0"/>
      <w:marBottom w:val="0"/>
      <w:divBdr>
        <w:top w:val="none" w:sz="0" w:space="0" w:color="auto"/>
        <w:left w:val="none" w:sz="0" w:space="0" w:color="auto"/>
        <w:bottom w:val="none" w:sz="0" w:space="0" w:color="auto"/>
        <w:right w:val="none" w:sz="0" w:space="0" w:color="auto"/>
      </w:divBdr>
    </w:div>
    <w:div w:id="478428280">
      <w:bodyDiv w:val="1"/>
      <w:marLeft w:val="0"/>
      <w:marRight w:val="0"/>
      <w:marTop w:val="0"/>
      <w:marBottom w:val="0"/>
      <w:divBdr>
        <w:top w:val="none" w:sz="0" w:space="0" w:color="auto"/>
        <w:left w:val="none" w:sz="0" w:space="0" w:color="auto"/>
        <w:bottom w:val="none" w:sz="0" w:space="0" w:color="auto"/>
        <w:right w:val="none" w:sz="0" w:space="0" w:color="auto"/>
      </w:divBdr>
    </w:div>
    <w:div w:id="481388148">
      <w:bodyDiv w:val="1"/>
      <w:marLeft w:val="0"/>
      <w:marRight w:val="0"/>
      <w:marTop w:val="0"/>
      <w:marBottom w:val="0"/>
      <w:divBdr>
        <w:top w:val="none" w:sz="0" w:space="0" w:color="auto"/>
        <w:left w:val="none" w:sz="0" w:space="0" w:color="auto"/>
        <w:bottom w:val="none" w:sz="0" w:space="0" w:color="auto"/>
        <w:right w:val="none" w:sz="0" w:space="0" w:color="auto"/>
      </w:divBdr>
    </w:div>
    <w:div w:id="482161737">
      <w:bodyDiv w:val="1"/>
      <w:marLeft w:val="0"/>
      <w:marRight w:val="0"/>
      <w:marTop w:val="0"/>
      <w:marBottom w:val="0"/>
      <w:divBdr>
        <w:top w:val="none" w:sz="0" w:space="0" w:color="auto"/>
        <w:left w:val="none" w:sz="0" w:space="0" w:color="auto"/>
        <w:bottom w:val="none" w:sz="0" w:space="0" w:color="auto"/>
        <w:right w:val="none" w:sz="0" w:space="0" w:color="auto"/>
      </w:divBdr>
    </w:div>
    <w:div w:id="498010782">
      <w:bodyDiv w:val="1"/>
      <w:marLeft w:val="0"/>
      <w:marRight w:val="0"/>
      <w:marTop w:val="0"/>
      <w:marBottom w:val="0"/>
      <w:divBdr>
        <w:top w:val="none" w:sz="0" w:space="0" w:color="auto"/>
        <w:left w:val="none" w:sz="0" w:space="0" w:color="auto"/>
        <w:bottom w:val="none" w:sz="0" w:space="0" w:color="auto"/>
        <w:right w:val="none" w:sz="0" w:space="0" w:color="auto"/>
      </w:divBdr>
    </w:div>
    <w:div w:id="519667263">
      <w:bodyDiv w:val="1"/>
      <w:marLeft w:val="0"/>
      <w:marRight w:val="0"/>
      <w:marTop w:val="0"/>
      <w:marBottom w:val="0"/>
      <w:divBdr>
        <w:top w:val="none" w:sz="0" w:space="0" w:color="auto"/>
        <w:left w:val="none" w:sz="0" w:space="0" w:color="auto"/>
        <w:bottom w:val="none" w:sz="0" w:space="0" w:color="auto"/>
        <w:right w:val="none" w:sz="0" w:space="0" w:color="auto"/>
      </w:divBdr>
      <w:divsChild>
        <w:div w:id="256639030">
          <w:marLeft w:val="0"/>
          <w:marRight w:val="0"/>
          <w:marTop w:val="0"/>
          <w:marBottom w:val="0"/>
          <w:divBdr>
            <w:top w:val="none" w:sz="0" w:space="0" w:color="auto"/>
            <w:left w:val="none" w:sz="0" w:space="0" w:color="auto"/>
            <w:bottom w:val="none" w:sz="0" w:space="0" w:color="auto"/>
            <w:right w:val="none" w:sz="0" w:space="0" w:color="auto"/>
          </w:divBdr>
          <w:divsChild>
            <w:div w:id="852303140">
              <w:marLeft w:val="0"/>
              <w:marRight w:val="0"/>
              <w:marTop w:val="0"/>
              <w:marBottom w:val="0"/>
              <w:divBdr>
                <w:top w:val="none" w:sz="0" w:space="0" w:color="auto"/>
                <w:left w:val="none" w:sz="0" w:space="0" w:color="auto"/>
                <w:bottom w:val="none" w:sz="0" w:space="0" w:color="auto"/>
                <w:right w:val="none" w:sz="0" w:space="0" w:color="auto"/>
              </w:divBdr>
              <w:divsChild>
                <w:div w:id="184638972">
                  <w:marLeft w:val="0"/>
                  <w:marRight w:val="0"/>
                  <w:marTop w:val="0"/>
                  <w:marBottom w:val="0"/>
                  <w:divBdr>
                    <w:top w:val="none" w:sz="0" w:space="0" w:color="auto"/>
                    <w:left w:val="none" w:sz="0" w:space="0" w:color="auto"/>
                    <w:bottom w:val="none" w:sz="0" w:space="0" w:color="auto"/>
                    <w:right w:val="none" w:sz="0" w:space="0" w:color="auto"/>
                  </w:divBdr>
                  <w:divsChild>
                    <w:div w:id="1536305655">
                      <w:marLeft w:val="0"/>
                      <w:marRight w:val="0"/>
                      <w:marTop w:val="0"/>
                      <w:marBottom w:val="0"/>
                      <w:divBdr>
                        <w:top w:val="none" w:sz="0" w:space="0" w:color="auto"/>
                        <w:left w:val="none" w:sz="0" w:space="0" w:color="auto"/>
                        <w:bottom w:val="none" w:sz="0" w:space="0" w:color="auto"/>
                        <w:right w:val="none" w:sz="0" w:space="0" w:color="auto"/>
                      </w:divBdr>
                      <w:divsChild>
                        <w:div w:id="393045588">
                          <w:marLeft w:val="0"/>
                          <w:marRight w:val="0"/>
                          <w:marTop w:val="0"/>
                          <w:marBottom w:val="0"/>
                          <w:divBdr>
                            <w:top w:val="none" w:sz="0" w:space="0" w:color="auto"/>
                            <w:left w:val="none" w:sz="0" w:space="0" w:color="auto"/>
                            <w:bottom w:val="none" w:sz="0" w:space="0" w:color="auto"/>
                            <w:right w:val="none" w:sz="0" w:space="0" w:color="auto"/>
                          </w:divBdr>
                          <w:divsChild>
                            <w:div w:id="4053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17956">
      <w:bodyDiv w:val="1"/>
      <w:marLeft w:val="0"/>
      <w:marRight w:val="0"/>
      <w:marTop w:val="0"/>
      <w:marBottom w:val="0"/>
      <w:divBdr>
        <w:top w:val="none" w:sz="0" w:space="0" w:color="auto"/>
        <w:left w:val="none" w:sz="0" w:space="0" w:color="auto"/>
        <w:bottom w:val="none" w:sz="0" w:space="0" w:color="auto"/>
        <w:right w:val="none" w:sz="0" w:space="0" w:color="auto"/>
      </w:divBdr>
    </w:div>
    <w:div w:id="530148945">
      <w:bodyDiv w:val="1"/>
      <w:marLeft w:val="0"/>
      <w:marRight w:val="0"/>
      <w:marTop w:val="0"/>
      <w:marBottom w:val="0"/>
      <w:divBdr>
        <w:top w:val="none" w:sz="0" w:space="0" w:color="auto"/>
        <w:left w:val="none" w:sz="0" w:space="0" w:color="auto"/>
        <w:bottom w:val="none" w:sz="0" w:space="0" w:color="auto"/>
        <w:right w:val="none" w:sz="0" w:space="0" w:color="auto"/>
      </w:divBdr>
    </w:div>
    <w:div w:id="544026892">
      <w:bodyDiv w:val="1"/>
      <w:marLeft w:val="0"/>
      <w:marRight w:val="0"/>
      <w:marTop w:val="0"/>
      <w:marBottom w:val="0"/>
      <w:divBdr>
        <w:top w:val="none" w:sz="0" w:space="0" w:color="auto"/>
        <w:left w:val="none" w:sz="0" w:space="0" w:color="auto"/>
        <w:bottom w:val="none" w:sz="0" w:space="0" w:color="auto"/>
        <w:right w:val="none" w:sz="0" w:space="0" w:color="auto"/>
      </w:divBdr>
    </w:div>
    <w:div w:id="556278878">
      <w:bodyDiv w:val="1"/>
      <w:marLeft w:val="0"/>
      <w:marRight w:val="0"/>
      <w:marTop w:val="0"/>
      <w:marBottom w:val="0"/>
      <w:divBdr>
        <w:top w:val="none" w:sz="0" w:space="0" w:color="auto"/>
        <w:left w:val="none" w:sz="0" w:space="0" w:color="auto"/>
        <w:bottom w:val="none" w:sz="0" w:space="0" w:color="auto"/>
        <w:right w:val="none" w:sz="0" w:space="0" w:color="auto"/>
      </w:divBdr>
    </w:div>
    <w:div w:id="559364678">
      <w:bodyDiv w:val="1"/>
      <w:marLeft w:val="0"/>
      <w:marRight w:val="0"/>
      <w:marTop w:val="0"/>
      <w:marBottom w:val="0"/>
      <w:divBdr>
        <w:top w:val="none" w:sz="0" w:space="0" w:color="auto"/>
        <w:left w:val="none" w:sz="0" w:space="0" w:color="auto"/>
        <w:bottom w:val="none" w:sz="0" w:space="0" w:color="auto"/>
        <w:right w:val="none" w:sz="0" w:space="0" w:color="auto"/>
      </w:divBdr>
    </w:div>
    <w:div w:id="573857386">
      <w:bodyDiv w:val="1"/>
      <w:marLeft w:val="0"/>
      <w:marRight w:val="0"/>
      <w:marTop w:val="0"/>
      <w:marBottom w:val="0"/>
      <w:divBdr>
        <w:top w:val="none" w:sz="0" w:space="0" w:color="auto"/>
        <w:left w:val="none" w:sz="0" w:space="0" w:color="auto"/>
        <w:bottom w:val="none" w:sz="0" w:space="0" w:color="auto"/>
        <w:right w:val="none" w:sz="0" w:space="0" w:color="auto"/>
      </w:divBdr>
    </w:div>
    <w:div w:id="573929385">
      <w:bodyDiv w:val="1"/>
      <w:marLeft w:val="0"/>
      <w:marRight w:val="0"/>
      <w:marTop w:val="0"/>
      <w:marBottom w:val="0"/>
      <w:divBdr>
        <w:top w:val="none" w:sz="0" w:space="0" w:color="auto"/>
        <w:left w:val="none" w:sz="0" w:space="0" w:color="auto"/>
        <w:bottom w:val="none" w:sz="0" w:space="0" w:color="auto"/>
        <w:right w:val="none" w:sz="0" w:space="0" w:color="auto"/>
      </w:divBdr>
    </w:div>
    <w:div w:id="576868790">
      <w:bodyDiv w:val="1"/>
      <w:marLeft w:val="0"/>
      <w:marRight w:val="0"/>
      <w:marTop w:val="0"/>
      <w:marBottom w:val="0"/>
      <w:divBdr>
        <w:top w:val="none" w:sz="0" w:space="0" w:color="auto"/>
        <w:left w:val="none" w:sz="0" w:space="0" w:color="auto"/>
        <w:bottom w:val="none" w:sz="0" w:space="0" w:color="auto"/>
        <w:right w:val="none" w:sz="0" w:space="0" w:color="auto"/>
      </w:divBdr>
    </w:div>
    <w:div w:id="580062975">
      <w:bodyDiv w:val="1"/>
      <w:marLeft w:val="0"/>
      <w:marRight w:val="0"/>
      <w:marTop w:val="0"/>
      <w:marBottom w:val="0"/>
      <w:divBdr>
        <w:top w:val="none" w:sz="0" w:space="0" w:color="auto"/>
        <w:left w:val="none" w:sz="0" w:space="0" w:color="auto"/>
        <w:bottom w:val="none" w:sz="0" w:space="0" w:color="auto"/>
        <w:right w:val="none" w:sz="0" w:space="0" w:color="auto"/>
      </w:divBdr>
    </w:div>
    <w:div w:id="582110463">
      <w:bodyDiv w:val="1"/>
      <w:marLeft w:val="0"/>
      <w:marRight w:val="0"/>
      <w:marTop w:val="0"/>
      <w:marBottom w:val="0"/>
      <w:divBdr>
        <w:top w:val="none" w:sz="0" w:space="0" w:color="auto"/>
        <w:left w:val="none" w:sz="0" w:space="0" w:color="auto"/>
        <w:bottom w:val="none" w:sz="0" w:space="0" w:color="auto"/>
        <w:right w:val="none" w:sz="0" w:space="0" w:color="auto"/>
      </w:divBdr>
    </w:div>
    <w:div w:id="582184286">
      <w:bodyDiv w:val="1"/>
      <w:marLeft w:val="0"/>
      <w:marRight w:val="0"/>
      <w:marTop w:val="0"/>
      <w:marBottom w:val="0"/>
      <w:divBdr>
        <w:top w:val="none" w:sz="0" w:space="0" w:color="auto"/>
        <w:left w:val="none" w:sz="0" w:space="0" w:color="auto"/>
        <w:bottom w:val="none" w:sz="0" w:space="0" w:color="auto"/>
        <w:right w:val="none" w:sz="0" w:space="0" w:color="auto"/>
      </w:divBdr>
    </w:div>
    <w:div w:id="590284310">
      <w:bodyDiv w:val="1"/>
      <w:marLeft w:val="0"/>
      <w:marRight w:val="0"/>
      <w:marTop w:val="0"/>
      <w:marBottom w:val="0"/>
      <w:divBdr>
        <w:top w:val="none" w:sz="0" w:space="0" w:color="auto"/>
        <w:left w:val="none" w:sz="0" w:space="0" w:color="auto"/>
        <w:bottom w:val="none" w:sz="0" w:space="0" w:color="auto"/>
        <w:right w:val="none" w:sz="0" w:space="0" w:color="auto"/>
      </w:divBdr>
      <w:divsChild>
        <w:div w:id="309213335">
          <w:marLeft w:val="446"/>
          <w:marRight w:val="0"/>
          <w:marTop w:val="0"/>
          <w:marBottom w:val="0"/>
          <w:divBdr>
            <w:top w:val="none" w:sz="0" w:space="0" w:color="auto"/>
            <w:left w:val="none" w:sz="0" w:space="0" w:color="auto"/>
            <w:bottom w:val="none" w:sz="0" w:space="0" w:color="auto"/>
            <w:right w:val="none" w:sz="0" w:space="0" w:color="auto"/>
          </w:divBdr>
        </w:div>
      </w:divsChild>
    </w:div>
    <w:div w:id="603265217">
      <w:bodyDiv w:val="1"/>
      <w:marLeft w:val="0"/>
      <w:marRight w:val="0"/>
      <w:marTop w:val="0"/>
      <w:marBottom w:val="0"/>
      <w:divBdr>
        <w:top w:val="none" w:sz="0" w:space="0" w:color="auto"/>
        <w:left w:val="none" w:sz="0" w:space="0" w:color="auto"/>
        <w:bottom w:val="none" w:sz="0" w:space="0" w:color="auto"/>
        <w:right w:val="none" w:sz="0" w:space="0" w:color="auto"/>
      </w:divBdr>
    </w:div>
    <w:div w:id="605044847">
      <w:bodyDiv w:val="1"/>
      <w:marLeft w:val="0"/>
      <w:marRight w:val="0"/>
      <w:marTop w:val="0"/>
      <w:marBottom w:val="0"/>
      <w:divBdr>
        <w:top w:val="none" w:sz="0" w:space="0" w:color="auto"/>
        <w:left w:val="none" w:sz="0" w:space="0" w:color="auto"/>
        <w:bottom w:val="none" w:sz="0" w:space="0" w:color="auto"/>
        <w:right w:val="none" w:sz="0" w:space="0" w:color="auto"/>
      </w:divBdr>
    </w:div>
    <w:div w:id="629676130">
      <w:bodyDiv w:val="1"/>
      <w:marLeft w:val="0"/>
      <w:marRight w:val="0"/>
      <w:marTop w:val="0"/>
      <w:marBottom w:val="0"/>
      <w:divBdr>
        <w:top w:val="none" w:sz="0" w:space="0" w:color="auto"/>
        <w:left w:val="none" w:sz="0" w:space="0" w:color="auto"/>
        <w:bottom w:val="none" w:sz="0" w:space="0" w:color="auto"/>
        <w:right w:val="none" w:sz="0" w:space="0" w:color="auto"/>
      </w:divBdr>
    </w:div>
    <w:div w:id="655495721">
      <w:bodyDiv w:val="1"/>
      <w:marLeft w:val="0"/>
      <w:marRight w:val="0"/>
      <w:marTop w:val="0"/>
      <w:marBottom w:val="0"/>
      <w:divBdr>
        <w:top w:val="none" w:sz="0" w:space="0" w:color="auto"/>
        <w:left w:val="none" w:sz="0" w:space="0" w:color="auto"/>
        <w:bottom w:val="none" w:sz="0" w:space="0" w:color="auto"/>
        <w:right w:val="none" w:sz="0" w:space="0" w:color="auto"/>
      </w:divBdr>
    </w:div>
    <w:div w:id="670373774">
      <w:bodyDiv w:val="1"/>
      <w:marLeft w:val="0"/>
      <w:marRight w:val="0"/>
      <w:marTop w:val="0"/>
      <w:marBottom w:val="0"/>
      <w:divBdr>
        <w:top w:val="none" w:sz="0" w:space="0" w:color="auto"/>
        <w:left w:val="none" w:sz="0" w:space="0" w:color="auto"/>
        <w:bottom w:val="none" w:sz="0" w:space="0" w:color="auto"/>
        <w:right w:val="none" w:sz="0" w:space="0" w:color="auto"/>
      </w:divBdr>
    </w:div>
    <w:div w:id="678703970">
      <w:bodyDiv w:val="1"/>
      <w:marLeft w:val="0"/>
      <w:marRight w:val="0"/>
      <w:marTop w:val="0"/>
      <w:marBottom w:val="0"/>
      <w:divBdr>
        <w:top w:val="none" w:sz="0" w:space="0" w:color="auto"/>
        <w:left w:val="none" w:sz="0" w:space="0" w:color="auto"/>
        <w:bottom w:val="none" w:sz="0" w:space="0" w:color="auto"/>
        <w:right w:val="none" w:sz="0" w:space="0" w:color="auto"/>
      </w:divBdr>
    </w:div>
    <w:div w:id="681250405">
      <w:bodyDiv w:val="1"/>
      <w:marLeft w:val="0"/>
      <w:marRight w:val="0"/>
      <w:marTop w:val="0"/>
      <w:marBottom w:val="0"/>
      <w:divBdr>
        <w:top w:val="none" w:sz="0" w:space="0" w:color="auto"/>
        <w:left w:val="none" w:sz="0" w:space="0" w:color="auto"/>
        <w:bottom w:val="none" w:sz="0" w:space="0" w:color="auto"/>
        <w:right w:val="none" w:sz="0" w:space="0" w:color="auto"/>
      </w:divBdr>
      <w:divsChild>
        <w:div w:id="40633792">
          <w:marLeft w:val="0"/>
          <w:marRight w:val="0"/>
          <w:marTop w:val="0"/>
          <w:marBottom w:val="0"/>
          <w:divBdr>
            <w:top w:val="none" w:sz="0" w:space="0" w:color="auto"/>
            <w:left w:val="none" w:sz="0" w:space="0" w:color="auto"/>
            <w:bottom w:val="none" w:sz="0" w:space="0" w:color="auto"/>
            <w:right w:val="none" w:sz="0" w:space="0" w:color="auto"/>
          </w:divBdr>
          <w:divsChild>
            <w:div w:id="778066867">
              <w:marLeft w:val="0"/>
              <w:marRight w:val="0"/>
              <w:marTop w:val="0"/>
              <w:marBottom w:val="0"/>
              <w:divBdr>
                <w:top w:val="none" w:sz="0" w:space="0" w:color="auto"/>
                <w:left w:val="none" w:sz="0" w:space="0" w:color="auto"/>
                <w:bottom w:val="none" w:sz="0" w:space="0" w:color="auto"/>
                <w:right w:val="none" w:sz="0" w:space="0" w:color="auto"/>
              </w:divBdr>
              <w:divsChild>
                <w:div w:id="798689212">
                  <w:marLeft w:val="0"/>
                  <w:marRight w:val="0"/>
                  <w:marTop w:val="0"/>
                  <w:marBottom w:val="0"/>
                  <w:divBdr>
                    <w:top w:val="none" w:sz="0" w:space="0" w:color="auto"/>
                    <w:left w:val="none" w:sz="0" w:space="0" w:color="auto"/>
                    <w:bottom w:val="none" w:sz="0" w:space="0" w:color="auto"/>
                    <w:right w:val="none" w:sz="0" w:space="0" w:color="auto"/>
                  </w:divBdr>
                  <w:divsChild>
                    <w:div w:id="627971014">
                      <w:marLeft w:val="0"/>
                      <w:marRight w:val="0"/>
                      <w:marTop w:val="0"/>
                      <w:marBottom w:val="0"/>
                      <w:divBdr>
                        <w:top w:val="none" w:sz="0" w:space="0" w:color="auto"/>
                        <w:left w:val="none" w:sz="0" w:space="0" w:color="auto"/>
                        <w:bottom w:val="none" w:sz="0" w:space="0" w:color="auto"/>
                        <w:right w:val="none" w:sz="0" w:space="0" w:color="auto"/>
                      </w:divBdr>
                      <w:divsChild>
                        <w:div w:id="192698588">
                          <w:marLeft w:val="0"/>
                          <w:marRight w:val="0"/>
                          <w:marTop w:val="0"/>
                          <w:marBottom w:val="0"/>
                          <w:divBdr>
                            <w:top w:val="none" w:sz="0" w:space="0" w:color="auto"/>
                            <w:left w:val="none" w:sz="0" w:space="0" w:color="auto"/>
                            <w:bottom w:val="none" w:sz="0" w:space="0" w:color="auto"/>
                            <w:right w:val="none" w:sz="0" w:space="0" w:color="auto"/>
                          </w:divBdr>
                          <w:divsChild>
                            <w:div w:id="434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8169">
      <w:bodyDiv w:val="1"/>
      <w:marLeft w:val="0"/>
      <w:marRight w:val="0"/>
      <w:marTop w:val="0"/>
      <w:marBottom w:val="0"/>
      <w:divBdr>
        <w:top w:val="none" w:sz="0" w:space="0" w:color="auto"/>
        <w:left w:val="none" w:sz="0" w:space="0" w:color="auto"/>
        <w:bottom w:val="none" w:sz="0" w:space="0" w:color="auto"/>
        <w:right w:val="none" w:sz="0" w:space="0" w:color="auto"/>
      </w:divBdr>
    </w:div>
    <w:div w:id="711156733">
      <w:bodyDiv w:val="1"/>
      <w:marLeft w:val="0"/>
      <w:marRight w:val="0"/>
      <w:marTop w:val="0"/>
      <w:marBottom w:val="0"/>
      <w:divBdr>
        <w:top w:val="none" w:sz="0" w:space="0" w:color="auto"/>
        <w:left w:val="none" w:sz="0" w:space="0" w:color="auto"/>
        <w:bottom w:val="none" w:sz="0" w:space="0" w:color="auto"/>
        <w:right w:val="none" w:sz="0" w:space="0" w:color="auto"/>
      </w:divBdr>
    </w:div>
    <w:div w:id="720709432">
      <w:bodyDiv w:val="1"/>
      <w:marLeft w:val="0"/>
      <w:marRight w:val="0"/>
      <w:marTop w:val="0"/>
      <w:marBottom w:val="0"/>
      <w:divBdr>
        <w:top w:val="none" w:sz="0" w:space="0" w:color="auto"/>
        <w:left w:val="none" w:sz="0" w:space="0" w:color="auto"/>
        <w:bottom w:val="none" w:sz="0" w:space="0" w:color="auto"/>
        <w:right w:val="none" w:sz="0" w:space="0" w:color="auto"/>
      </w:divBdr>
    </w:div>
    <w:div w:id="743990958">
      <w:bodyDiv w:val="1"/>
      <w:marLeft w:val="0"/>
      <w:marRight w:val="0"/>
      <w:marTop w:val="0"/>
      <w:marBottom w:val="0"/>
      <w:divBdr>
        <w:top w:val="none" w:sz="0" w:space="0" w:color="auto"/>
        <w:left w:val="none" w:sz="0" w:space="0" w:color="auto"/>
        <w:bottom w:val="none" w:sz="0" w:space="0" w:color="auto"/>
        <w:right w:val="none" w:sz="0" w:space="0" w:color="auto"/>
      </w:divBdr>
    </w:div>
    <w:div w:id="753358616">
      <w:bodyDiv w:val="1"/>
      <w:marLeft w:val="0"/>
      <w:marRight w:val="0"/>
      <w:marTop w:val="0"/>
      <w:marBottom w:val="0"/>
      <w:divBdr>
        <w:top w:val="none" w:sz="0" w:space="0" w:color="auto"/>
        <w:left w:val="none" w:sz="0" w:space="0" w:color="auto"/>
        <w:bottom w:val="none" w:sz="0" w:space="0" w:color="auto"/>
        <w:right w:val="none" w:sz="0" w:space="0" w:color="auto"/>
      </w:divBdr>
    </w:div>
    <w:div w:id="800658377">
      <w:bodyDiv w:val="1"/>
      <w:marLeft w:val="0"/>
      <w:marRight w:val="0"/>
      <w:marTop w:val="0"/>
      <w:marBottom w:val="0"/>
      <w:divBdr>
        <w:top w:val="none" w:sz="0" w:space="0" w:color="auto"/>
        <w:left w:val="none" w:sz="0" w:space="0" w:color="auto"/>
        <w:bottom w:val="none" w:sz="0" w:space="0" w:color="auto"/>
        <w:right w:val="none" w:sz="0" w:space="0" w:color="auto"/>
      </w:divBdr>
      <w:divsChild>
        <w:div w:id="608511991">
          <w:marLeft w:val="0"/>
          <w:marRight w:val="0"/>
          <w:marTop w:val="0"/>
          <w:marBottom w:val="0"/>
          <w:divBdr>
            <w:top w:val="none" w:sz="0" w:space="0" w:color="auto"/>
            <w:left w:val="none" w:sz="0" w:space="0" w:color="auto"/>
            <w:bottom w:val="none" w:sz="0" w:space="0" w:color="auto"/>
            <w:right w:val="none" w:sz="0" w:space="0" w:color="auto"/>
          </w:divBdr>
          <w:divsChild>
            <w:div w:id="1160582200">
              <w:marLeft w:val="0"/>
              <w:marRight w:val="0"/>
              <w:marTop w:val="0"/>
              <w:marBottom w:val="0"/>
              <w:divBdr>
                <w:top w:val="none" w:sz="0" w:space="0" w:color="auto"/>
                <w:left w:val="none" w:sz="0" w:space="0" w:color="auto"/>
                <w:bottom w:val="none" w:sz="0" w:space="0" w:color="auto"/>
                <w:right w:val="none" w:sz="0" w:space="0" w:color="auto"/>
              </w:divBdr>
              <w:divsChild>
                <w:div w:id="436952356">
                  <w:marLeft w:val="0"/>
                  <w:marRight w:val="0"/>
                  <w:marTop w:val="0"/>
                  <w:marBottom w:val="0"/>
                  <w:divBdr>
                    <w:top w:val="none" w:sz="0" w:space="0" w:color="auto"/>
                    <w:left w:val="none" w:sz="0" w:space="0" w:color="auto"/>
                    <w:bottom w:val="none" w:sz="0" w:space="0" w:color="auto"/>
                    <w:right w:val="none" w:sz="0" w:space="0" w:color="auto"/>
                  </w:divBdr>
                  <w:divsChild>
                    <w:div w:id="683286684">
                      <w:marLeft w:val="0"/>
                      <w:marRight w:val="0"/>
                      <w:marTop w:val="0"/>
                      <w:marBottom w:val="0"/>
                      <w:divBdr>
                        <w:top w:val="none" w:sz="0" w:space="0" w:color="auto"/>
                        <w:left w:val="none" w:sz="0" w:space="0" w:color="auto"/>
                        <w:bottom w:val="none" w:sz="0" w:space="0" w:color="auto"/>
                        <w:right w:val="none" w:sz="0" w:space="0" w:color="auto"/>
                      </w:divBdr>
                      <w:divsChild>
                        <w:div w:id="1110200670">
                          <w:marLeft w:val="0"/>
                          <w:marRight w:val="0"/>
                          <w:marTop w:val="0"/>
                          <w:marBottom w:val="0"/>
                          <w:divBdr>
                            <w:top w:val="none" w:sz="0" w:space="0" w:color="auto"/>
                            <w:left w:val="none" w:sz="0" w:space="0" w:color="auto"/>
                            <w:bottom w:val="none" w:sz="0" w:space="0" w:color="auto"/>
                            <w:right w:val="none" w:sz="0" w:space="0" w:color="auto"/>
                          </w:divBdr>
                          <w:divsChild>
                            <w:div w:id="16833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644903">
      <w:bodyDiv w:val="1"/>
      <w:marLeft w:val="0"/>
      <w:marRight w:val="0"/>
      <w:marTop w:val="0"/>
      <w:marBottom w:val="0"/>
      <w:divBdr>
        <w:top w:val="none" w:sz="0" w:space="0" w:color="auto"/>
        <w:left w:val="none" w:sz="0" w:space="0" w:color="auto"/>
        <w:bottom w:val="none" w:sz="0" w:space="0" w:color="auto"/>
        <w:right w:val="none" w:sz="0" w:space="0" w:color="auto"/>
      </w:divBdr>
    </w:div>
    <w:div w:id="859394800">
      <w:bodyDiv w:val="1"/>
      <w:marLeft w:val="0"/>
      <w:marRight w:val="0"/>
      <w:marTop w:val="0"/>
      <w:marBottom w:val="0"/>
      <w:divBdr>
        <w:top w:val="none" w:sz="0" w:space="0" w:color="auto"/>
        <w:left w:val="none" w:sz="0" w:space="0" w:color="auto"/>
        <w:bottom w:val="none" w:sz="0" w:space="0" w:color="auto"/>
        <w:right w:val="none" w:sz="0" w:space="0" w:color="auto"/>
      </w:divBdr>
    </w:div>
    <w:div w:id="864171659">
      <w:bodyDiv w:val="1"/>
      <w:marLeft w:val="0"/>
      <w:marRight w:val="0"/>
      <w:marTop w:val="0"/>
      <w:marBottom w:val="0"/>
      <w:divBdr>
        <w:top w:val="none" w:sz="0" w:space="0" w:color="auto"/>
        <w:left w:val="none" w:sz="0" w:space="0" w:color="auto"/>
        <w:bottom w:val="none" w:sz="0" w:space="0" w:color="auto"/>
        <w:right w:val="none" w:sz="0" w:space="0" w:color="auto"/>
      </w:divBdr>
    </w:div>
    <w:div w:id="885801663">
      <w:bodyDiv w:val="1"/>
      <w:marLeft w:val="0"/>
      <w:marRight w:val="0"/>
      <w:marTop w:val="0"/>
      <w:marBottom w:val="0"/>
      <w:divBdr>
        <w:top w:val="none" w:sz="0" w:space="0" w:color="auto"/>
        <w:left w:val="none" w:sz="0" w:space="0" w:color="auto"/>
        <w:bottom w:val="none" w:sz="0" w:space="0" w:color="auto"/>
        <w:right w:val="none" w:sz="0" w:space="0" w:color="auto"/>
      </w:divBdr>
    </w:div>
    <w:div w:id="900289963">
      <w:bodyDiv w:val="1"/>
      <w:marLeft w:val="0"/>
      <w:marRight w:val="0"/>
      <w:marTop w:val="0"/>
      <w:marBottom w:val="0"/>
      <w:divBdr>
        <w:top w:val="none" w:sz="0" w:space="0" w:color="auto"/>
        <w:left w:val="none" w:sz="0" w:space="0" w:color="auto"/>
        <w:bottom w:val="none" w:sz="0" w:space="0" w:color="auto"/>
        <w:right w:val="none" w:sz="0" w:space="0" w:color="auto"/>
      </w:divBdr>
      <w:divsChild>
        <w:div w:id="797377811">
          <w:marLeft w:val="446"/>
          <w:marRight w:val="0"/>
          <w:marTop w:val="0"/>
          <w:marBottom w:val="0"/>
          <w:divBdr>
            <w:top w:val="none" w:sz="0" w:space="0" w:color="auto"/>
            <w:left w:val="none" w:sz="0" w:space="0" w:color="auto"/>
            <w:bottom w:val="none" w:sz="0" w:space="0" w:color="auto"/>
            <w:right w:val="none" w:sz="0" w:space="0" w:color="auto"/>
          </w:divBdr>
        </w:div>
      </w:divsChild>
    </w:div>
    <w:div w:id="918516268">
      <w:bodyDiv w:val="1"/>
      <w:marLeft w:val="0"/>
      <w:marRight w:val="0"/>
      <w:marTop w:val="0"/>
      <w:marBottom w:val="0"/>
      <w:divBdr>
        <w:top w:val="none" w:sz="0" w:space="0" w:color="auto"/>
        <w:left w:val="none" w:sz="0" w:space="0" w:color="auto"/>
        <w:bottom w:val="none" w:sz="0" w:space="0" w:color="auto"/>
        <w:right w:val="none" w:sz="0" w:space="0" w:color="auto"/>
      </w:divBdr>
    </w:div>
    <w:div w:id="918750073">
      <w:bodyDiv w:val="1"/>
      <w:marLeft w:val="0"/>
      <w:marRight w:val="0"/>
      <w:marTop w:val="0"/>
      <w:marBottom w:val="0"/>
      <w:divBdr>
        <w:top w:val="none" w:sz="0" w:space="0" w:color="auto"/>
        <w:left w:val="none" w:sz="0" w:space="0" w:color="auto"/>
        <w:bottom w:val="none" w:sz="0" w:space="0" w:color="auto"/>
        <w:right w:val="none" w:sz="0" w:space="0" w:color="auto"/>
      </w:divBdr>
    </w:div>
    <w:div w:id="924533153">
      <w:bodyDiv w:val="1"/>
      <w:marLeft w:val="0"/>
      <w:marRight w:val="0"/>
      <w:marTop w:val="0"/>
      <w:marBottom w:val="0"/>
      <w:divBdr>
        <w:top w:val="none" w:sz="0" w:space="0" w:color="auto"/>
        <w:left w:val="none" w:sz="0" w:space="0" w:color="auto"/>
        <w:bottom w:val="none" w:sz="0" w:space="0" w:color="auto"/>
        <w:right w:val="none" w:sz="0" w:space="0" w:color="auto"/>
      </w:divBdr>
    </w:div>
    <w:div w:id="935021829">
      <w:bodyDiv w:val="1"/>
      <w:marLeft w:val="0"/>
      <w:marRight w:val="0"/>
      <w:marTop w:val="0"/>
      <w:marBottom w:val="0"/>
      <w:divBdr>
        <w:top w:val="none" w:sz="0" w:space="0" w:color="auto"/>
        <w:left w:val="none" w:sz="0" w:space="0" w:color="auto"/>
        <w:bottom w:val="none" w:sz="0" w:space="0" w:color="auto"/>
        <w:right w:val="none" w:sz="0" w:space="0" w:color="auto"/>
      </w:divBdr>
    </w:div>
    <w:div w:id="951286122">
      <w:bodyDiv w:val="1"/>
      <w:marLeft w:val="0"/>
      <w:marRight w:val="0"/>
      <w:marTop w:val="0"/>
      <w:marBottom w:val="0"/>
      <w:divBdr>
        <w:top w:val="none" w:sz="0" w:space="0" w:color="auto"/>
        <w:left w:val="none" w:sz="0" w:space="0" w:color="auto"/>
        <w:bottom w:val="none" w:sz="0" w:space="0" w:color="auto"/>
        <w:right w:val="none" w:sz="0" w:space="0" w:color="auto"/>
      </w:divBdr>
    </w:div>
    <w:div w:id="957957688">
      <w:bodyDiv w:val="1"/>
      <w:marLeft w:val="0"/>
      <w:marRight w:val="0"/>
      <w:marTop w:val="0"/>
      <w:marBottom w:val="0"/>
      <w:divBdr>
        <w:top w:val="none" w:sz="0" w:space="0" w:color="auto"/>
        <w:left w:val="none" w:sz="0" w:space="0" w:color="auto"/>
        <w:bottom w:val="none" w:sz="0" w:space="0" w:color="auto"/>
        <w:right w:val="none" w:sz="0" w:space="0" w:color="auto"/>
      </w:divBdr>
    </w:div>
    <w:div w:id="961765763">
      <w:bodyDiv w:val="1"/>
      <w:marLeft w:val="0"/>
      <w:marRight w:val="0"/>
      <w:marTop w:val="0"/>
      <w:marBottom w:val="0"/>
      <w:divBdr>
        <w:top w:val="none" w:sz="0" w:space="0" w:color="auto"/>
        <w:left w:val="none" w:sz="0" w:space="0" w:color="auto"/>
        <w:bottom w:val="none" w:sz="0" w:space="0" w:color="auto"/>
        <w:right w:val="none" w:sz="0" w:space="0" w:color="auto"/>
      </w:divBdr>
      <w:divsChild>
        <w:div w:id="258173170">
          <w:marLeft w:val="0"/>
          <w:marRight w:val="0"/>
          <w:marTop w:val="0"/>
          <w:marBottom w:val="0"/>
          <w:divBdr>
            <w:top w:val="none" w:sz="0" w:space="0" w:color="auto"/>
            <w:left w:val="none" w:sz="0" w:space="0" w:color="auto"/>
            <w:bottom w:val="none" w:sz="0" w:space="0" w:color="auto"/>
            <w:right w:val="none" w:sz="0" w:space="0" w:color="auto"/>
          </w:divBdr>
        </w:div>
        <w:div w:id="571698019">
          <w:marLeft w:val="0"/>
          <w:marRight w:val="0"/>
          <w:marTop w:val="0"/>
          <w:marBottom w:val="0"/>
          <w:divBdr>
            <w:top w:val="none" w:sz="0" w:space="0" w:color="auto"/>
            <w:left w:val="none" w:sz="0" w:space="0" w:color="auto"/>
            <w:bottom w:val="none" w:sz="0" w:space="0" w:color="auto"/>
            <w:right w:val="none" w:sz="0" w:space="0" w:color="auto"/>
          </w:divBdr>
        </w:div>
        <w:div w:id="929243146">
          <w:marLeft w:val="0"/>
          <w:marRight w:val="0"/>
          <w:marTop w:val="0"/>
          <w:marBottom w:val="0"/>
          <w:divBdr>
            <w:top w:val="none" w:sz="0" w:space="0" w:color="auto"/>
            <w:left w:val="none" w:sz="0" w:space="0" w:color="auto"/>
            <w:bottom w:val="none" w:sz="0" w:space="0" w:color="auto"/>
            <w:right w:val="none" w:sz="0" w:space="0" w:color="auto"/>
          </w:divBdr>
        </w:div>
        <w:div w:id="1060785764">
          <w:marLeft w:val="0"/>
          <w:marRight w:val="0"/>
          <w:marTop w:val="0"/>
          <w:marBottom w:val="0"/>
          <w:divBdr>
            <w:top w:val="none" w:sz="0" w:space="0" w:color="auto"/>
            <w:left w:val="none" w:sz="0" w:space="0" w:color="auto"/>
            <w:bottom w:val="none" w:sz="0" w:space="0" w:color="auto"/>
            <w:right w:val="none" w:sz="0" w:space="0" w:color="auto"/>
          </w:divBdr>
        </w:div>
        <w:div w:id="1596355486">
          <w:marLeft w:val="0"/>
          <w:marRight w:val="0"/>
          <w:marTop w:val="0"/>
          <w:marBottom w:val="0"/>
          <w:divBdr>
            <w:top w:val="none" w:sz="0" w:space="0" w:color="auto"/>
            <w:left w:val="none" w:sz="0" w:space="0" w:color="auto"/>
            <w:bottom w:val="none" w:sz="0" w:space="0" w:color="auto"/>
            <w:right w:val="none" w:sz="0" w:space="0" w:color="auto"/>
          </w:divBdr>
        </w:div>
        <w:div w:id="1947106648">
          <w:marLeft w:val="0"/>
          <w:marRight w:val="0"/>
          <w:marTop w:val="0"/>
          <w:marBottom w:val="0"/>
          <w:divBdr>
            <w:top w:val="none" w:sz="0" w:space="0" w:color="auto"/>
            <w:left w:val="none" w:sz="0" w:space="0" w:color="auto"/>
            <w:bottom w:val="none" w:sz="0" w:space="0" w:color="auto"/>
            <w:right w:val="none" w:sz="0" w:space="0" w:color="auto"/>
          </w:divBdr>
        </w:div>
      </w:divsChild>
    </w:div>
    <w:div w:id="1009527084">
      <w:bodyDiv w:val="1"/>
      <w:marLeft w:val="0"/>
      <w:marRight w:val="0"/>
      <w:marTop w:val="0"/>
      <w:marBottom w:val="0"/>
      <w:divBdr>
        <w:top w:val="none" w:sz="0" w:space="0" w:color="auto"/>
        <w:left w:val="none" w:sz="0" w:space="0" w:color="auto"/>
        <w:bottom w:val="none" w:sz="0" w:space="0" w:color="auto"/>
        <w:right w:val="none" w:sz="0" w:space="0" w:color="auto"/>
      </w:divBdr>
    </w:div>
    <w:div w:id="1016811021">
      <w:bodyDiv w:val="1"/>
      <w:marLeft w:val="0"/>
      <w:marRight w:val="0"/>
      <w:marTop w:val="0"/>
      <w:marBottom w:val="0"/>
      <w:divBdr>
        <w:top w:val="none" w:sz="0" w:space="0" w:color="auto"/>
        <w:left w:val="none" w:sz="0" w:space="0" w:color="auto"/>
        <w:bottom w:val="none" w:sz="0" w:space="0" w:color="auto"/>
        <w:right w:val="none" w:sz="0" w:space="0" w:color="auto"/>
      </w:divBdr>
    </w:div>
    <w:div w:id="1025983407">
      <w:bodyDiv w:val="1"/>
      <w:marLeft w:val="0"/>
      <w:marRight w:val="0"/>
      <w:marTop w:val="0"/>
      <w:marBottom w:val="0"/>
      <w:divBdr>
        <w:top w:val="none" w:sz="0" w:space="0" w:color="auto"/>
        <w:left w:val="none" w:sz="0" w:space="0" w:color="auto"/>
        <w:bottom w:val="none" w:sz="0" w:space="0" w:color="auto"/>
        <w:right w:val="none" w:sz="0" w:space="0" w:color="auto"/>
      </w:divBdr>
    </w:div>
    <w:div w:id="1074398738">
      <w:bodyDiv w:val="1"/>
      <w:marLeft w:val="0"/>
      <w:marRight w:val="0"/>
      <w:marTop w:val="0"/>
      <w:marBottom w:val="0"/>
      <w:divBdr>
        <w:top w:val="none" w:sz="0" w:space="0" w:color="auto"/>
        <w:left w:val="none" w:sz="0" w:space="0" w:color="auto"/>
        <w:bottom w:val="none" w:sz="0" w:space="0" w:color="auto"/>
        <w:right w:val="none" w:sz="0" w:space="0" w:color="auto"/>
      </w:divBdr>
    </w:div>
    <w:div w:id="1077555536">
      <w:bodyDiv w:val="1"/>
      <w:marLeft w:val="0"/>
      <w:marRight w:val="0"/>
      <w:marTop w:val="0"/>
      <w:marBottom w:val="0"/>
      <w:divBdr>
        <w:top w:val="none" w:sz="0" w:space="0" w:color="auto"/>
        <w:left w:val="none" w:sz="0" w:space="0" w:color="auto"/>
        <w:bottom w:val="none" w:sz="0" w:space="0" w:color="auto"/>
        <w:right w:val="none" w:sz="0" w:space="0" w:color="auto"/>
      </w:divBdr>
    </w:div>
    <w:div w:id="1097479058">
      <w:bodyDiv w:val="1"/>
      <w:marLeft w:val="0"/>
      <w:marRight w:val="0"/>
      <w:marTop w:val="0"/>
      <w:marBottom w:val="0"/>
      <w:divBdr>
        <w:top w:val="none" w:sz="0" w:space="0" w:color="auto"/>
        <w:left w:val="none" w:sz="0" w:space="0" w:color="auto"/>
        <w:bottom w:val="none" w:sz="0" w:space="0" w:color="auto"/>
        <w:right w:val="none" w:sz="0" w:space="0" w:color="auto"/>
      </w:divBdr>
    </w:div>
    <w:div w:id="1116944174">
      <w:bodyDiv w:val="1"/>
      <w:marLeft w:val="0"/>
      <w:marRight w:val="0"/>
      <w:marTop w:val="0"/>
      <w:marBottom w:val="0"/>
      <w:divBdr>
        <w:top w:val="none" w:sz="0" w:space="0" w:color="auto"/>
        <w:left w:val="none" w:sz="0" w:space="0" w:color="auto"/>
        <w:bottom w:val="none" w:sz="0" w:space="0" w:color="auto"/>
        <w:right w:val="none" w:sz="0" w:space="0" w:color="auto"/>
      </w:divBdr>
    </w:div>
    <w:div w:id="1142383578">
      <w:bodyDiv w:val="1"/>
      <w:marLeft w:val="0"/>
      <w:marRight w:val="0"/>
      <w:marTop w:val="0"/>
      <w:marBottom w:val="0"/>
      <w:divBdr>
        <w:top w:val="none" w:sz="0" w:space="0" w:color="auto"/>
        <w:left w:val="none" w:sz="0" w:space="0" w:color="auto"/>
        <w:bottom w:val="none" w:sz="0" w:space="0" w:color="auto"/>
        <w:right w:val="none" w:sz="0" w:space="0" w:color="auto"/>
      </w:divBdr>
    </w:div>
    <w:div w:id="1146162144">
      <w:bodyDiv w:val="1"/>
      <w:marLeft w:val="0"/>
      <w:marRight w:val="0"/>
      <w:marTop w:val="0"/>
      <w:marBottom w:val="0"/>
      <w:divBdr>
        <w:top w:val="none" w:sz="0" w:space="0" w:color="auto"/>
        <w:left w:val="none" w:sz="0" w:space="0" w:color="auto"/>
        <w:bottom w:val="none" w:sz="0" w:space="0" w:color="auto"/>
        <w:right w:val="none" w:sz="0" w:space="0" w:color="auto"/>
      </w:divBdr>
      <w:divsChild>
        <w:div w:id="660236340">
          <w:marLeft w:val="0"/>
          <w:marRight w:val="0"/>
          <w:marTop w:val="0"/>
          <w:marBottom w:val="0"/>
          <w:divBdr>
            <w:top w:val="none" w:sz="0" w:space="0" w:color="auto"/>
            <w:left w:val="none" w:sz="0" w:space="0" w:color="auto"/>
            <w:bottom w:val="none" w:sz="0" w:space="0" w:color="auto"/>
            <w:right w:val="none" w:sz="0" w:space="0" w:color="auto"/>
          </w:divBdr>
          <w:divsChild>
            <w:div w:id="1846095990">
              <w:marLeft w:val="0"/>
              <w:marRight w:val="0"/>
              <w:marTop w:val="0"/>
              <w:marBottom w:val="0"/>
              <w:divBdr>
                <w:top w:val="none" w:sz="0" w:space="0" w:color="auto"/>
                <w:left w:val="none" w:sz="0" w:space="0" w:color="auto"/>
                <w:bottom w:val="none" w:sz="0" w:space="0" w:color="auto"/>
                <w:right w:val="none" w:sz="0" w:space="0" w:color="auto"/>
              </w:divBdr>
              <w:divsChild>
                <w:div w:id="1215657798">
                  <w:marLeft w:val="0"/>
                  <w:marRight w:val="0"/>
                  <w:marTop w:val="0"/>
                  <w:marBottom w:val="0"/>
                  <w:divBdr>
                    <w:top w:val="none" w:sz="0" w:space="0" w:color="auto"/>
                    <w:left w:val="none" w:sz="0" w:space="0" w:color="auto"/>
                    <w:bottom w:val="none" w:sz="0" w:space="0" w:color="auto"/>
                    <w:right w:val="none" w:sz="0" w:space="0" w:color="auto"/>
                  </w:divBdr>
                  <w:divsChild>
                    <w:div w:id="587663476">
                      <w:marLeft w:val="0"/>
                      <w:marRight w:val="0"/>
                      <w:marTop w:val="0"/>
                      <w:marBottom w:val="0"/>
                      <w:divBdr>
                        <w:top w:val="none" w:sz="0" w:space="0" w:color="auto"/>
                        <w:left w:val="none" w:sz="0" w:space="0" w:color="auto"/>
                        <w:bottom w:val="none" w:sz="0" w:space="0" w:color="auto"/>
                        <w:right w:val="none" w:sz="0" w:space="0" w:color="auto"/>
                      </w:divBdr>
                      <w:divsChild>
                        <w:div w:id="1941864194">
                          <w:marLeft w:val="0"/>
                          <w:marRight w:val="0"/>
                          <w:marTop w:val="0"/>
                          <w:marBottom w:val="0"/>
                          <w:divBdr>
                            <w:top w:val="none" w:sz="0" w:space="0" w:color="auto"/>
                            <w:left w:val="none" w:sz="0" w:space="0" w:color="auto"/>
                            <w:bottom w:val="none" w:sz="0" w:space="0" w:color="auto"/>
                            <w:right w:val="none" w:sz="0" w:space="0" w:color="auto"/>
                          </w:divBdr>
                          <w:divsChild>
                            <w:div w:id="10156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720520">
      <w:bodyDiv w:val="1"/>
      <w:marLeft w:val="0"/>
      <w:marRight w:val="0"/>
      <w:marTop w:val="0"/>
      <w:marBottom w:val="0"/>
      <w:divBdr>
        <w:top w:val="none" w:sz="0" w:space="0" w:color="auto"/>
        <w:left w:val="none" w:sz="0" w:space="0" w:color="auto"/>
        <w:bottom w:val="none" w:sz="0" w:space="0" w:color="auto"/>
        <w:right w:val="none" w:sz="0" w:space="0" w:color="auto"/>
      </w:divBdr>
      <w:divsChild>
        <w:div w:id="629632420">
          <w:marLeft w:val="0"/>
          <w:marRight w:val="0"/>
          <w:marTop w:val="0"/>
          <w:marBottom w:val="0"/>
          <w:divBdr>
            <w:top w:val="none" w:sz="0" w:space="0" w:color="auto"/>
            <w:left w:val="none" w:sz="0" w:space="0" w:color="auto"/>
            <w:bottom w:val="none" w:sz="0" w:space="0" w:color="auto"/>
            <w:right w:val="none" w:sz="0" w:space="0" w:color="auto"/>
          </w:divBdr>
          <w:divsChild>
            <w:div w:id="1884519420">
              <w:marLeft w:val="0"/>
              <w:marRight w:val="0"/>
              <w:marTop w:val="0"/>
              <w:marBottom w:val="0"/>
              <w:divBdr>
                <w:top w:val="none" w:sz="0" w:space="0" w:color="auto"/>
                <w:left w:val="none" w:sz="0" w:space="0" w:color="auto"/>
                <w:bottom w:val="none" w:sz="0" w:space="0" w:color="auto"/>
                <w:right w:val="none" w:sz="0" w:space="0" w:color="auto"/>
              </w:divBdr>
              <w:divsChild>
                <w:div w:id="35476512">
                  <w:marLeft w:val="0"/>
                  <w:marRight w:val="0"/>
                  <w:marTop w:val="0"/>
                  <w:marBottom w:val="0"/>
                  <w:divBdr>
                    <w:top w:val="none" w:sz="0" w:space="0" w:color="auto"/>
                    <w:left w:val="none" w:sz="0" w:space="0" w:color="auto"/>
                    <w:bottom w:val="none" w:sz="0" w:space="0" w:color="auto"/>
                    <w:right w:val="none" w:sz="0" w:space="0" w:color="auto"/>
                  </w:divBdr>
                  <w:divsChild>
                    <w:div w:id="1359307259">
                      <w:marLeft w:val="0"/>
                      <w:marRight w:val="0"/>
                      <w:marTop w:val="0"/>
                      <w:marBottom w:val="0"/>
                      <w:divBdr>
                        <w:top w:val="none" w:sz="0" w:space="0" w:color="auto"/>
                        <w:left w:val="none" w:sz="0" w:space="0" w:color="auto"/>
                        <w:bottom w:val="none" w:sz="0" w:space="0" w:color="auto"/>
                        <w:right w:val="none" w:sz="0" w:space="0" w:color="auto"/>
                      </w:divBdr>
                      <w:divsChild>
                        <w:div w:id="682050313">
                          <w:marLeft w:val="0"/>
                          <w:marRight w:val="0"/>
                          <w:marTop w:val="0"/>
                          <w:marBottom w:val="0"/>
                          <w:divBdr>
                            <w:top w:val="none" w:sz="0" w:space="0" w:color="auto"/>
                            <w:left w:val="none" w:sz="0" w:space="0" w:color="auto"/>
                            <w:bottom w:val="none" w:sz="0" w:space="0" w:color="auto"/>
                            <w:right w:val="none" w:sz="0" w:space="0" w:color="auto"/>
                          </w:divBdr>
                          <w:divsChild>
                            <w:div w:id="324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249593">
      <w:bodyDiv w:val="1"/>
      <w:marLeft w:val="0"/>
      <w:marRight w:val="0"/>
      <w:marTop w:val="0"/>
      <w:marBottom w:val="0"/>
      <w:divBdr>
        <w:top w:val="none" w:sz="0" w:space="0" w:color="auto"/>
        <w:left w:val="none" w:sz="0" w:space="0" w:color="auto"/>
        <w:bottom w:val="none" w:sz="0" w:space="0" w:color="auto"/>
        <w:right w:val="none" w:sz="0" w:space="0" w:color="auto"/>
      </w:divBdr>
    </w:div>
    <w:div w:id="1191383644">
      <w:bodyDiv w:val="1"/>
      <w:marLeft w:val="0"/>
      <w:marRight w:val="0"/>
      <w:marTop w:val="0"/>
      <w:marBottom w:val="0"/>
      <w:divBdr>
        <w:top w:val="none" w:sz="0" w:space="0" w:color="auto"/>
        <w:left w:val="none" w:sz="0" w:space="0" w:color="auto"/>
        <w:bottom w:val="none" w:sz="0" w:space="0" w:color="auto"/>
        <w:right w:val="none" w:sz="0" w:space="0" w:color="auto"/>
      </w:divBdr>
    </w:div>
    <w:div w:id="1212617335">
      <w:bodyDiv w:val="1"/>
      <w:marLeft w:val="0"/>
      <w:marRight w:val="0"/>
      <w:marTop w:val="0"/>
      <w:marBottom w:val="0"/>
      <w:divBdr>
        <w:top w:val="none" w:sz="0" w:space="0" w:color="auto"/>
        <w:left w:val="none" w:sz="0" w:space="0" w:color="auto"/>
        <w:bottom w:val="none" w:sz="0" w:space="0" w:color="auto"/>
        <w:right w:val="none" w:sz="0" w:space="0" w:color="auto"/>
      </w:divBdr>
    </w:div>
    <w:div w:id="1218052403">
      <w:bodyDiv w:val="1"/>
      <w:marLeft w:val="0"/>
      <w:marRight w:val="0"/>
      <w:marTop w:val="0"/>
      <w:marBottom w:val="0"/>
      <w:divBdr>
        <w:top w:val="none" w:sz="0" w:space="0" w:color="auto"/>
        <w:left w:val="none" w:sz="0" w:space="0" w:color="auto"/>
        <w:bottom w:val="none" w:sz="0" w:space="0" w:color="auto"/>
        <w:right w:val="none" w:sz="0" w:space="0" w:color="auto"/>
      </w:divBdr>
    </w:div>
    <w:div w:id="1231112041">
      <w:bodyDiv w:val="1"/>
      <w:marLeft w:val="0"/>
      <w:marRight w:val="0"/>
      <w:marTop w:val="0"/>
      <w:marBottom w:val="0"/>
      <w:divBdr>
        <w:top w:val="none" w:sz="0" w:space="0" w:color="auto"/>
        <w:left w:val="none" w:sz="0" w:space="0" w:color="auto"/>
        <w:bottom w:val="none" w:sz="0" w:space="0" w:color="auto"/>
        <w:right w:val="none" w:sz="0" w:space="0" w:color="auto"/>
      </w:divBdr>
    </w:div>
    <w:div w:id="1237131311">
      <w:bodyDiv w:val="1"/>
      <w:marLeft w:val="0"/>
      <w:marRight w:val="0"/>
      <w:marTop w:val="0"/>
      <w:marBottom w:val="0"/>
      <w:divBdr>
        <w:top w:val="none" w:sz="0" w:space="0" w:color="auto"/>
        <w:left w:val="none" w:sz="0" w:space="0" w:color="auto"/>
        <w:bottom w:val="none" w:sz="0" w:space="0" w:color="auto"/>
        <w:right w:val="none" w:sz="0" w:space="0" w:color="auto"/>
      </w:divBdr>
    </w:div>
    <w:div w:id="1264074214">
      <w:bodyDiv w:val="1"/>
      <w:marLeft w:val="0"/>
      <w:marRight w:val="0"/>
      <w:marTop w:val="0"/>
      <w:marBottom w:val="0"/>
      <w:divBdr>
        <w:top w:val="none" w:sz="0" w:space="0" w:color="auto"/>
        <w:left w:val="none" w:sz="0" w:space="0" w:color="auto"/>
        <w:bottom w:val="none" w:sz="0" w:space="0" w:color="auto"/>
        <w:right w:val="none" w:sz="0" w:space="0" w:color="auto"/>
      </w:divBdr>
    </w:div>
    <w:div w:id="1267152451">
      <w:bodyDiv w:val="1"/>
      <w:marLeft w:val="0"/>
      <w:marRight w:val="0"/>
      <w:marTop w:val="0"/>
      <w:marBottom w:val="0"/>
      <w:divBdr>
        <w:top w:val="none" w:sz="0" w:space="0" w:color="auto"/>
        <w:left w:val="none" w:sz="0" w:space="0" w:color="auto"/>
        <w:bottom w:val="none" w:sz="0" w:space="0" w:color="auto"/>
        <w:right w:val="none" w:sz="0" w:space="0" w:color="auto"/>
      </w:divBdr>
    </w:div>
    <w:div w:id="1269655483">
      <w:bodyDiv w:val="1"/>
      <w:marLeft w:val="0"/>
      <w:marRight w:val="0"/>
      <w:marTop w:val="0"/>
      <w:marBottom w:val="0"/>
      <w:divBdr>
        <w:top w:val="none" w:sz="0" w:space="0" w:color="auto"/>
        <w:left w:val="none" w:sz="0" w:space="0" w:color="auto"/>
        <w:bottom w:val="none" w:sz="0" w:space="0" w:color="auto"/>
        <w:right w:val="none" w:sz="0" w:space="0" w:color="auto"/>
      </w:divBdr>
    </w:div>
    <w:div w:id="1271082791">
      <w:bodyDiv w:val="1"/>
      <w:marLeft w:val="0"/>
      <w:marRight w:val="0"/>
      <w:marTop w:val="0"/>
      <w:marBottom w:val="0"/>
      <w:divBdr>
        <w:top w:val="none" w:sz="0" w:space="0" w:color="auto"/>
        <w:left w:val="none" w:sz="0" w:space="0" w:color="auto"/>
        <w:bottom w:val="none" w:sz="0" w:space="0" w:color="auto"/>
        <w:right w:val="none" w:sz="0" w:space="0" w:color="auto"/>
      </w:divBdr>
    </w:div>
    <w:div w:id="1280574792">
      <w:bodyDiv w:val="1"/>
      <w:marLeft w:val="0"/>
      <w:marRight w:val="0"/>
      <w:marTop w:val="0"/>
      <w:marBottom w:val="0"/>
      <w:divBdr>
        <w:top w:val="none" w:sz="0" w:space="0" w:color="auto"/>
        <w:left w:val="none" w:sz="0" w:space="0" w:color="auto"/>
        <w:bottom w:val="none" w:sz="0" w:space="0" w:color="auto"/>
        <w:right w:val="none" w:sz="0" w:space="0" w:color="auto"/>
      </w:divBdr>
    </w:div>
    <w:div w:id="1284728788">
      <w:bodyDiv w:val="1"/>
      <w:marLeft w:val="0"/>
      <w:marRight w:val="0"/>
      <w:marTop w:val="0"/>
      <w:marBottom w:val="0"/>
      <w:divBdr>
        <w:top w:val="none" w:sz="0" w:space="0" w:color="auto"/>
        <w:left w:val="none" w:sz="0" w:space="0" w:color="auto"/>
        <w:bottom w:val="none" w:sz="0" w:space="0" w:color="auto"/>
        <w:right w:val="none" w:sz="0" w:space="0" w:color="auto"/>
      </w:divBdr>
    </w:div>
    <w:div w:id="1307776886">
      <w:bodyDiv w:val="1"/>
      <w:marLeft w:val="0"/>
      <w:marRight w:val="0"/>
      <w:marTop w:val="0"/>
      <w:marBottom w:val="0"/>
      <w:divBdr>
        <w:top w:val="none" w:sz="0" w:space="0" w:color="auto"/>
        <w:left w:val="none" w:sz="0" w:space="0" w:color="auto"/>
        <w:bottom w:val="none" w:sz="0" w:space="0" w:color="auto"/>
        <w:right w:val="none" w:sz="0" w:space="0" w:color="auto"/>
      </w:divBdr>
      <w:divsChild>
        <w:div w:id="109857562">
          <w:marLeft w:val="0"/>
          <w:marRight w:val="0"/>
          <w:marTop w:val="0"/>
          <w:marBottom w:val="0"/>
          <w:divBdr>
            <w:top w:val="none" w:sz="0" w:space="0" w:color="auto"/>
            <w:left w:val="none" w:sz="0" w:space="0" w:color="auto"/>
            <w:bottom w:val="none" w:sz="0" w:space="0" w:color="auto"/>
            <w:right w:val="none" w:sz="0" w:space="0" w:color="auto"/>
          </w:divBdr>
          <w:divsChild>
            <w:div w:id="1277446046">
              <w:marLeft w:val="0"/>
              <w:marRight w:val="0"/>
              <w:marTop w:val="0"/>
              <w:marBottom w:val="0"/>
              <w:divBdr>
                <w:top w:val="none" w:sz="0" w:space="0" w:color="auto"/>
                <w:left w:val="none" w:sz="0" w:space="0" w:color="auto"/>
                <w:bottom w:val="none" w:sz="0" w:space="0" w:color="auto"/>
                <w:right w:val="none" w:sz="0" w:space="0" w:color="auto"/>
              </w:divBdr>
              <w:divsChild>
                <w:div w:id="954412761">
                  <w:marLeft w:val="0"/>
                  <w:marRight w:val="0"/>
                  <w:marTop w:val="0"/>
                  <w:marBottom w:val="0"/>
                  <w:divBdr>
                    <w:top w:val="none" w:sz="0" w:space="0" w:color="auto"/>
                    <w:left w:val="none" w:sz="0" w:space="0" w:color="auto"/>
                    <w:bottom w:val="none" w:sz="0" w:space="0" w:color="auto"/>
                    <w:right w:val="none" w:sz="0" w:space="0" w:color="auto"/>
                  </w:divBdr>
                  <w:divsChild>
                    <w:div w:id="527302761">
                      <w:marLeft w:val="0"/>
                      <w:marRight w:val="0"/>
                      <w:marTop w:val="0"/>
                      <w:marBottom w:val="0"/>
                      <w:divBdr>
                        <w:top w:val="none" w:sz="0" w:space="0" w:color="auto"/>
                        <w:left w:val="none" w:sz="0" w:space="0" w:color="auto"/>
                        <w:bottom w:val="none" w:sz="0" w:space="0" w:color="auto"/>
                        <w:right w:val="none" w:sz="0" w:space="0" w:color="auto"/>
                      </w:divBdr>
                      <w:divsChild>
                        <w:div w:id="1677537748">
                          <w:marLeft w:val="0"/>
                          <w:marRight w:val="0"/>
                          <w:marTop w:val="0"/>
                          <w:marBottom w:val="0"/>
                          <w:divBdr>
                            <w:top w:val="none" w:sz="0" w:space="0" w:color="auto"/>
                            <w:left w:val="none" w:sz="0" w:space="0" w:color="auto"/>
                            <w:bottom w:val="none" w:sz="0" w:space="0" w:color="auto"/>
                            <w:right w:val="none" w:sz="0" w:space="0" w:color="auto"/>
                          </w:divBdr>
                          <w:divsChild>
                            <w:div w:id="941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63855">
      <w:bodyDiv w:val="1"/>
      <w:marLeft w:val="0"/>
      <w:marRight w:val="0"/>
      <w:marTop w:val="0"/>
      <w:marBottom w:val="0"/>
      <w:divBdr>
        <w:top w:val="none" w:sz="0" w:space="0" w:color="auto"/>
        <w:left w:val="none" w:sz="0" w:space="0" w:color="auto"/>
        <w:bottom w:val="none" w:sz="0" w:space="0" w:color="auto"/>
        <w:right w:val="none" w:sz="0" w:space="0" w:color="auto"/>
      </w:divBdr>
    </w:div>
    <w:div w:id="1324774732">
      <w:bodyDiv w:val="1"/>
      <w:marLeft w:val="0"/>
      <w:marRight w:val="0"/>
      <w:marTop w:val="0"/>
      <w:marBottom w:val="0"/>
      <w:divBdr>
        <w:top w:val="none" w:sz="0" w:space="0" w:color="auto"/>
        <w:left w:val="none" w:sz="0" w:space="0" w:color="auto"/>
        <w:bottom w:val="none" w:sz="0" w:space="0" w:color="auto"/>
        <w:right w:val="none" w:sz="0" w:space="0" w:color="auto"/>
      </w:divBdr>
    </w:div>
    <w:div w:id="1333951547">
      <w:bodyDiv w:val="1"/>
      <w:marLeft w:val="0"/>
      <w:marRight w:val="0"/>
      <w:marTop w:val="0"/>
      <w:marBottom w:val="0"/>
      <w:divBdr>
        <w:top w:val="none" w:sz="0" w:space="0" w:color="auto"/>
        <w:left w:val="none" w:sz="0" w:space="0" w:color="auto"/>
        <w:bottom w:val="none" w:sz="0" w:space="0" w:color="auto"/>
        <w:right w:val="none" w:sz="0" w:space="0" w:color="auto"/>
      </w:divBdr>
    </w:div>
    <w:div w:id="1340111302">
      <w:bodyDiv w:val="1"/>
      <w:marLeft w:val="0"/>
      <w:marRight w:val="0"/>
      <w:marTop w:val="0"/>
      <w:marBottom w:val="0"/>
      <w:divBdr>
        <w:top w:val="none" w:sz="0" w:space="0" w:color="auto"/>
        <w:left w:val="none" w:sz="0" w:space="0" w:color="auto"/>
        <w:bottom w:val="none" w:sz="0" w:space="0" w:color="auto"/>
        <w:right w:val="none" w:sz="0" w:space="0" w:color="auto"/>
      </w:divBdr>
    </w:div>
    <w:div w:id="1374693731">
      <w:bodyDiv w:val="1"/>
      <w:marLeft w:val="0"/>
      <w:marRight w:val="0"/>
      <w:marTop w:val="0"/>
      <w:marBottom w:val="0"/>
      <w:divBdr>
        <w:top w:val="none" w:sz="0" w:space="0" w:color="auto"/>
        <w:left w:val="none" w:sz="0" w:space="0" w:color="auto"/>
        <w:bottom w:val="none" w:sz="0" w:space="0" w:color="auto"/>
        <w:right w:val="none" w:sz="0" w:space="0" w:color="auto"/>
      </w:divBdr>
    </w:div>
    <w:div w:id="1399941589">
      <w:bodyDiv w:val="1"/>
      <w:marLeft w:val="0"/>
      <w:marRight w:val="0"/>
      <w:marTop w:val="0"/>
      <w:marBottom w:val="0"/>
      <w:divBdr>
        <w:top w:val="none" w:sz="0" w:space="0" w:color="auto"/>
        <w:left w:val="none" w:sz="0" w:space="0" w:color="auto"/>
        <w:bottom w:val="none" w:sz="0" w:space="0" w:color="auto"/>
        <w:right w:val="none" w:sz="0" w:space="0" w:color="auto"/>
      </w:divBdr>
    </w:div>
    <w:div w:id="1402602836">
      <w:bodyDiv w:val="1"/>
      <w:marLeft w:val="0"/>
      <w:marRight w:val="0"/>
      <w:marTop w:val="0"/>
      <w:marBottom w:val="0"/>
      <w:divBdr>
        <w:top w:val="none" w:sz="0" w:space="0" w:color="auto"/>
        <w:left w:val="none" w:sz="0" w:space="0" w:color="auto"/>
        <w:bottom w:val="none" w:sz="0" w:space="0" w:color="auto"/>
        <w:right w:val="none" w:sz="0" w:space="0" w:color="auto"/>
      </w:divBdr>
      <w:divsChild>
        <w:div w:id="1613779949">
          <w:marLeft w:val="0"/>
          <w:marRight w:val="0"/>
          <w:marTop w:val="0"/>
          <w:marBottom w:val="0"/>
          <w:divBdr>
            <w:top w:val="none" w:sz="0" w:space="0" w:color="auto"/>
            <w:left w:val="none" w:sz="0" w:space="0" w:color="auto"/>
            <w:bottom w:val="none" w:sz="0" w:space="0" w:color="auto"/>
            <w:right w:val="none" w:sz="0" w:space="0" w:color="auto"/>
          </w:divBdr>
          <w:divsChild>
            <w:div w:id="621427875">
              <w:marLeft w:val="0"/>
              <w:marRight w:val="0"/>
              <w:marTop w:val="0"/>
              <w:marBottom w:val="0"/>
              <w:divBdr>
                <w:top w:val="none" w:sz="0" w:space="0" w:color="auto"/>
                <w:left w:val="none" w:sz="0" w:space="0" w:color="auto"/>
                <w:bottom w:val="none" w:sz="0" w:space="0" w:color="auto"/>
                <w:right w:val="none" w:sz="0" w:space="0" w:color="auto"/>
              </w:divBdr>
              <w:divsChild>
                <w:div w:id="366610230">
                  <w:marLeft w:val="0"/>
                  <w:marRight w:val="0"/>
                  <w:marTop w:val="0"/>
                  <w:marBottom w:val="0"/>
                  <w:divBdr>
                    <w:top w:val="none" w:sz="0" w:space="0" w:color="auto"/>
                    <w:left w:val="none" w:sz="0" w:space="0" w:color="auto"/>
                    <w:bottom w:val="none" w:sz="0" w:space="0" w:color="auto"/>
                    <w:right w:val="none" w:sz="0" w:space="0" w:color="auto"/>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047069047">
                          <w:marLeft w:val="0"/>
                          <w:marRight w:val="0"/>
                          <w:marTop w:val="0"/>
                          <w:marBottom w:val="0"/>
                          <w:divBdr>
                            <w:top w:val="none" w:sz="0" w:space="0" w:color="auto"/>
                            <w:left w:val="none" w:sz="0" w:space="0" w:color="auto"/>
                            <w:bottom w:val="none" w:sz="0" w:space="0" w:color="auto"/>
                            <w:right w:val="none" w:sz="0" w:space="0" w:color="auto"/>
                          </w:divBdr>
                          <w:divsChild>
                            <w:div w:id="219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61339">
      <w:bodyDiv w:val="1"/>
      <w:marLeft w:val="0"/>
      <w:marRight w:val="0"/>
      <w:marTop w:val="0"/>
      <w:marBottom w:val="0"/>
      <w:divBdr>
        <w:top w:val="none" w:sz="0" w:space="0" w:color="auto"/>
        <w:left w:val="none" w:sz="0" w:space="0" w:color="auto"/>
        <w:bottom w:val="none" w:sz="0" w:space="0" w:color="auto"/>
        <w:right w:val="none" w:sz="0" w:space="0" w:color="auto"/>
      </w:divBdr>
    </w:div>
    <w:div w:id="1427725612">
      <w:bodyDiv w:val="1"/>
      <w:marLeft w:val="0"/>
      <w:marRight w:val="0"/>
      <w:marTop w:val="0"/>
      <w:marBottom w:val="0"/>
      <w:divBdr>
        <w:top w:val="none" w:sz="0" w:space="0" w:color="auto"/>
        <w:left w:val="none" w:sz="0" w:space="0" w:color="auto"/>
        <w:bottom w:val="none" w:sz="0" w:space="0" w:color="auto"/>
        <w:right w:val="none" w:sz="0" w:space="0" w:color="auto"/>
      </w:divBdr>
    </w:div>
    <w:div w:id="1447235689">
      <w:bodyDiv w:val="1"/>
      <w:marLeft w:val="0"/>
      <w:marRight w:val="0"/>
      <w:marTop w:val="0"/>
      <w:marBottom w:val="0"/>
      <w:divBdr>
        <w:top w:val="none" w:sz="0" w:space="0" w:color="auto"/>
        <w:left w:val="none" w:sz="0" w:space="0" w:color="auto"/>
        <w:bottom w:val="none" w:sz="0" w:space="0" w:color="auto"/>
        <w:right w:val="none" w:sz="0" w:space="0" w:color="auto"/>
      </w:divBdr>
    </w:div>
    <w:div w:id="1450397486">
      <w:bodyDiv w:val="1"/>
      <w:marLeft w:val="0"/>
      <w:marRight w:val="0"/>
      <w:marTop w:val="0"/>
      <w:marBottom w:val="0"/>
      <w:divBdr>
        <w:top w:val="none" w:sz="0" w:space="0" w:color="auto"/>
        <w:left w:val="none" w:sz="0" w:space="0" w:color="auto"/>
        <w:bottom w:val="none" w:sz="0" w:space="0" w:color="auto"/>
        <w:right w:val="none" w:sz="0" w:space="0" w:color="auto"/>
      </w:divBdr>
      <w:divsChild>
        <w:div w:id="1525707793">
          <w:marLeft w:val="0"/>
          <w:marRight w:val="0"/>
          <w:marTop w:val="0"/>
          <w:marBottom w:val="0"/>
          <w:divBdr>
            <w:top w:val="none" w:sz="0" w:space="0" w:color="auto"/>
            <w:left w:val="none" w:sz="0" w:space="0" w:color="auto"/>
            <w:bottom w:val="none" w:sz="0" w:space="0" w:color="auto"/>
            <w:right w:val="none" w:sz="0" w:space="0" w:color="auto"/>
          </w:divBdr>
        </w:div>
      </w:divsChild>
    </w:div>
    <w:div w:id="1463691963">
      <w:bodyDiv w:val="1"/>
      <w:marLeft w:val="0"/>
      <w:marRight w:val="0"/>
      <w:marTop w:val="0"/>
      <w:marBottom w:val="0"/>
      <w:divBdr>
        <w:top w:val="none" w:sz="0" w:space="0" w:color="auto"/>
        <w:left w:val="none" w:sz="0" w:space="0" w:color="auto"/>
        <w:bottom w:val="none" w:sz="0" w:space="0" w:color="auto"/>
        <w:right w:val="none" w:sz="0" w:space="0" w:color="auto"/>
      </w:divBdr>
      <w:divsChild>
        <w:div w:id="412552005">
          <w:marLeft w:val="0"/>
          <w:marRight w:val="0"/>
          <w:marTop w:val="0"/>
          <w:marBottom w:val="0"/>
          <w:divBdr>
            <w:top w:val="none" w:sz="0" w:space="0" w:color="auto"/>
            <w:left w:val="none" w:sz="0" w:space="0" w:color="auto"/>
            <w:bottom w:val="none" w:sz="0" w:space="0" w:color="auto"/>
            <w:right w:val="none" w:sz="0" w:space="0" w:color="auto"/>
          </w:divBdr>
        </w:div>
        <w:div w:id="1697193970">
          <w:marLeft w:val="0"/>
          <w:marRight w:val="0"/>
          <w:marTop w:val="0"/>
          <w:marBottom w:val="0"/>
          <w:divBdr>
            <w:top w:val="none" w:sz="0" w:space="0" w:color="auto"/>
            <w:left w:val="none" w:sz="0" w:space="0" w:color="auto"/>
            <w:bottom w:val="none" w:sz="0" w:space="0" w:color="auto"/>
            <w:right w:val="none" w:sz="0" w:space="0" w:color="auto"/>
          </w:divBdr>
        </w:div>
      </w:divsChild>
    </w:div>
    <w:div w:id="1474711932">
      <w:bodyDiv w:val="1"/>
      <w:marLeft w:val="0"/>
      <w:marRight w:val="0"/>
      <w:marTop w:val="0"/>
      <w:marBottom w:val="0"/>
      <w:divBdr>
        <w:top w:val="none" w:sz="0" w:space="0" w:color="auto"/>
        <w:left w:val="none" w:sz="0" w:space="0" w:color="auto"/>
        <w:bottom w:val="none" w:sz="0" w:space="0" w:color="auto"/>
        <w:right w:val="none" w:sz="0" w:space="0" w:color="auto"/>
      </w:divBdr>
    </w:div>
    <w:div w:id="1480070889">
      <w:bodyDiv w:val="1"/>
      <w:marLeft w:val="0"/>
      <w:marRight w:val="0"/>
      <w:marTop w:val="0"/>
      <w:marBottom w:val="0"/>
      <w:divBdr>
        <w:top w:val="none" w:sz="0" w:space="0" w:color="auto"/>
        <w:left w:val="none" w:sz="0" w:space="0" w:color="auto"/>
        <w:bottom w:val="none" w:sz="0" w:space="0" w:color="auto"/>
        <w:right w:val="none" w:sz="0" w:space="0" w:color="auto"/>
      </w:divBdr>
    </w:div>
    <w:div w:id="1481728130">
      <w:bodyDiv w:val="1"/>
      <w:marLeft w:val="0"/>
      <w:marRight w:val="0"/>
      <w:marTop w:val="0"/>
      <w:marBottom w:val="0"/>
      <w:divBdr>
        <w:top w:val="none" w:sz="0" w:space="0" w:color="auto"/>
        <w:left w:val="none" w:sz="0" w:space="0" w:color="auto"/>
        <w:bottom w:val="none" w:sz="0" w:space="0" w:color="auto"/>
        <w:right w:val="none" w:sz="0" w:space="0" w:color="auto"/>
      </w:divBdr>
    </w:div>
    <w:div w:id="1482427171">
      <w:bodyDiv w:val="1"/>
      <w:marLeft w:val="0"/>
      <w:marRight w:val="0"/>
      <w:marTop w:val="0"/>
      <w:marBottom w:val="0"/>
      <w:divBdr>
        <w:top w:val="none" w:sz="0" w:space="0" w:color="auto"/>
        <w:left w:val="none" w:sz="0" w:space="0" w:color="auto"/>
        <w:bottom w:val="none" w:sz="0" w:space="0" w:color="auto"/>
        <w:right w:val="none" w:sz="0" w:space="0" w:color="auto"/>
      </w:divBdr>
    </w:div>
    <w:div w:id="1483502728">
      <w:bodyDiv w:val="1"/>
      <w:marLeft w:val="0"/>
      <w:marRight w:val="0"/>
      <w:marTop w:val="0"/>
      <w:marBottom w:val="0"/>
      <w:divBdr>
        <w:top w:val="none" w:sz="0" w:space="0" w:color="auto"/>
        <w:left w:val="none" w:sz="0" w:space="0" w:color="auto"/>
        <w:bottom w:val="none" w:sz="0" w:space="0" w:color="auto"/>
        <w:right w:val="none" w:sz="0" w:space="0" w:color="auto"/>
      </w:divBdr>
    </w:div>
    <w:div w:id="1513296791">
      <w:bodyDiv w:val="1"/>
      <w:marLeft w:val="0"/>
      <w:marRight w:val="0"/>
      <w:marTop w:val="0"/>
      <w:marBottom w:val="0"/>
      <w:divBdr>
        <w:top w:val="none" w:sz="0" w:space="0" w:color="auto"/>
        <w:left w:val="none" w:sz="0" w:space="0" w:color="auto"/>
        <w:bottom w:val="none" w:sz="0" w:space="0" w:color="auto"/>
        <w:right w:val="none" w:sz="0" w:space="0" w:color="auto"/>
      </w:divBdr>
    </w:div>
    <w:div w:id="1517111036">
      <w:bodyDiv w:val="1"/>
      <w:marLeft w:val="0"/>
      <w:marRight w:val="0"/>
      <w:marTop w:val="0"/>
      <w:marBottom w:val="0"/>
      <w:divBdr>
        <w:top w:val="none" w:sz="0" w:space="0" w:color="auto"/>
        <w:left w:val="none" w:sz="0" w:space="0" w:color="auto"/>
        <w:bottom w:val="none" w:sz="0" w:space="0" w:color="auto"/>
        <w:right w:val="none" w:sz="0" w:space="0" w:color="auto"/>
      </w:divBdr>
    </w:div>
    <w:div w:id="1518887081">
      <w:bodyDiv w:val="1"/>
      <w:marLeft w:val="0"/>
      <w:marRight w:val="0"/>
      <w:marTop w:val="0"/>
      <w:marBottom w:val="0"/>
      <w:divBdr>
        <w:top w:val="none" w:sz="0" w:space="0" w:color="auto"/>
        <w:left w:val="none" w:sz="0" w:space="0" w:color="auto"/>
        <w:bottom w:val="none" w:sz="0" w:space="0" w:color="auto"/>
        <w:right w:val="none" w:sz="0" w:space="0" w:color="auto"/>
      </w:divBdr>
    </w:div>
    <w:div w:id="1523006625">
      <w:bodyDiv w:val="1"/>
      <w:marLeft w:val="0"/>
      <w:marRight w:val="0"/>
      <w:marTop w:val="0"/>
      <w:marBottom w:val="0"/>
      <w:divBdr>
        <w:top w:val="none" w:sz="0" w:space="0" w:color="auto"/>
        <w:left w:val="none" w:sz="0" w:space="0" w:color="auto"/>
        <w:bottom w:val="none" w:sz="0" w:space="0" w:color="auto"/>
        <w:right w:val="none" w:sz="0" w:space="0" w:color="auto"/>
      </w:divBdr>
      <w:divsChild>
        <w:div w:id="685256950">
          <w:marLeft w:val="0"/>
          <w:marRight w:val="0"/>
          <w:marTop w:val="0"/>
          <w:marBottom w:val="0"/>
          <w:divBdr>
            <w:top w:val="none" w:sz="0" w:space="0" w:color="auto"/>
            <w:left w:val="none" w:sz="0" w:space="0" w:color="auto"/>
            <w:bottom w:val="none" w:sz="0" w:space="0" w:color="auto"/>
            <w:right w:val="none" w:sz="0" w:space="0" w:color="auto"/>
          </w:divBdr>
          <w:divsChild>
            <w:div w:id="1440562665">
              <w:marLeft w:val="0"/>
              <w:marRight w:val="0"/>
              <w:marTop w:val="0"/>
              <w:marBottom w:val="0"/>
              <w:divBdr>
                <w:top w:val="none" w:sz="0" w:space="0" w:color="auto"/>
                <w:left w:val="none" w:sz="0" w:space="0" w:color="auto"/>
                <w:bottom w:val="none" w:sz="0" w:space="0" w:color="auto"/>
                <w:right w:val="none" w:sz="0" w:space="0" w:color="auto"/>
              </w:divBdr>
              <w:divsChild>
                <w:div w:id="603684418">
                  <w:marLeft w:val="0"/>
                  <w:marRight w:val="0"/>
                  <w:marTop w:val="0"/>
                  <w:marBottom w:val="0"/>
                  <w:divBdr>
                    <w:top w:val="none" w:sz="0" w:space="0" w:color="auto"/>
                    <w:left w:val="none" w:sz="0" w:space="0" w:color="auto"/>
                    <w:bottom w:val="none" w:sz="0" w:space="0" w:color="auto"/>
                    <w:right w:val="none" w:sz="0" w:space="0" w:color="auto"/>
                  </w:divBdr>
                  <w:divsChild>
                    <w:div w:id="1273439345">
                      <w:marLeft w:val="0"/>
                      <w:marRight w:val="0"/>
                      <w:marTop w:val="0"/>
                      <w:marBottom w:val="0"/>
                      <w:divBdr>
                        <w:top w:val="none" w:sz="0" w:space="0" w:color="auto"/>
                        <w:left w:val="none" w:sz="0" w:space="0" w:color="auto"/>
                        <w:bottom w:val="none" w:sz="0" w:space="0" w:color="auto"/>
                        <w:right w:val="none" w:sz="0" w:space="0" w:color="auto"/>
                      </w:divBdr>
                      <w:divsChild>
                        <w:div w:id="718675622">
                          <w:marLeft w:val="0"/>
                          <w:marRight w:val="0"/>
                          <w:marTop w:val="0"/>
                          <w:marBottom w:val="0"/>
                          <w:divBdr>
                            <w:top w:val="none" w:sz="0" w:space="0" w:color="auto"/>
                            <w:left w:val="none" w:sz="0" w:space="0" w:color="auto"/>
                            <w:bottom w:val="none" w:sz="0" w:space="0" w:color="auto"/>
                            <w:right w:val="none" w:sz="0" w:space="0" w:color="auto"/>
                          </w:divBdr>
                          <w:divsChild>
                            <w:div w:id="11418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225008">
      <w:bodyDiv w:val="1"/>
      <w:marLeft w:val="0"/>
      <w:marRight w:val="0"/>
      <w:marTop w:val="0"/>
      <w:marBottom w:val="0"/>
      <w:divBdr>
        <w:top w:val="none" w:sz="0" w:space="0" w:color="auto"/>
        <w:left w:val="none" w:sz="0" w:space="0" w:color="auto"/>
        <w:bottom w:val="none" w:sz="0" w:space="0" w:color="auto"/>
        <w:right w:val="none" w:sz="0" w:space="0" w:color="auto"/>
      </w:divBdr>
    </w:div>
    <w:div w:id="1534416744">
      <w:bodyDiv w:val="1"/>
      <w:marLeft w:val="0"/>
      <w:marRight w:val="0"/>
      <w:marTop w:val="0"/>
      <w:marBottom w:val="0"/>
      <w:divBdr>
        <w:top w:val="none" w:sz="0" w:space="0" w:color="auto"/>
        <w:left w:val="none" w:sz="0" w:space="0" w:color="auto"/>
        <w:bottom w:val="none" w:sz="0" w:space="0" w:color="auto"/>
        <w:right w:val="none" w:sz="0" w:space="0" w:color="auto"/>
      </w:divBdr>
    </w:div>
    <w:div w:id="1561093816">
      <w:bodyDiv w:val="1"/>
      <w:marLeft w:val="0"/>
      <w:marRight w:val="0"/>
      <w:marTop w:val="0"/>
      <w:marBottom w:val="0"/>
      <w:divBdr>
        <w:top w:val="none" w:sz="0" w:space="0" w:color="auto"/>
        <w:left w:val="none" w:sz="0" w:space="0" w:color="auto"/>
        <w:bottom w:val="none" w:sz="0" w:space="0" w:color="auto"/>
        <w:right w:val="none" w:sz="0" w:space="0" w:color="auto"/>
      </w:divBdr>
    </w:div>
    <w:div w:id="1571843839">
      <w:bodyDiv w:val="1"/>
      <w:marLeft w:val="0"/>
      <w:marRight w:val="0"/>
      <w:marTop w:val="0"/>
      <w:marBottom w:val="0"/>
      <w:divBdr>
        <w:top w:val="none" w:sz="0" w:space="0" w:color="auto"/>
        <w:left w:val="none" w:sz="0" w:space="0" w:color="auto"/>
        <w:bottom w:val="none" w:sz="0" w:space="0" w:color="auto"/>
        <w:right w:val="none" w:sz="0" w:space="0" w:color="auto"/>
      </w:divBdr>
    </w:div>
    <w:div w:id="1642802682">
      <w:bodyDiv w:val="1"/>
      <w:marLeft w:val="0"/>
      <w:marRight w:val="0"/>
      <w:marTop w:val="0"/>
      <w:marBottom w:val="0"/>
      <w:divBdr>
        <w:top w:val="none" w:sz="0" w:space="0" w:color="auto"/>
        <w:left w:val="none" w:sz="0" w:space="0" w:color="auto"/>
        <w:bottom w:val="none" w:sz="0" w:space="0" w:color="auto"/>
        <w:right w:val="none" w:sz="0" w:space="0" w:color="auto"/>
      </w:divBdr>
    </w:div>
    <w:div w:id="1647662378">
      <w:bodyDiv w:val="1"/>
      <w:marLeft w:val="0"/>
      <w:marRight w:val="0"/>
      <w:marTop w:val="0"/>
      <w:marBottom w:val="0"/>
      <w:divBdr>
        <w:top w:val="none" w:sz="0" w:space="0" w:color="auto"/>
        <w:left w:val="none" w:sz="0" w:space="0" w:color="auto"/>
        <w:bottom w:val="none" w:sz="0" w:space="0" w:color="auto"/>
        <w:right w:val="none" w:sz="0" w:space="0" w:color="auto"/>
      </w:divBdr>
    </w:div>
    <w:div w:id="1676609197">
      <w:bodyDiv w:val="1"/>
      <w:marLeft w:val="0"/>
      <w:marRight w:val="0"/>
      <w:marTop w:val="0"/>
      <w:marBottom w:val="0"/>
      <w:divBdr>
        <w:top w:val="none" w:sz="0" w:space="0" w:color="auto"/>
        <w:left w:val="none" w:sz="0" w:space="0" w:color="auto"/>
        <w:bottom w:val="none" w:sz="0" w:space="0" w:color="auto"/>
        <w:right w:val="none" w:sz="0" w:space="0" w:color="auto"/>
      </w:divBdr>
    </w:div>
    <w:div w:id="1698120657">
      <w:bodyDiv w:val="1"/>
      <w:marLeft w:val="0"/>
      <w:marRight w:val="0"/>
      <w:marTop w:val="0"/>
      <w:marBottom w:val="0"/>
      <w:divBdr>
        <w:top w:val="none" w:sz="0" w:space="0" w:color="auto"/>
        <w:left w:val="none" w:sz="0" w:space="0" w:color="auto"/>
        <w:bottom w:val="none" w:sz="0" w:space="0" w:color="auto"/>
        <w:right w:val="none" w:sz="0" w:space="0" w:color="auto"/>
      </w:divBdr>
    </w:div>
    <w:div w:id="1709451468">
      <w:bodyDiv w:val="1"/>
      <w:marLeft w:val="0"/>
      <w:marRight w:val="0"/>
      <w:marTop w:val="0"/>
      <w:marBottom w:val="0"/>
      <w:divBdr>
        <w:top w:val="none" w:sz="0" w:space="0" w:color="auto"/>
        <w:left w:val="none" w:sz="0" w:space="0" w:color="auto"/>
        <w:bottom w:val="none" w:sz="0" w:space="0" w:color="auto"/>
        <w:right w:val="none" w:sz="0" w:space="0" w:color="auto"/>
      </w:divBdr>
    </w:div>
    <w:div w:id="1712144235">
      <w:bodyDiv w:val="1"/>
      <w:marLeft w:val="0"/>
      <w:marRight w:val="0"/>
      <w:marTop w:val="0"/>
      <w:marBottom w:val="0"/>
      <w:divBdr>
        <w:top w:val="none" w:sz="0" w:space="0" w:color="auto"/>
        <w:left w:val="none" w:sz="0" w:space="0" w:color="auto"/>
        <w:bottom w:val="none" w:sz="0" w:space="0" w:color="auto"/>
        <w:right w:val="none" w:sz="0" w:space="0" w:color="auto"/>
      </w:divBdr>
      <w:divsChild>
        <w:div w:id="838277428">
          <w:marLeft w:val="0"/>
          <w:marRight w:val="0"/>
          <w:marTop w:val="0"/>
          <w:marBottom w:val="0"/>
          <w:divBdr>
            <w:top w:val="none" w:sz="0" w:space="0" w:color="auto"/>
            <w:left w:val="none" w:sz="0" w:space="0" w:color="auto"/>
            <w:bottom w:val="none" w:sz="0" w:space="0" w:color="auto"/>
            <w:right w:val="none" w:sz="0" w:space="0" w:color="auto"/>
          </w:divBdr>
        </w:div>
      </w:divsChild>
    </w:div>
    <w:div w:id="1733187342">
      <w:bodyDiv w:val="1"/>
      <w:marLeft w:val="0"/>
      <w:marRight w:val="0"/>
      <w:marTop w:val="0"/>
      <w:marBottom w:val="0"/>
      <w:divBdr>
        <w:top w:val="none" w:sz="0" w:space="0" w:color="auto"/>
        <w:left w:val="none" w:sz="0" w:space="0" w:color="auto"/>
        <w:bottom w:val="none" w:sz="0" w:space="0" w:color="auto"/>
        <w:right w:val="none" w:sz="0" w:space="0" w:color="auto"/>
      </w:divBdr>
    </w:div>
    <w:div w:id="1735858378">
      <w:bodyDiv w:val="1"/>
      <w:marLeft w:val="0"/>
      <w:marRight w:val="0"/>
      <w:marTop w:val="0"/>
      <w:marBottom w:val="0"/>
      <w:divBdr>
        <w:top w:val="none" w:sz="0" w:space="0" w:color="auto"/>
        <w:left w:val="none" w:sz="0" w:space="0" w:color="auto"/>
        <w:bottom w:val="none" w:sz="0" w:space="0" w:color="auto"/>
        <w:right w:val="none" w:sz="0" w:space="0" w:color="auto"/>
      </w:divBdr>
    </w:div>
    <w:div w:id="1742024694">
      <w:bodyDiv w:val="1"/>
      <w:marLeft w:val="0"/>
      <w:marRight w:val="0"/>
      <w:marTop w:val="0"/>
      <w:marBottom w:val="0"/>
      <w:divBdr>
        <w:top w:val="none" w:sz="0" w:space="0" w:color="auto"/>
        <w:left w:val="none" w:sz="0" w:space="0" w:color="auto"/>
        <w:bottom w:val="none" w:sz="0" w:space="0" w:color="auto"/>
        <w:right w:val="none" w:sz="0" w:space="0" w:color="auto"/>
      </w:divBdr>
    </w:div>
    <w:div w:id="1746611052">
      <w:bodyDiv w:val="1"/>
      <w:marLeft w:val="0"/>
      <w:marRight w:val="0"/>
      <w:marTop w:val="0"/>
      <w:marBottom w:val="0"/>
      <w:divBdr>
        <w:top w:val="none" w:sz="0" w:space="0" w:color="auto"/>
        <w:left w:val="none" w:sz="0" w:space="0" w:color="auto"/>
        <w:bottom w:val="none" w:sz="0" w:space="0" w:color="auto"/>
        <w:right w:val="none" w:sz="0" w:space="0" w:color="auto"/>
      </w:divBdr>
    </w:div>
    <w:div w:id="1771857258">
      <w:bodyDiv w:val="1"/>
      <w:marLeft w:val="0"/>
      <w:marRight w:val="0"/>
      <w:marTop w:val="0"/>
      <w:marBottom w:val="0"/>
      <w:divBdr>
        <w:top w:val="none" w:sz="0" w:space="0" w:color="auto"/>
        <w:left w:val="none" w:sz="0" w:space="0" w:color="auto"/>
        <w:bottom w:val="none" w:sz="0" w:space="0" w:color="auto"/>
        <w:right w:val="none" w:sz="0" w:space="0" w:color="auto"/>
      </w:divBdr>
    </w:div>
    <w:div w:id="1778404578">
      <w:bodyDiv w:val="1"/>
      <w:marLeft w:val="0"/>
      <w:marRight w:val="0"/>
      <w:marTop w:val="0"/>
      <w:marBottom w:val="0"/>
      <w:divBdr>
        <w:top w:val="none" w:sz="0" w:space="0" w:color="auto"/>
        <w:left w:val="none" w:sz="0" w:space="0" w:color="auto"/>
        <w:bottom w:val="none" w:sz="0" w:space="0" w:color="auto"/>
        <w:right w:val="none" w:sz="0" w:space="0" w:color="auto"/>
      </w:divBdr>
    </w:div>
    <w:div w:id="1786733343">
      <w:bodyDiv w:val="1"/>
      <w:marLeft w:val="0"/>
      <w:marRight w:val="0"/>
      <w:marTop w:val="0"/>
      <w:marBottom w:val="0"/>
      <w:divBdr>
        <w:top w:val="none" w:sz="0" w:space="0" w:color="auto"/>
        <w:left w:val="none" w:sz="0" w:space="0" w:color="auto"/>
        <w:bottom w:val="none" w:sz="0" w:space="0" w:color="auto"/>
        <w:right w:val="none" w:sz="0" w:space="0" w:color="auto"/>
      </w:divBdr>
    </w:div>
    <w:div w:id="1803041608">
      <w:bodyDiv w:val="1"/>
      <w:marLeft w:val="0"/>
      <w:marRight w:val="0"/>
      <w:marTop w:val="0"/>
      <w:marBottom w:val="0"/>
      <w:divBdr>
        <w:top w:val="none" w:sz="0" w:space="0" w:color="auto"/>
        <w:left w:val="none" w:sz="0" w:space="0" w:color="auto"/>
        <w:bottom w:val="none" w:sz="0" w:space="0" w:color="auto"/>
        <w:right w:val="none" w:sz="0" w:space="0" w:color="auto"/>
      </w:divBdr>
    </w:div>
    <w:div w:id="1806728098">
      <w:bodyDiv w:val="1"/>
      <w:marLeft w:val="0"/>
      <w:marRight w:val="0"/>
      <w:marTop w:val="0"/>
      <w:marBottom w:val="0"/>
      <w:divBdr>
        <w:top w:val="none" w:sz="0" w:space="0" w:color="auto"/>
        <w:left w:val="none" w:sz="0" w:space="0" w:color="auto"/>
        <w:bottom w:val="none" w:sz="0" w:space="0" w:color="auto"/>
        <w:right w:val="none" w:sz="0" w:space="0" w:color="auto"/>
      </w:divBdr>
    </w:div>
    <w:div w:id="1816606852">
      <w:bodyDiv w:val="1"/>
      <w:marLeft w:val="0"/>
      <w:marRight w:val="0"/>
      <w:marTop w:val="0"/>
      <w:marBottom w:val="0"/>
      <w:divBdr>
        <w:top w:val="none" w:sz="0" w:space="0" w:color="auto"/>
        <w:left w:val="none" w:sz="0" w:space="0" w:color="auto"/>
        <w:bottom w:val="none" w:sz="0" w:space="0" w:color="auto"/>
        <w:right w:val="none" w:sz="0" w:space="0" w:color="auto"/>
      </w:divBdr>
      <w:divsChild>
        <w:div w:id="1935167850">
          <w:marLeft w:val="0"/>
          <w:marRight w:val="0"/>
          <w:marTop w:val="0"/>
          <w:marBottom w:val="0"/>
          <w:divBdr>
            <w:top w:val="none" w:sz="0" w:space="0" w:color="auto"/>
            <w:left w:val="none" w:sz="0" w:space="0" w:color="auto"/>
            <w:bottom w:val="none" w:sz="0" w:space="0" w:color="auto"/>
            <w:right w:val="none" w:sz="0" w:space="0" w:color="auto"/>
          </w:divBdr>
          <w:divsChild>
            <w:div w:id="790631355">
              <w:marLeft w:val="0"/>
              <w:marRight w:val="0"/>
              <w:marTop w:val="0"/>
              <w:marBottom w:val="0"/>
              <w:divBdr>
                <w:top w:val="none" w:sz="0" w:space="0" w:color="auto"/>
                <w:left w:val="none" w:sz="0" w:space="0" w:color="auto"/>
                <w:bottom w:val="none" w:sz="0" w:space="0" w:color="auto"/>
                <w:right w:val="none" w:sz="0" w:space="0" w:color="auto"/>
              </w:divBdr>
              <w:divsChild>
                <w:div w:id="2038266730">
                  <w:marLeft w:val="0"/>
                  <w:marRight w:val="0"/>
                  <w:marTop w:val="0"/>
                  <w:marBottom w:val="0"/>
                  <w:divBdr>
                    <w:top w:val="none" w:sz="0" w:space="0" w:color="auto"/>
                    <w:left w:val="none" w:sz="0" w:space="0" w:color="auto"/>
                    <w:bottom w:val="none" w:sz="0" w:space="0" w:color="auto"/>
                    <w:right w:val="none" w:sz="0" w:space="0" w:color="auto"/>
                  </w:divBdr>
                  <w:divsChild>
                    <w:div w:id="21127818">
                      <w:marLeft w:val="0"/>
                      <w:marRight w:val="0"/>
                      <w:marTop w:val="0"/>
                      <w:marBottom w:val="0"/>
                      <w:divBdr>
                        <w:top w:val="none" w:sz="0" w:space="0" w:color="auto"/>
                        <w:left w:val="none" w:sz="0" w:space="0" w:color="auto"/>
                        <w:bottom w:val="none" w:sz="0" w:space="0" w:color="auto"/>
                        <w:right w:val="none" w:sz="0" w:space="0" w:color="auto"/>
                      </w:divBdr>
                      <w:divsChild>
                        <w:div w:id="1562131660">
                          <w:marLeft w:val="0"/>
                          <w:marRight w:val="0"/>
                          <w:marTop w:val="0"/>
                          <w:marBottom w:val="0"/>
                          <w:divBdr>
                            <w:top w:val="none" w:sz="0" w:space="0" w:color="auto"/>
                            <w:left w:val="none" w:sz="0" w:space="0" w:color="auto"/>
                            <w:bottom w:val="none" w:sz="0" w:space="0" w:color="auto"/>
                            <w:right w:val="none" w:sz="0" w:space="0" w:color="auto"/>
                          </w:divBdr>
                          <w:divsChild>
                            <w:div w:id="19921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5091">
      <w:bodyDiv w:val="1"/>
      <w:marLeft w:val="0"/>
      <w:marRight w:val="0"/>
      <w:marTop w:val="0"/>
      <w:marBottom w:val="0"/>
      <w:divBdr>
        <w:top w:val="none" w:sz="0" w:space="0" w:color="auto"/>
        <w:left w:val="none" w:sz="0" w:space="0" w:color="auto"/>
        <w:bottom w:val="none" w:sz="0" w:space="0" w:color="auto"/>
        <w:right w:val="none" w:sz="0" w:space="0" w:color="auto"/>
      </w:divBdr>
    </w:div>
    <w:div w:id="1879853031">
      <w:bodyDiv w:val="1"/>
      <w:marLeft w:val="0"/>
      <w:marRight w:val="0"/>
      <w:marTop w:val="0"/>
      <w:marBottom w:val="0"/>
      <w:divBdr>
        <w:top w:val="none" w:sz="0" w:space="0" w:color="auto"/>
        <w:left w:val="none" w:sz="0" w:space="0" w:color="auto"/>
        <w:bottom w:val="none" w:sz="0" w:space="0" w:color="auto"/>
        <w:right w:val="none" w:sz="0" w:space="0" w:color="auto"/>
      </w:divBdr>
    </w:div>
    <w:div w:id="1883983264">
      <w:bodyDiv w:val="1"/>
      <w:marLeft w:val="0"/>
      <w:marRight w:val="0"/>
      <w:marTop w:val="0"/>
      <w:marBottom w:val="0"/>
      <w:divBdr>
        <w:top w:val="none" w:sz="0" w:space="0" w:color="auto"/>
        <w:left w:val="none" w:sz="0" w:space="0" w:color="auto"/>
        <w:bottom w:val="none" w:sz="0" w:space="0" w:color="auto"/>
        <w:right w:val="none" w:sz="0" w:space="0" w:color="auto"/>
      </w:divBdr>
    </w:div>
    <w:div w:id="1891532596">
      <w:bodyDiv w:val="1"/>
      <w:marLeft w:val="0"/>
      <w:marRight w:val="0"/>
      <w:marTop w:val="0"/>
      <w:marBottom w:val="0"/>
      <w:divBdr>
        <w:top w:val="none" w:sz="0" w:space="0" w:color="auto"/>
        <w:left w:val="none" w:sz="0" w:space="0" w:color="auto"/>
        <w:bottom w:val="none" w:sz="0" w:space="0" w:color="auto"/>
        <w:right w:val="none" w:sz="0" w:space="0" w:color="auto"/>
      </w:divBdr>
    </w:div>
    <w:div w:id="1905022787">
      <w:bodyDiv w:val="1"/>
      <w:marLeft w:val="0"/>
      <w:marRight w:val="0"/>
      <w:marTop w:val="0"/>
      <w:marBottom w:val="0"/>
      <w:divBdr>
        <w:top w:val="none" w:sz="0" w:space="0" w:color="auto"/>
        <w:left w:val="none" w:sz="0" w:space="0" w:color="auto"/>
        <w:bottom w:val="none" w:sz="0" w:space="0" w:color="auto"/>
        <w:right w:val="none" w:sz="0" w:space="0" w:color="auto"/>
      </w:divBdr>
    </w:div>
    <w:div w:id="1944530759">
      <w:bodyDiv w:val="1"/>
      <w:marLeft w:val="0"/>
      <w:marRight w:val="0"/>
      <w:marTop w:val="0"/>
      <w:marBottom w:val="0"/>
      <w:divBdr>
        <w:top w:val="none" w:sz="0" w:space="0" w:color="auto"/>
        <w:left w:val="none" w:sz="0" w:space="0" w:color="auto"/>
        <w:bottom w:val="none" w:sz="0" w:space="0" w:color="auto"/>
        <w:right w:val="none" w:sz="0" w:space="0" w:color="auto"/>
      </w:divBdr>
    </w:div>
    <w:div w:id="1957517979">
      <w:bodyDiv w:val="1"/>
      <w:marLeft w:val="0"/>
      <w:marRight w:val="0"/>
      <w:marTop w:val="0"/>
      <w:marBottom w:val="0"/>
      <w:divBdr>
        <w:top w:val="none" w:sz="0" w:space="0" w:color="auto"/>
        <w:left w:val="none" w:sz="0" w:space="0" w:color="auto"/>
        <w:bottom w:val="none" w:sz="0" w:space="0" w:color="auto"/>
        <w:right w:val="none" w:sz="0" w:space="0" w:color="auto"/>
      </w:divBdr>
    </w:div>
    <w:div w:id="1972200717">
      <w:bodyDiv w:val="1"/>
      <w:marLeft w:val="0"/>
      <w:marRight w:val="0"/>
      <w:marTop w:val="0"/>
      <w:marBottom w:val="0"/>
      <w:divBdr>
        <w:top w:val="none" w:sz="0" w:space="0" w:color="auto"/>
        <w:left w:val="none" w:sz="0" w:space="0" w:color="auto"/>
        <w:bottom w:val="none" w:sz="0" w:space="0" w:color="auto"/>
        <w:right w:val="none" w:sz="0" w:space="0" w:color="auto"/>
      </w:divBdr>
    </w:div>
    <w:div w:id="1972243721">
      <w:bodyDiv w:val="1"/>
      <w:marLeft w:val="0"/>
      <w:marRight w:val="0"/>
      <w:marTop w:val="0"/>
      <w:marBottom w:val="0"/>
      <w:divBdr>
        <w:top w:val="none" w:sz="0" w:space="0" w:color="auto"/>
        <w:left w:val="none" w:sz="0" w:space="0" w:color="auto"/>
        <w:bottom w:val="none" w:sz="0" w:space="0" w:color="auto"/>
        <w:right w:val="none" w:sz="0" w:space="0" w:color="auto"/>
      </w:divBdr>
    </w:div>
    <w:div w:id="1996101053">
      <w:bodyDiv w:val="1"/>
      <w:marLeft w:val="0"/>
      <w:marRight w:val="0"/>
      <w:marTop w:val="0"/>
      <w:marBottom w:val="0"/>
      <w:divBdr>
        <w:top w:val="none" w:sz="0" w:space="0" w:color="auto"/>
        <w:left w:val="none" w:sz="0" w:space="0" w:color="auto"/>
        <w:bottom w:val="none" w:sz="0" w:space="0" w:color="auto"/>
        <w:right w:val="none" w:sz="0" w:space="0" w:color="auto"/>
      </w:divBdr>
    </w:div>
    <w:div w:id="2010331655">
      <w:bodyDiv w:val="1"/>
      <w:marLeft w:val="0"/>
      <w:marRight w:val="0"/>
      <w:marTop w:val="0"/>
      <w:marBottom w:val="0"/>
      <w:divBdr>
        <w:top w:val="none" w:sz="0" w:space="0" w:color="auto"/>
        <w:left w:val="none" w:sz="0" w:space="0" w:color="auto"/>
        <w:bottom w:val="none" w:sz="0" w:space="0" w:color="auto"/>
        <w:right w:val="none" w:sz="0" w:space="0" w:color="auto"/>
      </w:divBdr>
      <w:divsChild>
        <w:div w:id="1159419446">
          <w:marLeft w:val="0"/>
          <w:marRight w:val="0"/>
          <w:marTop w:val="0"/>
          <w:marBottom w:val="0"/>
          <w:divBdr>
            <w:top w:val="none" w:sz="0" w:space="0" w:color="auto"/>
            <w:left w:val="none" w:sz="0" w:space="0" w:color="auto"/>
            <w:bottom w:val="none" w:sz="0" w:space="0" w:color="auto"/>
            <w:right w:val="none" w:sz="0" w:space="0" w:color="auto"/>
          </w:divBdr>
          <w:divsChild>
            <w:div w:id="213349282">
              <w:marLeft w:val="0"/>
              <w:marRight w:val="0"/>
              <w:marTop w:val="0"/>
              <w:marBottom w:val="0"/>
              <w:divBdr>
                <w:top w:val="none" w:sz="0" w:space="0" w:color="auto"/>
                <w:left w:val="none" w:sz="0" w:space="0" w:color="auto"/>
                <w:bottom w:val="none" w:sz="0" w:space="0" w:color="auto"/>
                <w:right w:val="none" w:sz="0" w:space="0" w:color="auto"/>
              </w:divBdr>
              <w:divsChild>
                <w:div w:id="110590811">
                  <w:marLeft w:val="0"/>
                  <w:marRight w:val="0"/>
                  <w:marTop w:val="0"/>
                  <w:marBottom w:val="0"/>
                  <w:divBdr>
                    <w:top w:val="none" w:sz="0" w:space="0" w:color="auto"/>
                    <w:left w:val="none" w:sz="0" w:space="0" w:color="auto"/>
                    <w:bottom w:val="none" w:sz="0" w:space="0" w:color="auto"/>
                    <w:right w:val="none" w:sz="0" w:space="0" w:color="auto"/>
                  </w:divBdr>
                  <w:divsChild>
                    <w:div w:id="863177802">
                      <w:marLeft w:val="0"/>
                      <w:marRight w:val="0"/>
                      <w:marTop w:val="0"/>
                      <w:marBottom w:val="0"/>
                      <w:divBdr>
                        <w:top w:val="none" w:sz="0" w:space="0" w:color="auto"/>
                        <w:left w:val="none" w:sz="0" w:space="0" w:color="auto"/>
                        <w:bottom w:val="none" w:sz="0" w:space="0" w:color="auto"/>
                        <w:right w:val="none" w:sz="0" w:space="0" w:color="auto"/>
                      </w:divBdr>
                      <w:divsChild>
                        <w:div w:id="385184697">
                          <w:marLeft w:val="0"/>
                          <w:marRight w:val="0"/>
                          <w:marTop w:val="0"/>
                          <w:marBottom w:val="0"/>
                          <w:divBdr>
                            <w:top w:val="none" w:sz="0" w:space="0" w:color="auto"/>
                            <w:left w:val="none" w:sz="0" w:space="0" w:color="auto"/>
                            <w:bottom w:val="none" w:sz="0" w:space="0" w:color="auto"/>
                            <w:right w:val="none" w:sz="0" w:space="0" w:color="auto"/>
                          </w:divBdr>
                          <w:divsChild>
                            <w:div w:id="14783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9667">
      <w:bodyDiv w:val="1"/>
      <w:marLeft w:val="0"/>
      <w:marRight w:val="0"/>
      <w:marTop w:val="0"/>
      <w:marBottom w:val="0"/>
      <w:divBdr>
        <w:top w:val="none" w:sz="0" w:space="0" w:color="auto"/>
        <w:left w:val="none" w:sz="0" w:space="0" w:color="auto"/>
        <w:bottom w:val="none" w:sz="0" w:space="0" w:color="auto"/>
        <w:right w:val="none" w:sz="0" w:space="0" w:color="auto"/>
      </w:divBdr>
    </w:div>
    <w:div w:id="2029677785">
      <w:bodyDiv w:val="1"/>
      <w:marLeft w:val="0"/>
      <w:marRight w:val="0"/>
      <w:marTop w:val="0"/>
      <w:marBottom w:val="0"/>
      <w:divBdr>
        <w:top w:val="none" w:sz="0" w:space="0" w:color="auto"/>
        <w:left w:val="none" w:sz="0" w:space="0" w:color="auto"/>
        <w:bottom w:val="none" w:sz="0" w:space="0" w:color="auto"/>
        <w:right w:val="none" w:sz="0" w:space="0" w:color="auto"/>
      </w:divBdr>
    </w:div>
    <w:div w:id="2053112068">
      <w:bodyDiv w:val="1"/>
      <w:marLeft w:val="0"/>
      <w:marRight w:val="0"/>
      <w:marTop w:val="0"/>
      <w:marBottom w:val="0"/>
      <w:divBdr>
        <w:top w:val="none" w:sz="0" w:space="0" w:color="auto"/>
        <w:left w:val="none" w:sz="0" w:space="0" w:color="auto"/>
        <w:bottom w:val="none" w:sz="0" w:space="0" w:color="auto"/>
        <w:right w:val="none" w:sz="0" w:space="0" w:color="auto"/>
      </w:divBdr>
    </w:div>
    <w:div w:id="2059015768">
      <w:bodyDiv w:val="1"/>
      <w:marLeft w:val="0"/>
      <w:marRight w:val="0"/>
      <w:marTop w:val="0"/>
      <w:marBottom w:val="0"/>
      <w:divBdr>
        <w:top w:val="none" w:sz="0" w:space="0" w:color="auto"/>
        <w:left w:val="none" w:sz="0" w:space="0" w:color="auto"/>
        <w:bottom w:val="none" w:sz="0" w:space="0" w:color="auto"/>
        <w:right w:val="none" w:sz="0" w:space="0" w:color="auto"/>
      </w:divBdr>
    </w:div>
    <w:div w:id="2122802813">
      <w:bodyDiv w:val="1"/>
      <w:marLeft w:val="0"/>
      <w:marRight w:val="0"/>
      <w:marTop w:val="0"/>
      <w:marBottom w:val="0"/>
      <w:divBdr>
        <w:top w:val="none" w:sz="0" w:space="0" w:color="auto"/>
        <w:left w:val="none" w:sz="0" w:space="0" w:color="auto"/>
        <w:bottom w:val="none" w:sz="0" w:space="0" w:color="auto"/>
        <w:right w:val="none" w:sz="0" w:space="0" w:color="auto"/>
      </w:divBdr>
    </w:div>
    <w:div w:id="2135638942">
      <w:bodyDiv w:val="1"/>
      <w:marLeft w:val="0"/>
      <w:marRight w:val="0"/>
      <w:marTop w:val="0"/>
      <w:marBottom w:val="0"/>
      <w:divBdr>
        <w:top w:val="none" w:sz="0" w:space="0" w:color="auto"/>
        <w:left w:val="none" w:sz="0" w:space="0" w:color="auto"/>
        <w:bottom w:val="none" w:sz="0" w:space="0" w:color="auto"/>
        <w:right w:val="none" w:sz="0" w:space="0" w:color="auto"/>
      </w:divBdr>
      <w:divsChild>
        <w:div w:id="701325218">
          <w:marLeft w:val="0"/>
          <w:marRight w:val="0"/>
          <w:marTop w:val="0"/>
          <w:marBottom w:val="0"/>
          <w:divBdr>
            <w:top w:val="none" w:sz="0" w:space="0" w:color="auto"/>
            <w:left w:val="none" w:sz="0" w:space="0" w:color="auto"/>
            <w:bottom w:val="none" w:sz="0" w:space="0" w:color="auto"/>
            <w:right w:val="none" w:sz="0" w:space="0" w:color="auto"/>
          </w:divBdr>
          <w:divsChild>
            <w:div w:id="1187599527">
              <w:marLeft w:val="0"/>
              <w:marRight w:val="0"/>
              <w:marTop w:val="0"/>
              <w:marBottom w:val="0"/>
              <w:divBdr>
                <w:top w:val="none" w:sz="0" w:space="0" w:color="auto"/>
                <w:left w:val="none" w:sz="0" w:space="0" w:color="auto"/>
                <w:bottom w:val="none" w:sz="0" w:space="0" w:color="auto"/>
                <w:right w:val="none" w:sz="0" w:space="0" w:color="auto"/>
              </w:divBdr>
              <w:divsChild>
                <w:div w:id="1130513605">
                  <w:marLeft w:val="0"/>
                  <w:marRight w:val="0"/>
                  <w:marTop w:val="0"/>
                  <w:marBottom w:val="0"/>
                  <w:divBdr>
                    <w:top w:val="none" w:sz="0" w:space="0" w:color="auto"/>
                    <w:left w:val="none" w:sz="0" w:space="0" w:color="auto"/>
                    <w:bottom w:val="none" w:sz="0" w:space="0" w:color="auto"/>
                    <w:right w:val="none" w:sz="0" w:space="0" w:color="auto"/>
                  </w:divBdr>
                  <w:divsChild>
                    <w:div w:id="1987078473">
                      <w:marLeft w:val="0"/>
                      <w:marRight w:val="0"/>
                      <w:marTop w:val="0"/>
                      <w:marBottom w:val="0"/>
                      <w:divBdr>
                        <w:top w:val="none" w:sz="0" w:space="0" w:color="auto"/>
                        <w:left w:val="none" w:sz="0" w:space="0" w:color="auto"/>
                        <w:bottom w:val="none" w:sz="0" w:space="0" w:color="auto"/>
                        <w:right w:val="none" w:sz="0" w:space="0" w:color="auto"/>
                      </w:divBdr>
                      <w:divsChild>
                        <w:div w:id="79378709">
                          <w:marLeft w:val="0"/>
                          <w:marRight w:val="0"/>
                          <w:marTop w:val="0"/>
                          <w:marBottom w:val="0"/>
                          <w:divBdr>
                            <w:top w:val="none" w:sz="0" w:space="0" w:color="auto"/>
                            <w:left w:val="none" w:sz="0" w:space="0" w:color="auto"/>
                            <w:bottom w:val="none" w:sz="0" w:space="0" w:color="auto"/>
                            <w:right w:val="none" w:sz="0" w:space="0" w:color="auto"/>
                          </w:divBdr>
                          <w:divsChild>
                            <w:div w:id="891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s://www.ofwat.gov.uk/publication/pr24-draft-determinations-price-control-deliverables-appendi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ofwat.gov.uk/regulated-companies/price-review/2024-price-review/framework-and-methodology/final-methodology/pr24-final-methodology-submission-tables-and-guid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ofwat.gov.uk/wp-content/uploads/2024/07/PR24-DD-W-Investigations.xls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ofwat.gov.uk/regulated-companies/price-review/2024-price-review/framework-and-methodology/final-methodology/pr24-final-methodology-submission-tables-and-guidanc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208CFB2C728A5F4C8BBE6A24FE0E6FCE" ma:contentTypeVersion="25" ma:contentTypeDescription="Create a new document." ma:contentTypeScope="" ma:versionID="12b508a63ab07d68bf5888c2bc8979c7">
  <xsd:schema xmlns:xsd="http://www.w3.org/2001/XMLSchema" xmlns:xs="http://www.w3.org/2001/XMLSchema" xmlns:p="http://schemas.microsoft.com/office/2006/metadata/properties" xmlns:ns1="http://schemas.microsoft.com/sharepoint/v3" xmlns:ns2="dfc5cf3b-63a0-41eb-9e2d-d2b6491b4379" xmlns:ns3="288dc7ab-520d-4eb9-98c2-a63fed96acef" targetNamespace="http://schemas.microsoft.com/office/2006/metadata/properties" ma:root="true" ma:fieldsID="86f08417d15df3fe816549fe7ea3fc25" ns1:_="" ns2:_="" ns3:_="">
    <xsd:import namespace="http://schemas.microsoft.com/sharepoint/v3"/>
    <xsd:import namespace="dfc5cf3b-63a0-41eb-9e2d-d2b6491b4379"/>
    <xsd:import namespace="288dc7ab-520d-4eb9-98c2-a63fed96acef"/>
    <xsd:element name="properties">
      <xsd:complexType>
        <xsd:sequence>
          <xsd:element name="documentManagement">
            <xsd:complexType>
              <xsd:all>
                <xsd:element ref="ns2:n70e42a9bc7847e39bf54d9b9f99ae04" minOccurs="0"/>
                <xsd:element ref="ns2:TaxCatchAll"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1:_ip_UnifiedCompliancePolicyProperties" minOccurs="0"/>
                <xsd:element ref="ns1:_ip_UnifiedCompliancePolicyUIAction" minOccurs="0"/>
                <xsd:element ref="ns3:Type_x0020_of_x0020_doc"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ObjectDetectorVersions" minOccurs="0"/>
                <xsd:element ref="ns3:MediaServiceOCR"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5cf3b-63a0-41eb-9e2d-d2b6491b4379" elementFormDefault="qualified">
    <xsd:import namespace="http://schemas.microsoft.com/office/2006/documentManagement/types"/>
    <xsd:import namespace="http://schemas.microsoft.com/office/infopath/2007/PartnerControls"/>
    <xsd:element name="n70e42a9bc7847e39bf54d9b9f99ae04" ma:index="9" nillable="true" ma:taxonomy="true" ma:internalName="n70e42a9bc7847e39bf54d9b9f99ae04" ma:taxonomyFieldName="Review_x0020_Period" ma:displayName="Review Period" ma:indexed="true" ma:default="" ma:fieldId="{770e42a9-bc78-47e3-9bf5-4d9b9f99ae04}" ma:sspId="f924a736-b285-4c68-8cdb-5ccf3ff341b6" ma:termSetId="ae5d3d12-d233-4495-96ee-682d1d36f94e"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611ec8d2-c813-4531-b966-1319a11e9c0f}" ma:internalName="TaxCatchAll" ma:showField="CatchAllData" ma:web="dfc5cf3b-63a0-41eb-9e2d-d2b6491b437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88dc7ab-520d-4eb9-98c2-a63fed96ace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Type_x0020_of_x0020_doc" ma:index="19" nillable="true" ma:displayName="Type of doc" ma:internalName="Type_x0020_of_x0020_doc">
      <xsd:simpleType>
        <xsd:restriction base="dms:Choice">
          <xsd:enumeration value="Quantitative KPIs"/>
          <xsd:enumeration value="Qualitative KPIs"/>
          <xsd:enumeration value="Dashboard"/>
          <xsd:enumeration value="Map &amp; other docs"/>
        </xsd:restrictio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924a736-b285-4c68-8cdb-5ccf3ff341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fc5cf3b-63a0-41eb-9e2d-d2b6491b4379">
      <UserInfo>
        <DisplayName>Danny Taylor</DisplayName>
        <AccountId>831</AccountId>
        <AccountType/>
      </UserInfo>
      <UserInfo>
        <DisplayName>Kristina MacEachern</DisplayName>
        <AccountId>639</AccountId>
        <AccountType/>
      </UserInfo>
      <UserInfo>
        <DisplayName>David Satti</DisplayName>
        <AccountId>44</AccountId>
        <AccountType/>
      </UserInfo>
      <UserInfo>
        <DisplayName>Andrew Keith</DisplayName>
        <AccountId>731</AccountId>
        <AccountType/>
      </UserInfo>
      <UserInfo>
        <DisplayName>Michelle Ashford</DisplayName>
        <AccountId>269</AccountId>
        <AccountType/>
      </UserInfo>
      <UserInfo>
        <DisplayName>Gabriel Smith</DisplayName>
        <AccountId>840</AccountId>
        <AccountType/>
      </UserInfo>
      <UserInfo>
        <DisplayName>Hannah Patrick</DisplayName>
        <AccountId>1672</AccountId>
        <AccountType/>
      </UserInfo>
      <UserInfo>
        <DisplayName>Colin McNaughton</DisplayName>
        <AccountId>283</AccountId>
        <AccountType/>
      </UserInfo>
      <UserInfo>
        <DisplayName>Yiping Peng</DisplayName>
        <AccountId>1765</AccountId>
        <AccountType/>
      </UserInfo>
      <UserInfo>
        <DisplayName>David Innes</DisplayName>
        <AccountId>114</AccountId>
        <AccountType/>
      </UserInfo>
      <UserInfo>
        <DisplayName>Cosmin Diaconita</DisplayName>
        <AccountId>345</AccountId>
        <AccountType/>
      </UserInfo>
      <UserInfo>
        <DisplayName>Alex Blake</DisplayName>
        <AccountId>2050</AccountId>
        <AccountType/>
      </UserInfo>
      <UserInfo>
        <DisplayName>Stephanie Capaldi</DisplayName>
        <AccountId>23</AccountId>
        <AccountType/>
      </UserInfo>
      <UserInfo>
        <DisplayName>Leo Tymianski</DisplayName>
        <AccountId>835</AccountId>
        <AccountType/>
      </UserInfo>
      <UserInfo>
        <DisplayName>Snezha Hristova</DisplayName>
        <AccountId>832</AccountId>
        <AccountType/>
      </UserInfo>
      <UserInfo>
        <DisplayName>Andrea Mancini</DisplayName>
        <AccountId>14</AccountId>
        <AccountType/>
      </UserInfo>
      <UserInfo>
        <DisplayName>Donna Very</DisplayName>
        <AccountId>29</AccountId>
        <AccountType/>
      </UserInfo>
      <UserInfo>
        <DisplayName>Shona Coan</DisplayName>
        <AccountId>42</AccountId>
        <AccountType/>
      </UserInfo>
    </SharedWithUsers>
    <_ip_UnifiedCompliancePolicyUIAction xmlns="http://schemas.microsoft.com/sharepoint/v3" xsi:nil="true"/>
    <TaxCatchAll xmlns="dfc5cf3b-63a0-41eb-9e2d-d2b6491b4379" xsi:nil="true"/>
    <lcf76f155ced4ddcb4097134ff3c332f xmlns="288dc7ab-520d-4eb9-98c2-a63fed96acef">
      <Terms xmlns="http://schemas.microsoft.com/office/infopath/2007/PartnerControls"/>
    </lcf76f155ced4ddcb4097134ff3c332f>
    <n70e42a9bc7847e39bf54d9b9f99ae04 xmlns="dfc5cf3b-63a0-41eb-9e2d-d2b6491b4379">
      <Terms xmlns="http://schemas.microsoft.com/office/infopath/2007/PartnerControls"/>
    </n70e42a9bc7847e39bf54d9b9f99ae04>
    <_ip_UnifiedCompliancePolicyProperties xmlns="http://schemas.microsoft.com/sharepoint/v3" xsi:nil="true"/>
    <Type_x0020_of_x0020_doc xmlns="288dc7ab-520d-4eb9-98c2-a63fed96acef"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WIC20</b:Tag>
    <b:SourceType>DocumentFromInternetSite</b:SourceType>
    <b:Guid>{8D5146C8-A399-4B89-826A-B7F6E45FB309}</b:Guid>
    <b:Year>2020</b:Year>
    <b:Author>
      <b:Author>
        <b:Corporate>WICS</b:Corporate>
      </b:Author>
    </b:Author>
    <b:Month>October</b:Month>
    <b:Day>8</b:Day>
    <b:URL>https://wics.scot/publications/price-setting/strategic-review-charges-2021-27/determinations/2021-27-draft-determination</b:URL>
    <b:YearAccessed>2024</b:YearAccessed>
    <b:MonthAccessed>March</b:MonthAccessed>
    <b:DayAccessed>11</b:DayAccessed>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D0470-57D9-4E34-9C5B-40B202055A12}">
  <ds:schemaRefs>
    <ds:schemaRef ds:uri="http://schemas.microsoft.com/office/2006/metadata/customXsn"/>
  </ds:schemaRefs>
</ds:datastoreItem>
</file>

<file path=customXml/itemProps2.xml><?xml version="1.0" encoding="utf-8"?>
<ds:datastoreItem xmlns:ds="http://schemas.openxmlformats.org/officeDocument/2006/customXml" ds:itemID="{F00D9677-31A8-4F90-932B-7CF30F2ED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5cf3b-63a0-41eb-9e2d-d2b6491b4379"/>
    <ds:schemaRef ds:uri="288dc7ab-520d-4eb9-98c2-a63fed96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dcmitype/"/>
    <ds:schemaRef ds:uri="http://schemas.openxmlformats.org/package/2006/metadata/core-properties"/>
    <ds:schemaRef ds:uri="288dc7ab-520d-4eb9-98c2-a63fed96acef"/>
    <ds:schemaRef ds:uri="http://purl.org/dc/elements/1.1/"/>
    <ds:schemaRef ds:uri="dfc5cf3b-63a0-41eb-9e2d-d2b6491b4379"/>
    <ds:schemaRef ds:uri="http://schemas.microsoft.com/sharepoint/v3"/>
    <ds:schemaRef ds:uri="http://purl.org/dc/terms/"/>
  </ds:schemaRefs>
</ds:datastoreItem>
</file>

<file path=customXml/itemProps4.xml><?xml version="1.0" encoding="utf-8"?>
<ds:datastoreItem xmlns:ds="http://schemas.openxmlformats.org/officeDocument/2006/customXml" ds:itemID="{C3806DA3-BD61-4C26-B933-D81864888725}">
  <ds:schemaRefs>
    <ds:schemaRef ds:uri="http://schemas.openxmlformats.org/officeDocument/2006/bibliography"/>
  </ds:schemaRefs>
</ds:datastoreItem>
</file>

<file path=customXml/itemProps5.xml><?xml version="1.0" encoding="utf-8"?>
<ds:datastoreItem xmlns:ds="http://schemas.openxmlformats.org/officeDocument/2006/customXml" ds:itemID="{B1A8E6D7-8841-4001-B88F-4E478FD8E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106</Pages>
  <Words>22216</Words>
  <Characters>124763</Characters>
  <Application>Microsoft Office Word</Application>
  <DocSecurity>0</DocSecurity>
  <Lines>4240</Lines>
  <Paragraphs>2228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145149</CharactersWithSpaces>
  <SharedDoc>false</SharedDoc>
  <HLinks>
    <vt:vector size="264" baseType="variant">
      <vt:variant>
        <vt:i4>4063265</vt:i4>
      </vt:variant>
      <vt:variant>
        <vt:i4>255</vt:i4>
      </vt:variant>
      <vt:variant>
        <vt:i4>0</vt:i4>
      </vt:variant>
      <vt:variant>
        <vt:i4>5</vt:i4>
      </vt:variant>
      <vt:variant>
        <vt:lpwstr>https://www.ofwat.gov.uk/regulated-companies/price-review/2024-price-review/framework-and-methodology/final-methodology/pr24-final-methodology-submission-tables-and-guidance/</vt:lpwstr>
      </vt:variant>
      <vt:variant>
        <vt:lpwstr/>
      </vt:variant>
      <vt:variant>
        <vt:i4>2818106</vt:i4>
      </vt:variant>
      <vt:variant>
        <vt:i4>252</vt:i4>
      </vt:variant>
      <vt:variant>
        <vt:i4>0</vt:i4>
      </vt:variant>
      <vt:variant>
        <vt:i4>5</vt:i4>
      </vt:variant>
      <vt:variant>
        <vt:lpwstr>https://www.ofwat.gov.uk/publication/pr24-draft-determinations-price-control-deliverables-appendix/</vt:lpwstr>
      </vt:variant>
      <vt:variant>
        <vt:lpwstr/>
      </vt:variant>
      <vt:variant>
        <vt:i4>4063265</vt:i4>
      </vt:variant>
      <vt:variant>
        <vt:i4>249</vt:i4>
      </vt:variant>
      <vt:variant>
        <vt:i4>0</vt:i4>
      </vt:variant>
      <vt:variant>
        <vt:i4>5</vt:i4>
      </vt:variant>
      <vt:variant>
        <vt:lpwstr>https://www.ofwat.gov.uk/regulated-companies/price-review/2024-price-review/framework-and-methodology/final-methodology/pr24-final-methodology-submission-tables-and-guidance/</vt:lpwstr>
      </vt:variant>
      <vt:variant>
        <vt:lpwstr/>
      </vt:variant>
      <vt:variant>
        <vt:i4>6094917</vt:i4>
      </vt:variant>
      <vt:variant>
        <vt:i4>243</vt:i4>
      </vt:variant>
      <vt:variant>
        <vt:i4>0</vt:i4>
      </vt:variant>
      <vt:variant>
        <vt:i4>5</vt:i4>
      </vt:variant>
      <vt:variant>
        <vt:lpwstr>https://www.ofwat.gov.uk/wp-content/uploads/2024/07/PR24-DD-W-Investigations.xlsm</vt:lpwstr>
      </vt:variant>
      <vt:variant>
        <vt:lpwstr/>
      </vt:variant>
      <vt:variant>
        <vt:i4>1572918</vt:i4>
      </vt:variant>
      <vt:variant>
        <vt:i4>236</vt:i4>
      </vt:variant>
      <vt:variant>
        <vt:i4>0</vt:i4>
      </vt:variant>
      <vt:variant>
        <vt:i4>5</vt:i4>
      </vt:variant>
      <vt:variant>
        <vt:lpwstr/>
      </vt:variant>
      <vt:variant>
        <vt:lpwstr>_Toc184736063</vt:lpwstr>
      </vt:variant>
      <vt:variant>
        <vt:i4>1572918</vt:i4>
      </vt:variant>
      <vt:variant>
        <vt:i4>230</vt:i4>
      </vt:variant>
      <vt:variant>
        <vt:i4>0</vt:i4>
      </vt:variant>
      <vt:variant>
        <vt:i4>5</vt:i4>
      </vt:variant>
      <vt:variant>
        <vt:lpwstr/>
      </vt:variant>
      <vt:variant>
        <vt:lpwstr>_Toc184736062</vt:lpwstr>
      </vt:variant>
      <vt:variant>
        <vt:i4>1572918</vt:i4>
      </vt:variant>
      <vt:variant>
        <vt:i4>224</vt:i4>
      </vt:variant>
      <vt:variant>
        <vt:i4>0</vt:i4>
      </vt:variant>
      <vt:variant>
        <vt:i4>5</vt:i4>
      </vt:variant>
      <vt:variant>
        <vt:lpwstr/>
      </vt:variant>
      <vt:variant>
        <vt:lpwstr>_Toc184736061</vt:lpwstr>
      </vt:variant>
      <vt:variant>
        <vt:i4>1572918</vt:i4>
      </vt:variant>
      <vt:variant>
        <vt:i4>218</vt:i4>
      </vt:variant>
      <vt:variant>
        <vt:i4>0</vt:i4>
      </vt:variant>
      <vt:variant>
        <vt:i4>5</vt:i4>
      </vt:variant>
      <vt:variant>
        <vt:lpwstr/>
      </vt:variant>
      <vt:variant>
        <vt:lpwstr>_Toc184736060</vt:lpwstr>
      </vt:variant>
      <vt:variant>
        <vt:i4>1769526</vt:i4>
      </vt:variant>
      <vt:variant>
        <vt:i4>212</vt:i4>
      </vt:variant>
      <vt:variant>
        <vt:i4>0</vt:i4>
      </vt:variant>
      <vt:variant>
        <vt:i4>5</vt:i4>
      </vt:variant>
      <vt:variant>
        <vt:lpwstr/>
      </vt:variant>
      <vt:variant>
        <vt:lpwstr>_Toc184736059</vt:lpwstr>
      </vt:variant>
      <vt:variant>
        <vt:i4>1769526</vt:i4>
      </vt:variant>
      <vt:variant>
        <vt:i4>206</vt:i4>
      </vt:variant>
      <vt:variant>
        <vt:i4>0</vt:i4>
      </vt:variant>
      <vt:variant>
        <vt:i4>5</vt:i4>
      </vt:variant>
      <vt:variant>
        <vt:lpwstr/>
      </vt:variant>
      <vt:variant>
        <vt:lpwstr>_Toc184736058</vt:lpwstr>
      </vt:variant>
      <vt:variant>
        <vt:i4>1769526</vt:i4>
      </vt:variant>
      <vt:variant>
        <vt:i4>200</vt:i4>
      </vt:variant>
      <vt:variant>
        <vt:i4>0</vt:i4>
      </vt:variant>
      <vt:variant>
        <vt:i4>5</vt:i4>
      </vt:variant>
      <vt:variant>
        <vt:lpwstr/>
      </vt:variant>
      <vt:variant>
        <vt:lpwstr>_Toc184736057</vt:lpwstr>
      </vt:variant>
      <vt:variant>
        <vt:i4>1769526</vt:i4>
      </vt:variant>
      <vt:variant>
        <vt:i4>194</vt:i4>
      </vt:variant>
      <vt:variant>
        <vt:i4>0</vt:i4>
      </vt:variant>
      <vt:variant>
        <vt:i4>5</vt:i4>
      </vt:variant>
      <vt:variant>
        <vt:lpwstr/>
      </vt:variant>
      <vt:variant>
        <vt:lpwstr>_Toc184736056</vt:lpwstr>
      </vt:variant>
      <vt:variant>
        <vt:i4>1769526</vt:i4>
      </vt:variant>
      <vt:variant>
        <vt:i4>188</vt:i4>
      </vt:variant>
      <vt:variant>
        <vt:i4>0</vt:i4>
      </vt:variant>
      <vt:variant>
        <vt:i4>5</vt:i4>
      </vt:variant>
      <vt:variant>
        <vt:lpwstr/>
      </vt:variant>
      <vt:variant>
        <vt:lpwstr>_Toc184736055</vt:lpwstr>
      </vt:variant>
      <vt:variant>
        <vt:i4>1769526</vt:i4>
      </vt:variant>
      <vt:variant>
        <vt:i4>182</vt:i4>
      </vt:variant>
      <vt:variant>
        <vt:i4>0</vt:i4>
      </vt:variant>
      <vt:variant>
        <vt:i4>5</vt:i4>
      </vt:variant>
      <vt:variant>
        <vt:lpwstr/>
      </vt:variant>
      <vt:variant>
        <vt:lpwstr>_Toc184736054</vt:lpwstr>
      </vt:variant>
      <vt:variant>
        <vt:i4>1769526</vt:i4>
      </vt:variant>
      <vt:variant>
        <vt:i4>176</vt:i4>
      </vt:variant>
      <vt:variant>
        <vt:i4>0</vt:i4>
      </vt:variant>
      <vt:variant>
        <vt:i4>5</vt:i4>
      </vt:variant>
      <vt:variant>
        <vt:lpwstr/>
      </vt:variant>
      <vt:variant>
        <vt:lpwstr>_Toc184736053</vt:lpwstr>
      </vt:variant>
      <vt:variant>
        <vt:i4>1769526</vt:i4>
      </vt:variant>
      <vt:variant>
        <vt:i4>170</vt:i4>
      </vt:variant>
      <vt:variant>
        <vt:i4>0</vt:i4>
      </vt:variant>
      <vt:variant>
        <vt:i4>5</vt:i4>
      </vt:variant>
      <vt:variant>
        <vt:lpwstr/>
      </vt:variant>
      <vt:variant>
        <vt:lpwstr>_Toc184736052</vt:lpwstr>
      </vt:variant>
      <vt:variant>
        <vt:i4>1769526</vt:i4>
      </vt:variant>
      <vt:variant>
        <vt:i4>164</vt:i4>
      </vt:variant>
      <vt:variant>
        <vt:i4>0</vt:i4>
      </vt:variant>
      <vt:variant>
        <vt:i4>5</vt:i4>
      </vt:variant>
      <vt:variant>
        <vt:lpwstr/>
      </vt:variant>
      <vt:variant>
        <vt:lpwstr>_Toc184736051</vt:lpwstr>
      </vt:variant>
      <vt:variant>
        <vt:i4>1769526</vt:i4>
      </vt:variant>
      <vt:variant>
        <vt:i4>158</vt:i4>
      </vt:variant>
      <vt:variant>
        <vt:i4>0</vt:i4>
      </vt:variant>
      <vt:variant>
        <vt:i4>5</vt:i4>
      </vt:variant>
      <vt:variant>
        <vt:lpwstr/>
      </vt:variant>
      <vt:variant>
        <vt:lpwstr>_Toc184736050</vt:lpwstr>
      </vt:variant>
      <vt:variant>
        <vt:i4>1703990</vt:i4>
      </vt:variant>
      <vt:variant>
        <vt:i4>152</vt:i4>
      </vt:variant>
      <vt:variant>
        <vt:i4>0</vt:i4>
      </vt:variant>
      <vt:variant>
        <vt:i4>5</vt:i4>
      </vt:variant>
      <vt:variant>
        <vt:lpwstr/>
      </vt:variant>
      <vt:variant>
        <vt:lpwstr>_Toc184736049</vt:lpwstr>
      </vt:variant>
      <vt:variant>
        <vt:i4>1703990</vt:i4>
      </vt:variant>
      <vt:variant>
        <vt:i4>146</vt:i4>
      </vt:variant>
      <vt:variant>
        <vt:i4>0</vt:i4>
      </vt:variant>
      <vt:variant>
        <vt:i4>5</vt:i4>
      </vt:variant>
      <vt:variant>
        <vt:lpwstr/>
      </vt:variant>
      <vt:variant>
        <vt:lpwstr>_Toc184736048</vt:lpwstr>
      </vt:variant>
      <vt:variant>
        <vt:i4>1703990</vt:i4>
      </vt:variant>
      <vt:variant>
        <vt:i4>140</vt:i4>
      </vt:variant>
      <vt:variant>
        <vt:i4>0</vt:i4>
      </vt:variant>
      <vt:variant>
        <vt:i4>5</vt:i4>
      </vt:variant>
      <vt:variant>
        <vt:lpwstr/>
      </vt:variant>
      <vt:variant>
        <vt:lpwstr>_Toc184736047</vt:lpwstr>
      </vt:variant>
      <vt:variant>
        <vt:i4>1703990</vt:i4>
      </vt:variant>
      <vt:variant>
        <vt:i4>134</vt:i4>
      </vt:variant>
      <vt:variant>
        <vt:i4>0</vt:i4>
      </vt:variant>
      <vt:variant>
        <vt:i4>5</vt:i4>
      </vt:variant>
      <vt:variant>
        <vt:lpwstr/>
      </vt:variant>
      <vt:variant>
        <vt:lpwstr>_Toc184736046</vt:lpwstr>
      </vt:variant>
      <vt:variant>
        <vt:i4>1703990</vt:i4>
      </vt:variant>
      <vt:variant>
        <vt:i4>128</vt:i4>
      </vt:variant>
      <vt:variant>
        <vt:i4>0</vt:i4>
      </vt:variant>
      <vt:variant>
        <vt:i4>5</vt:i4>
      </vt:variant>
      <vt:variant>
        <vt:lpwstr/>
      </vt:variant>
      <vt:variant>
        <vt:lpwstr>_Toc184736045</vt:lpwstr>
      </vt:variant>
      <vt:variant>
        <vt:i4>1703990</vt:i4>
      </vt:variant>
      <vt:variant>
        <vt:i4>122</vt:i4>
      </vt:variant>
      <vt:variant>
        <vt:i4>0</vt:i4>
      </vt:variant>
      <vt:variant>
        <vt:i4>5</vt:i4>
      </vt:variant>
      <vt:variant>
        <vt:lpwstr/>
      </vt:variant>
      <vt:variant>
        <vt:lpwstr>_Toc184736044</vt:lpwstr>
      </vt:variant>
      <vt:variant>
        <vt:i4>1703990</vt:i4>
      </vt:variant>
      <vt:variant>
        <vt:i4>116</vt:i4>
      </vt:variant>
      <vt:variant>
        <vt:i4>0</vt:i4>
      </vt:variant>
      <vt:variant>
        <vt:i4>5</vt:i4>
      </vt:variant>
      <vt:variant>
        <vt:lpwstr/>
      </vt:variant>
      <vt:variant>
        <vt:lpwstr>_Toc184736043</vt:lpwstr>
      </vt:variant>
      <vt:variant>
        <vt:i4>1703990</vt:i4>
      </vt:variant>
      <vt:variant>
        <vt:i4>110</vt:i4>
      </vt:variant>
      <vt:variant>
        <vt:i4>0</vt:i4>
      </vt:variant>
      <vt:variant>
        <vt:i4>5</vt:i4>
      </vt:variant>
      <vt:variant>
        <vt:lpwstr/>
      </vt:variant>
      <vt:variant>
        <vt:lpwstr>_Toc184736042</vt:lpwstr>
      </vt:variant>
      <vt:variant>
        <vt:i4>1703990</vt:i4>
      </vt:variant>
      <vt:variant>
        <vt:i4>104</vt:i4>
      </vt:variant>
      <vt:variant>
        <vt:i4>0</vt:i4>
      </vt:variant>
      <vt:variant>
        <vt:i4>5</vt:i4>
      </vt:variant>
      <vt:variant>
        <vt:lpwstr/>
      </vt:variant>
      <vt:variant>
        <vt:lpwstr>_Toc184736041</vt:lpwstr>
      </vt:variant>
      <vt:variant>
        <vt:i4>1703990</vt:i4>
      </vt:variant>
      <vt:variant>
        <vt:i4>98</vt:i4>
      </vt:variant>
      <vt:variant>
        <vt:i4>0</vt:i4>
      </vt:variant>
      <vt:variant>
        <vt:i4>5</vt:i4>
      </vt:variant>
      <vt:variant>
        <vt:lpwstr/>
      </vt:variant>
      <vt:variant>
        <vt:lpwstr>_Toc184736040</vt:lpwstr>
      </vt:variant>
      <vt:variant>
        <vt:i4>1900598</vt:i4>
      </vt:variant>
      <vt:variant>
        <vt:i4>92</vt:i4>
      </vt:variant>
      <vt:variant>
        <vt:i4>0</vt:i4>
      </vt:variant>
      <vt:variant>
        <vt:i4>5</vt:i4>
      </vt:variant>
      <vt:variant>
        <vt:lpwstr/>
      </vt:variant>
      <vt:variant>
        <vt:lpwstr>_Toc184736039</vt:lpwstr>
      </vt:variant>
      <vt:variant>
        <vt:i4>1900598</vt:i4>
      </vt:variant>
      <vt:variant>
        <vt:i4>86</vt:i4>
      </vt:variant>
      <vt:variant>
        <vt:i4>0</vt:i4>
      </vt:variant>
      <vt:variant>
        <vt:i4>5</vt:i4>
      </vt:variant>
      <vt:variant>
        <vt:lpwstr/>
      </vt:variant>
      <vt:variant>
        <vt:lpwstr>_Toc184736038</vt:lpwstr>
      </vt:variant>
      <vt:variant>
        <vt:i4>1900598</vt:i4>
      </vt:variant>
      <vt:variant>
        <vt:i4>80</vt:i4>
      </vt:variant>
      <vt:variant>
        <vt:i4>0</vt:i4>
      </vt:variant>
      <vt:variant>
        <vt:i4>5</vt:i4>
      </vt:variant>
      <vt:variant>
        <vt:lpwstr/>
      </vt:variant>
      <vt:variant>
        <vt:lpwstr>_Toc184736037</vt:lpwstr>
      </vt:variant>
      <vt:variant>
        <vt:i4>1900598</vt:i4>
      </vt:variant>
      <vt:variant>
        <vt:i4>74</vt:i4>
      </vt:variant>
      <vt:variant>
        <vt:i4>0</vt:i4>
      </vt:variant>
      <vt:variant>
        <vt:i4>5</vt:i4>
      </vt:variant>
      <vt:variant>
        <vt:lpwstr/>
      </vt:variant>
      <vt:variant>
        <vt:lpwstr>_Toc184736036</vt:lpwstr>
      </vt:variant>
      <vt:variant>
        <vt:i4>1900598</vt:i4>
      </vt:variant>
      <vt:variant>
        <vt:i4>68</vt:i4>
      </vt:variant>
      <vt:variant>
        <vt:i4>0</vt:i4>
      </vt:variant>
      <vt:variant>
        <vt:i4>5</vt:i4>
      </vt:variant>
      <vt:variant>
        <vt:lpwstr/>
      </vt:variant>
      <vt:variant>
        <vt:lpwstr>_Toc184736035</vt:lpwstr>
      </vt:variant>
      <vt:variant>
        <vt:i4>1900598</vt:i4>
      </vt:variant>
      <vt:variant>
        <vt:i4>62</vt:i4>
      </vt:variant>
      <vt:variant>
        <vt:i4>0</vt:i4>
      </vt:variant>
      <vt:variant>
        <vt:i4>5</vt:i4>
      </vt:variant>
      <vt:variant>
        <vt:lpwstr/>
      </vt:variant>
      <vt:variant>
        <vt:lpwstr>_Toc184736034</vt:lpwstr>
      </vt:variant>
      <vt:variant>
        <vt:i4>1900598</vt:i4>
      </vt:variant>
      <vt:variant>
        <vt:i4>56</vt:i4>
      </vt:variant>
      <vt:variant>
        <vt:i4>0</vt:i4>
      </vt:variant>
      <vt:variant>
        <vt:i4>5</vt:i4>
      </vt:variant>
      <vt:variant>
        <vt:lpwstr/>
      </vt:variant>
      <vt:variant>
        <vt:lpwstr>_Toc184736033</vt:lpwstr>
      </vt:variant>
      <vt:variant>
        <vt:i4>1900598</vt:i4>
      </vt:variant>
      <vt:variant>
        <vt:i4>50</vt:i4>
      </vt:variant>
      <vt:variant>
        <vt:i4>0</vt:i4>
      </vt:variant>
      <vt:variant>
        <vt:i4>5</vt:i4>
      </vt:variant>
      <vt:variant>
        <vt:lpwstr/>
      </vt:variant>
      <vt:variant>
        <vt:lpwstr>_Toc184736032</vt:lpwstr>
      </vt:variant>
      <vt:variant>
        <vt:i4>1900598</vt:i4>
      </vt:variant>
      <vt:variant>
        <vt:i4>44</vt:i4>
      </vt:variant>
      <vt:variant>
        <vt:i4>0</vt:i4>
      </vt:variant>
      <vt:variant>
        <vt:i4>5</vt:i4>
      </vt:variant>
      <vt:variant>
        <vt:lpwstr/>
      </vt:variant>
      <vt:variant>
        <vt:lpwstr>_Toc184736031</vt:lpwstr>
      </vt:variant>
      <vt:variant>
        <vt:i4>1900598</vt:i4>
      </vt:variant>
      <vt:variant>
        <vt:i4>38</vt:i4>
      </vt:variant>
      <vt:variant>
        <vt:i4>0</vt:i4>
      </vt:variant>
      <vt:variant>
        <vt:i4>5</vt:i4>
      </vt:variant>
      <vt:variant>
        <vt:lpwstr/>
      </vt:variant>
      <vt:variant>
        <vt:lpwstr>_Toc184736030</vt:lpwstr>
      </vt:variant>
      <vt:variant>
        <vt:i4>1835062</vt:i4>
      </vt:variant>
      <vt:variant>
        <vt:i4>32</vt:i4>
      </vt:variant>
      <vt:variant>
        <vt:i4>0</vt:i4>
      </vt:variant>
      <vt:variant>
        <vt:i4>5</vt:i4>
      </vt:variant>
      <vt:variant>
        <vt:lpwstr/>
      </vt:variant>
      <vt:variant>
        <vt:lpwstr>_Toc184736029</vt:lpwstr>
      </vt:variant>
      <vt:variant>
        <vt:i4>1835062</vt:i4>
      </vt:variant>
      <vt:variant>
        <vt:i4>26</vt:i4>
      </vt:variant>
      <vt:variant>
        <vt:i4>0</vt:i4>
      </vt:variant>
      <vt:variant>
        <vt:i4>5</vt:i4>
      </vt:variant>
      <vt:variant>
        <vt:lpwstr/>
      </vt:variant>
      <vt:variant>
        <vt:lpwstr>_Toc184736028</vt:lpwstr>
      </vt:variant>
      <vt:variant>
        <vt:i4>1835062</vt:i4>
      </vt:variant>
      <vt:variant>
        <vt:i4>20</vt:i4>
      </vt:variant>
      <vt:variant>
        <vt:i4>0</vt:i4>
      </vt:variant>
      <vt:variant>
        <vt:i4>5</vt:i4>
      </vt:variant>
      <vt:variant>
        <vt:lpwstr/>
      </vt:variant>
      <vt:variant>
        <vt:lpwstr>_Toc184736027</vt:lpwstr>
      </vt:variant>
      <vt:variant>
        <vt:i4>1835062</vt:i4>
      </vt:variant>
      <vt:variant>
        <vt:i4>14</vt:i4>
      </vt:variant>
      <vt:variant>
        <vt:i4>0</vt:i4>
      </vt:variant>
      <vt:variant>
        <vt:i4>5</vt:i4>
      </vt:variant>
      <vt:variant>
        <vt:lpwstr/>
      </vt:variant>
      <vt:variant>
        <vt:lpwstr>_Toc184736026</vt:lpwstr>
      </vt:variant>
      <vt:variant>
        <vt:i4>1835062</vt:i4>
      </vt:variant>
      <vt:variant>
        <vt:i4>8</vt:i4>
      </vt:variant>
      <vt:variant>
        <vt:i4>0</vt:i4>
      </vt:variant>
      <vt:variant>
        <vt:i4>5</vt:i4>
      </vt:variant>
      <vt:variant>
        <vt:lpwstr/>
      </vt:variant>
      <vt:variant>
        <vt:lpwstr>_Toc184736025</vt:lpwstr>
      </vt:variant>
      <vt:variant>
        <vt:i4>1835062</vt:i4>
      </vt:variant>
      <vt:variant>
        <vt:i4>2</vt:i4>
      </vt:variant>
      <vt:variant>
        <vt:i4>0</vt:i4>
      </vt:variant>
      <vt:variant>
        <vt:i4>5</vt:i4>
      </vt:variant>
      <vt:variant>
        <vt:lpwstr/>
      </vt:variant>
      <vt:variant>
        <vt:lpwstr>_Toc184736024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Colin McNaughton</cp:lastModifiedBy>
  <cp:revision>2220</cp:revision>
  <dcterms:created xsi:type="dcterms:W3CDTF">2024-09-10T16:56:00Z</dcterms:created>
  <dcterms:modified xsi:type="dcterms:W3CDTF">2024-12-11T10:40:00Z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0x010100208CFB2C728A5F4C8BBE6A24FE0E6FCE</vt:lpwstr>
  </property>
  <property fmtid="{D5CDD505-2E9C-101B-9397-08002B2CF9AE}" pid="3" name="Order">
    <vt:r8>1666000</vt:r8>
  </property>
  <property fmtid="{D5CDD505-2E9C-101B-9397-08002B2CF9AE}" pid="4" name="MediaServiceImageTags">
    <vt:lpwstr/>
  </property>
  <property fmtid="{D5CDD505-2E9C-101B-9397-08002B2CF9AE}" pid="5" name="Review Period">
    <vt:lpwstr/>
  </property>
  <property fmtid="{D5CDD505-2E9C-101B-9397-08002B2CF9AE}" pid="6" name="ClassificationContentMarkingHeaderShapeIds">
    <vt:lpwstr>19d99e2f,4443db30,3c9ea6b5,1a40ff6,34ba8f6,2e993579,569e72d3,49cdc38a,70ae07f5</vt:lpwstr>
  </property>
  <property fmtid="{D5CDD505-2E9C-101B-9397-08002B2CF9AE}" pid="7" name="ClassificationContentMarkingHeaderFontProps">
    <vt:lpwstr>#000000,7,Calibri</vt:lpwstr>
  </property>
  <property fmtid="{D5CDD505-2E9C-101B-9397-08002B2CF9AE}" pid="8" name="ClassificationContentMarkingHeaderText">
    <vt:lpwstr>Client Confidential</vt:lpwstr>
  </property>
  <property fmtid="{D5CDD505-2E9C-101B-9397-08002B2CF9AE}" pid="9" name="MSIP_Label_30680500-9625-44ee-9c58-46889c8e0cbf_Enabled">
    <vt:lpwstr>true</vt:lpwstr>
  </property>
  <property fmtid="{D5CDD505-2E9C-101B-9397-08002B2CF9AE}" pid="10" name="MSIP_Label_30680500-9625-44ee-9c58-46889c8e0cbf_SetDate">
    <vt:lpwstr>2024-08-22T16:14:10Z</vt:lpwstr>
  </property>
  <property fmtid="{D5CDD505-2E9C-101B-9397-08002B2CF9AE}" pid="11" name="MSIP_Label_30680500-9625-44ee-9c58-46889c8e0cbf_Method">
    <vt:lpwstr>Privileged</vt:lpwstr>
  </property>
  <property fmtid="{D5CDD505-2E9C-101B-9397-08002B2CF9AE}" pid="12" name="MSIP_Label_30680500-9625-44ee-9c58-46889c8e0cbf_Name">
    <vt:lpwstr>Confidential-Client</vt:lpwstr>
  </property>
  <property fmtid="{D5CDD505-2E9C-101B-9397-08002B2CF9AE}" pid="13" name="MSIP_Label_30680500-9625-44ee-9c58-46889c8e0cbf_SiteId">
    <vt:lpwstr>ca18acb0-3312-44f2-869d-5b01ed8bb47d</vt:lpwstr>
  </property>
  <property fmtid="{D5CDD505-2E9C-101B-9397-08002B2CF9AE}" pid="14" name="MSIP_Label_30680500-9625-44ee-9c58-46889c8e0cbf_ActionId">
    <vt:lpwstr>080ab861-905f-4502-9ce9-aa9143cba831</vt:lpwstr>
  </property>
  <property fmtid="{D5CDD505-2E9C-101B-9397-08002B2CF9AE}" pid="15" name="MSIP_Label_30680500-9625-44ee-9c58-46889c8e0cbf_ContentBits">
    <vt:lpwstr>1</vt:lpwstr>
  </property>
  <property fmtid="{D5CDD505-2E9C-101B-9397-08002B2CF9AE}" pid="16" name="Review_x0020_Period">
    <vt:lpwstr/>
  </property>
</Properties>
</file>