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805421" w:rsidRPr="00D53544" w14:paraId="2BF079B7" w14:textId="77777777" w:rsidTr="00744CA1">
        <w:trPr>
          <w:trHeight w:val="2759"/>
        </w:trPr>
        <w:tc>
          <w:tcPr>
            <w:tcW w:w="5670" w:type="dxa"/>
          </w:tcPr>
          <w:p w14:paraId="495062F0" w14:textId="04C0F254" w:rsidR="00805421" w:rsidRPr="00D53544" w:rsidRDefault="009E5A35" w:rsidP="0059583E">
            <w:pPr>
              <w:pStyle w:val="Documenttitle"/>
              <w:jc w:val="both"/>
              <w:rPr>
                <w:szCs w:val="88"/>
              </w:rPr>
            </w:pPr>
            <w:r w:rsidRPr="009E5A35">
              <w:rPr>
                <w:szCs w:val="88"/>
              </w:rPr>
              <w:t>SCOTTISH WATER’S PERFORMANCE</w:t>
            </w:r>
            <w:r w:rsidR="00744CA1">
              <w:rPr>
                <w:szCs w:val="88"/>
              </w:rPr>
              <w:t xml:space="preserve"> </w:t>
            </w:r>
            <w:r w:rsidRPr="009E5A35">
              <w:rPr>
                <w:szCs w:val="88"/>
              </w:rPr>
              <w:t>202</w:t>
            </w:r>
            <w:r>
              <w:rPr>
                <w:szCs w:val="88"/>
              </w:rPr>
              <w:t>3</w:t>
            </w:r>
            <w:r w:rsidRPr="009E5A35">
              <w:rPr>
                <w:szCs w:val="88"/>
              </w:rPr>
              <w:t>-2</w:t>
            </w:r>
            <w:r>
              <w:rPr>
                <w:szCs w:val="88"/>
              </w:rPr>
              <w:t>4</w:t>
            </w:r>
          </w:p>
        </w:tc>
      </w:tr>
      <w:tr w:rsidR="00805421" w:rsidRPr="00A87DBB" w14:paraId="3FBED2F1" w14:textId="77777777" w:rsidTr="00744CA1">
        <w:trPr>
          <w:trHeight w:val="1561"/>
        </w:trPr>
        <w:tc>
          <w:tcPr>
            <w:tcW w:w="5670" w:type="dxa"/>
          </w:tcPr>
          <w:p w14:paraId="437A23DE" w14:textId="38C20DE9" w:rsidR="00805421" w:rsidRPr="00A87DBB" w:rsidRDefault="00805421" w:rsidP="0059583E">
            <w:pPr>
              <w:pStyle w:val="Documentsubtitle"/>
              <w:jc w:val="both"/>
            </w:pPr>
          </w:p>
        </w:tc>
      </w:tr>
      <w:tr w:rsidR="00805421" w:rsidRPr="00A87DBB" w14:paraId="25B3ADDF" w14:textId="77777777" w:rsidTr="00744CA1">
        <w:trPr>
          <w:trHeight w:val="1134"/>
        </w:trPr>
        <w:tc>
          <w:tcPr>
            <w:tcW w:w="5670" w:type="dxa"/>
          </w:tcPr>
          <w:p w14:paraId="203ED665" w14:textId="6F56E99C" w:rsidR="00805421" w:rsidRPr="00805421" w:rsidRDefault="00805421" w:rsidP="0059583E">
            <w:pPr>
              <w:pStyle w:val="Coverinfo"/>
              <w:jc w:val="both"/>
            </w:pPr>
          </w:p>
        </w:tc>
      </w:tr>
      <w:tr w:rsidR="00805421" w:rsidRPr="00A87DBB" w14:paraId="2B3D2FB0" w14:textId="77777777" w:rsidTr="00744CA1">
        <w:trPr>
          <w:trHeight w:val="567"/>
        </w:trPr>
        <w:tc>
          <w:tcPr>
            <w:tcW w:w="5670" w:type="dxa"/>
          </w:tcPr>
          <w:p w14:paraId="06028F39" w14:textId="0343173D" w:rsidR="00805421" w:rsidRPr="00805421" w:rsidRDefault="007E1953" w:rsidP="0059583E">
            <w:pPr>
              <w:pStyle w:val="Coverinfo"/>
              <w:jc w:val="both"/>
              <w:rPr>
                <w:b/>
                <w:bCs/>
              </w:rPr>
            </w:pPr>
            <w:r w:rsidRPr="00C34EBF">
              <w:rPr>
                <w:color w:val="5F7577" w:themeColor="accent2"/>
              </w:rPr>
              <w:t>November</w:t>
            </w:r>
            <w:r w:rsidR="006553EB">
              <w:rPr>
                <w:color w:val="5F7577" w:themeColor="accent2"/>
              </w:rPr>
              <w:t xml:space="preserve"> </w:t>
            </w:r>
            <w:r w:rsidR="009E5A35" w:rsidRPr="00C34EBF">
              <w:rPr>
                <w:color w:val="5F7577" w:themeColor="accent2"/>
              </w:rPr>
              <w:t>2024</w:t>
            </w:r>
          </w:p>
        </w:tc>
      </w:tr>
    </w:tbl>
    <w:p w14:paraId="6C639259" w14:textId="77777777" w:rsidR="009215D0" w:rsidRDefault="009215D0" w:rsidP="0059583E">
      <w:pPr>
        <w:jc w:val="both"/>
        <w:sectPr w:rsidR="009215D0" w:rsidSect="00694710">
          <w:headerReference w:type="default" r:id="rId12"/>
          <w:footerReference w:type="default" r:id="rId13"/>
          <w:headerReference w:type="first" r:id="rId14"/>
          <w:pgSz w:w="11906" w:h="16838" w:code="9"/>
          <w:pgMar w:top="1134" w:right="1134" w:bottom="1134" w:left="1134" w:header="567" w:footer="567" w:gutter="0"/>
          <w:cols w:space="708"/>
          <w:titlePg/>
          <w:docGrid w:linePitch="360"/>
        </w:sectPr>
      </w:pPr>
    </w:p>
    <w:p w14:paraId="515BD17C" w14:textId="77777777" w:rsidR="00440697" w:rsidRDefault="00440697" w:rsidP="0059583E">
      <w:pPr>
        <w:spacing w:after="160" w:line="259" w:lineRule="auto"/>
        <w:jc w:val="both"/>
        <w:rPr>
          <w:color w:val="064276" w:themeColor="text2"/>
          <w:sz w:val="72"/>
          <w:szCs w:val="72"/>
        </w:rPr>
      </w:pPr>
      <w:r>
        <w:br w:type="page"/>
      </w:r>
    </w:p>
    <w:p w14:paraId="6AF6066A" w14:textId="7862D7DE" w:rsidR="009215D0" w:rsidRPr="009215D0" w:rsidRDefault="009E5A35" w:rsidP="0059583E">
      <w:pPr>
        <w:pStyle w:val="CONTENTS"/>
        <w:outlineLvl w:val="0"/>
      </w:pPr>
      <w:r w:rsidRPr="009215D0">
        <w:lastRenderedPageBreak/>
        <w:t>Contents</w:t>
      </w:r>
    </w:p>
    <w:p w14:paraId="589BA3CB" w14:textId="021DE584" w:rsidR="00C67BBF" w:rsidRDefault="00704700">
      <w:pPr>
        <w:pStyle w:val="TOC1"/>
        <w:tabs>
          <w:tab w:val="right" w:leader="dot" w:pos="9628"/>
        </w:tabs>
        <w:rPr>
          <w:rFonts w:eastAsiaTheme="minorEastAsia"/>
          <w:b w:val="0"/>
          <w:noProof/>
          <w:color w:val="auto"/>
          <w:kern w:val="2"/>
          <w:sz w:val="22"/>
          <w:lang w:eastAsia="en-GB"/>
          <w14:ligatures w14:val="standardContextual"/>
        </w:rPr>
      </w:pPr>
      <w:r>
        <w:rPr>
          <w:b w:val="0"/>
          <w:sz w:val="22"/>
        </w:rPr>
        <w:fldChar w:fldCharType="begin"/>
      </w:r>
      <w:r>
        <w:rPr>
          <w:b w:val="0"/>
        </w:rPr>
        <w:instrText xml:space="preserve"> TOC \o "2-2" \h \z \t "Heading 1,1,Large heading,1,# Heading 1,1,# Heading 2,2" </w:instrText>
      </w:r>
      <w:r>
        <w:rPr>
          <w:b w:val="0"/>
          <w:sz w:val="22"/>
        </w:rPr>
        <w:fldChar w:fldCharType="separate"/>
      </w:r>
      <w:hyperlink w:anchor="_Toc183593897" w:history="1">
        <w:r w:rsidR="00C67BBF" w:rsidRPr="00E52AB3">
          <w:rPr>
            <w:rStyle w:val="Hyperlink"/>
            <w:noProof/>
          </w:rPr>
          <w:t>About this document</w:t>
        </w:r>
        <w:r w:rsidR="00C67BBF">
          <w:rPr>
            <w:noProof/>
            <w:webHidden/>
          </w:rPr>
          <w:tab/>
        </w:r>
        <w:r w:rsidR="00C67BBF">
          <w:rPr>
            <w:noProof/>
            <w:webHidden/>
          </w:rPr>
          <w:fldChar w:fldCharType="begin"/>
        </w:r>
        <w:r w:rsidR="00C67BBF">
          <w:rPr>
            <w:noProof/>
            <w:webHidden/>
          </w:rPr>
          <w:instrText xml:space="preserve"> PAGEREF _Toc183593897 \h </w:instrText>
        </w:r>
        <w:r w:rsidR="00C67BBF">
          <w:rPr>
            <w:noProof/>
            <w:webHidden/>
          </w:rPr>
        </w:r>
        <w:r w:rsidR="00C67BBF">
          <w:rPr>
            <w:noProof/>
            <w:webHidden/>
          </w:rPr>
          <w:fldChar w:fldCharType="separate"/>
        </w:r>
        <w:r w:rsidR="00EE67B2">
          <w:rPr>
            <w:noProof/>
            <w:webHidden/>
          </w:rPr>
          <w:t>3</w:t>
        </w:r>
        <w:r w:rsidR="00C67BBF">
          <w:rPr>
            <w:noProof/>
            <w:webHidden/>
          </w:rPr>
          <w:fldChar w:fldCharType="end"/>
        </w:r>
      </w:hyperlink>
    </w:p>
    <w:p w14:paraId="65E77A1C" w14:textId="5EA1AA8A" w:rsidR="00C67BBF" w:rsidRDefault="004871B0">
      <w:pPr>
        <w:pStyle w:val="TOC1"/>
        <w:tabs>
          <w:tab w:val="right" w:leader="dot" w:pos="9628"/>
        </w:tabs>
        <w:rPr>
          <w:rFonts w:eastAsiaTheme="minorEastAsia"/>
          <w:b w:val="0"/>
          <w:noProof/>
          <w:color w:val="auto"/>
          <w:kern w:val="2"/>
          <w:sz w:val="22"/>
          <w:lang w:eastAsia="en-GB"/>
          <w14:ligatures w14:val="standardContextual"/>
        </w:rPr>
      </w:pPr>
      <w:hyperlink w:anchor="_Toc183593898" w:history="1">
        <w:r w:rsidR="00C67BBF" w:rsidRPr="00E52AB3">
          <w:rPr>
            <w:rStyle w:val="Hyperlink"/>
            <w:noProof/>
          </w:rPr>
          <w:t>Executive Summary</w:t>
        </w:r>
        <w:r w:rsidR="00C67BBF">
          <w:rPr>
            <w:noProof/>
            <w:webHidden/>
          </w:rPr>
          <w:tab/>
        </w:r>
        <w:r w:rsidR="00C67BBF">
          <w:rPr>
            <w:noProof/>
            <w:webHidden/>
          </w:rPr>
          <w:fldChar w:fldCharType="begin"/>
        </w:r>
        <w:r w:rsidR="00C67BBF">
          <w:rPr>
            <w:noProof/>
            <w:webHidden/>
          </w:rPr>
          <w:instrText xml:space="preserve"> PAGEREF _Toc183593898 \h </w:instrText>
        </w:r>
        <w:r w:rsidR="00C67BBF">
          <w:rPr>
            <w:noProof/>
            <w:webHidden/>
          </w:rPr>
        </w:r>
        <w:r w:rsidR="00C67BBF">
          <w:rPr>
            <w:noProof/>
            <w:webHidden/>
          </w:rPr>
          <w:fldChar w:fldCharType="separate"/>
        </w:r>
        <w:r w:rsidR="00EE67B2">
          <w:rPr>
            <w:noProof/>
            <w:webHidden/>
          </w:rPr>
          <w:t>4</w:t>
        </w:r>
        <w:r w:rsidR="00C67BBF">
          <w:rPr>
            <w:noProof/>
            <w:webHidden/>
          </w:rPr>
          <w:fldChar w:fldCharType="end"/>
        </w:r>
      </w:hyperlink>
    </w:p>
    <w:p w14:paraId="7C447C6E" w14:textId="6FCED0A0" w:rsidR="00C67BBF" w:rsidRDefault="004871B0">
      <w:pPr>
        <w:pStyle w:val="TOC1"/>
        <w:tabs>
          <w:tab w:val="left" w:pos="440"/>
          <w:tab w:val="right" w:leader="dot" w:pos="9628"/>
        </w:tabs>
        <w:rPr>
          <w:rFonts w:eastAsiaTheme="minorEastAsia"/>
          <w:b w:val="0"/>
          <w:noProof/>
          <w:color w:val="auto"/>
          <w:kern w:val="2"/>
          <w:sz w:val="22"/>
          <w:lang w:eastAsia="en-GB"/>
          <w14:ligatures w14:val="standardContextual"/>
        </w:rPr>
      </w:pPr>
      <w:hyperlink w:anchor="_Toc183593899" w:history="1">
        <w:r w:rsidR="00C67BBF" w:rsidRPr="00E52AB3">
          <w:rPr>
            <w:rStyle w:val="Hyperlink"/>
            <w:noProof/>
          </w:rPr>
          <w:t>1.</w:t>
        </w:r>
        <w:r w:rsidR="00C67BBF">
          <w:rPr>
            <w:rFonts w:eastAsiaTheme="minorEastAsia"/>
            <w:b w:val="0"/>
            <w:noProof/>
            <w:color w:val="auto"/>
            <w:kern w:val="2"/>
            <w:sz w:val="22"/>
            <w:lang w:eastAsia="en-GB"/>
            <w14:ligatures w14:val="standardContextual"/>
          </w:rPr>
          <w:tab/>
        </w:r>
        <w:r w:rsidR="00C67BBF" w:rsidRPr="00E52AB3">
          <w:rPr>
            <w:rStyle w:val="Hyperlink"/>
            <w:noProof/>
          </w:rPr>
          <w:t>Overview of WICS and the 2021-27 Strategic Review of Charges</w:t>
        </w:r>
        <w:r w:rsidR="00C67BBF">
          <w:rPr>
            <w:noProof/>
            <w:webHidden/>
          </w:rPr>
          <w:tab/>
        </w:r>
        <w:r w:rsidR="00C67BBF">
          <w:rPr>
            <w:noProof/>
            <w:webHidden/>
          </w:rPr>
          <w:fldChar w:fldCharType="begin"/>
        </w:r>
        <w:r w:rsidR="00C67BBF">
          <w:rPr>
            <w:noProof/>
            <w:webHidden/>
          </w:rPr>
          <w:instrText xml:space="preserve"> PAGEREF _Toc183593899 \h </w:instrText>
        </w:r>
        <w:r w:rsidR="00C67BBF">
          <w:rPr>
            <w:noProof/>
            <w:webHidden/>
          </w:rPr>
        </w:r>
        <w:r w:rsidR="00C67BBF">
          <w:rPr>
            <w:noProof/>
            <w:webHidden/>
          </w:rPr>
          <w:fldChar w:fldCharType="separate"/>
        </w:r>
        <w:r w:rsidR="00EE67B2">
          <w:rPr>
            <w:noProof/>
            <w:webHidden/>
          </w:rPr>
          <w:t>6</w:t>
        </w:r>
        <w:r w:rsidR="00C67BBF">
          <w:rPr>
            <w:noProof/>
            <w:webHidden/>
          </w:rPr>
          <w:fldChar w:fldCharType="end"/>
        </w:r>
      </w:hyperlink>
    </w:p>
    <w:p w14:paraId="6A667641" w14:textId="198AB8D3" w:rsidR="00C67BBF" w:rsidRDefault="004871B0">
      <w:pPr>
        <w:pStyle w:val="TOC2"/>
        <w:rPr>
          <w:rFonts w:eastAsiaTheme="minorEastAsia"/>
          <w:kern w:val="2"/>
          <w:lang w:eastAsia="en-GB"/>
          <w14:ligatures w14:val="standardContextual"/>
        </w:rPr>
      </w:pPr>
      <w:hyperlink w:anchor="_Toc183593900" w:history="1">
        <w:r w:rsidR="00C67BBF" w:rsidRPr="00E52AB3">
          <w:rPr>
            <w:rStyle w:val="Hyperlink"/>
          </w:rPr>
          <w:t>1.1.</w:t>
        </w:r>
        <w:r w:rsidR="00C67BBF">
          <w:rPr>
            <w:rFonts w:eastAsiaTheme="minorEastAsia"/>
            <w:kern w:val="2"/>
            <w:lang w:eastAsia="en-GB"/>
            <w14:ligatures w14:val="standardContextual"/>
          </w:rPr>
          <w:tab/>
        </w:r>
        <w:r w:rsidR="00C67BBF" w:rsidRPr="00E52AB3">
          <w:rPr>
            <w:rStyle w:val="Hyperlink"/>
          </w:rPr>
          <w:t>WICS’ role in the Scottish water industry</w:t>
        </w:r>
        <w:r w:rsidR="00C67BBF">
          <w:rPr>
            <w:webHidden/>
          </w:rPr>
          <w:tab/>
        </w:r>
        <w:r w:rsidR="00C67BBF">
          <w:rPr>
            <w:webHidden/>
          </w:rPr>
          <w:fldChar w:fldCharType="begin"/>
        </w:r>
        <w:r w:rsidR="00C67BBF">
          <w:rPr>
            <w:webHidden/>
          </w:rPr>
          <w:instrText xml:space="preserve"> PAGEREF _Toc183593900 \h </w:instrText>
        </w:r>
        <w:r w:rsidR="00C67BBF">
          <w:rPr>
            <w:webHidden/>
          </w:rPr>
        </w:r>
        <w:r w:rsidR="00C67BBF">
          <w:rPr>
            <w:webHidden/>
          </w:rPr>
          <w:fldChar w:fldCharType="separate"/>
        </w:r>
        <w:r w:rsidR="00EE67B2">
          <w:rPr>
            <w:webHidden/>
          </w:rPr>
          <w:t>6</w:t>
        </w:r>
        <w:r w:rsidR="00C67BBF">
          <w:rPr>
            <w:webHidden/>
          </w:rPr>
          <w:fldChar w:fldCharType="end"/>
        </w:r>
      </w:hyperlink>
    </w:p>
    <w:p w14:paraId="77D383D6" w14:textId="4D341001" w:rsidR="00C67BBF" w:rsidRDefault="004871B0">
      <w:pPr>
        <w:pStyle w:val="TOC2"/>
        <w:rPr>
          <w:rFonts w:eastAsiaTheme="minorEastAsia"/>
          <w:kern w:val="2"/>
          <w:lang w:eastAsia="en-GB"/>
          <w14:ligatures w14:val="standardContextual"/>
        </w:rPr>
      </w:pPr>
      <w:hyperlink w:anchor="_Toc183593901" w:history="1">
        <w:r w:rsidR="00C67BBF" w:rsidRPr="00E52AB3">
          <w:rPr>
            <w:rStyle w:val="Hyperlink"/>
          </w:rPr>
          <w:t>1.2.</w:t>
        </w:r>
        <w:r w:rsidR="00C67BBF">
          <w:rPr>
            <w:rFonts w:eastAsiaTheme="minorEastAsia"/>
            <w:kern w:val="2"/>
            <w:lang w:eastAsia="en-GB"/>
            <w14:ligatures w14:val="standardContextual"/>
          </w:rPr>
          <w:tab/>
        </w:r>
        <w:r w:rsidR="00C67BBF" w:rsidRPr="00E52AB3">
          <w:rPr>
            <w:rStyle w:val="Hyperlink"/>
          </w:rPr>
          <w:t>How WICS performs its role</w:t>
        </w:r>
        <w:r w:rsidR="00C67BBF">
          <w:rPr>
            <w:webHidden/>
          </w:rPr>
          <w:tab/>
        </w:r>
        <w:r w:rsidR="00C67BBF">
          <w:rPr>
            <w:webHidden/>
          </w:rPr>
          <w:fldChar w:fldCharType="begin"/>
        </w:r>
        <w:r w:rsidR="00C67BBF">
          <w:rPr>
            <w:webHidden/>
          </w:rPr>
          <w:instrText xml:space="preserve"> PAGEREF _Toc183593901 \h </w:instrText>
        </w:r>
        <w:r w:rsidR="00C67BBF">
          <w:rPr>
            <w:webHidden/>
          </w:rPr>
        </w:r>
        <w:r w:rsidR="00C67BBF">
          <w:rPr>
            <w:webHidden/>
          </w:rPr>
          <w:fldChar w:fldCharType="separate"/>
        </w:r>
        <w:r w:rsidR="00EE67B2">
          <w:rPr>
            <w:webHidden/>
          </w:rPr>
          <w:t>6</w:t>
        </w:r>
        <w:r w:rsidR="00C67BBF">
          <w:rPr>
            <w:webHidden/>
          </w:rPr>
          <w:fldChar w:fldCharType="end"/>
        </w:r>
      </w:hyperlink>
    </w:p>
    <w:p w14:paraId="08759BFC" w14:textId="5DDC85C3" w:rsidR="00C67BBF" w:rsidRDefault="004871B0">
      <w:pPr>
        <w:pStyle w:val="TOC1"/>
        <w:tabs>
          <w:tab w:val="left" w:pos="440"/>
          <w:tab w:val="right" w:leader="dot" w:pos="9628"/>
        </w:tabs>
        <w:rPr>
          <w:rFonts w:eastAsiaTheme="minorEastAsia"/>
          <w:b w:val="0"/>
          <w:noProof/>
          <w:color w:val="auto"/>
          <w:kern w:val="2"/>
          <w:sz w:val="22"/>
          <w:lang w:eastAsia="en-GB"/>
          <w14:ligatures w14:val="standardContextual"/>
        </w:rPr>
      </w:pPr>
      <w:hyperlink w:anchor="_Toc183593902" w:history="1">
        <w:r w:rsidR="00C67BBF" w:rsidRPr="00E52AB3">
          <w:rPr>
            <w:rStyle w:val="Hyperlink"/>
            <w:noProof/>
          </w:rPr>
          <w:t>2.</w:t>
        </w:r>
        <w:r w:rsidR="00C67BBF">
          <w:rPr>
            <w:rFonts w:eastAsiaTheme="minorEastAsia"/>
            <w:b w:val="0"/>
            <w:noProof/>
            <w:color w:val="auto"/>
            <w:kern w:val="2"/>
            <w:sz w:val="22"/>
            <w:lang w:eastAsia="en-GB"/>
            <w14:ligatures w14:val="standardContextual"/>
          </w:rPr>
          <w:tab/>
        </w:r>
        <w:r w:rsidR="00C67BBF" w:rsidRPr="00E52AB3">
          <w:rPr>
            <w:rStyle w:val="Hyperlink"/>
            <w:noProof/>
          </w:rPr>
          <w:t>Scottish Water’s funding in 2023-24</w:t>
        </w:r>
        <w:r w:rsidR="00C67BBF">
          <w:rPr>
            <w:noProof/>
            <w:webHidden/>
          </w:rPr>
          <w:tab/>
        </w:r>
        <w:r w:rsidR="00C67BBF">
          <w:rPr>
            <w:noProof/>
            <w:webHidden/>
          </w:rPr>
          <w:fldChar w:fldCharType="begin"/>
        </w:r>
        <w:r w:rsidR="00C67BBF">
          <w:rPr>
            <w:noProof/>
            <w:webHidden/>
          </w:rPr>
          <w:instrText xml:space="preserve"> PAGEREF _Toc183593902 \h </w:instrText>
        </w:r>
        <w:r w:rsidR="00C67BBF">
          <w:rPr>
            <w:noProof/>
            <w:webHidden/>
          </w:rPr>
        </w:r>
        <w:r w:rsidR="00C67BBF">
          <w:rPr>
            <w:noProof/>
            <w:webHidden/>
          </w:rPr>
          <w:fldChar w:fldCharType="separate"/>
        </w:r>
        <w:r w:rsidR="00EE67B2">
          <w:rPr>
            <w:noProof/>
            <w:webHidden/>
          </w:rPr>
          <w:t>8</w:t>
        </w:r>
        <w:r w:rsidR="00C67BBF">
          <w:rPr>
            <w:noProof/>
            <w:webHidden/>
          </w:rPr>
          <w:fldChar w:fldCharType="end"/>
        </w:r>
      </w:hyperlink>
    </w:p>
    <w:p w14:paraId="22EDD41C" w14:textId="77D1E971" w:rsidR="00C67BBF" w:rsidRDefault="004871B0">
      <w:pPr>
        <w:pStyle w:val="TOC1"/>
        <w:tabs>
          <w:tab w:val="left" w:pos="440"/>
          <w:tab w:val="right" w:leader="dot" w:pos="9628"/>
        </w:tabs>
        <w:rPr>
          <w:rFonts w:eastAsiaTheme="minorEastAsia"/>
          <w:b w:val="0"/>
          <w:noProof/>
          <w:color w:val="auto"/>
          <w:kern w:val="2"/>
          <w:sz w:val="22"/>
          <w:lang w:eastAsia="en-GB"/>
          <w14:ligatures w14:val="standardContextual"/>
        </w:rPr>
      </w:pPr>
      <w:hyperlink w:anchor="_Toc183593903" w:history="1">
        <w:r w:rsidR="00C67BBF" w:rsidRPr="00E52AB3">
          <w:rPr>
            <w:rStyle w:val="Hyperlink"/>
            <w:noProof/>
          </w:rPr>
          <w:t>3.</w:t>
        </w:r>
        <w:r w:rsidR="00C67BBF">
          <w:rPr>
            <w:rFonts w:eastAsiaTheme="minorEastAsia"/>
            <w:b w:val="0"/>
            <w:noProof/>
            <w:color w:val="auto"/>
            <w:kern w:val="2"/>
            <w:sz w:val="22"/>
            <w:lang w:eastAsia="en-GB"/>
            <w14:ligatures w14:val="standardContextual"/>
          </w:rPr>
          <w:tab/>
        </w:r>
        <w:r w:rsidR="00C67BBF" w:rsidRPr="00E52AB3">
          <w:rPr>
            <w:rStyle w:val="Hyperlink"/>
            <w:noProof/>
          </w:rPr>
          <w:t>Scottish Water’s expenditure in 2023-24</w:t>
        </w:r>
        <w:r w:rsidR="00C67BBF">
          <w:rPr>
            <w:noProof/>
            <w:webHidden/>
          </w:rPr>
          <w:tab/>
        </w:r>
        <w:r w:rsidR="00C67BBF">
          <w:rPr>
            <w:noProof/>
            <w:webHidden/>
          </w:rPr>
          <w:fldChar w:fldCharType="begin"/>
        </w:r>
        <w:r w:rsidR="00C67BBF">
          <w:rPr>
            <w:noProof/>
            <w:webHidden/>
          </w:rPr>
          <w:instrText xml:space="preserve"> PAGEREF _Toc183593903 \h </w:instrText>
        </w:r>
        <w:r w:rsidR="00C67BBF">
          <w:rPr>
            <w:noProof/>
            <w:webHidden/>
          </w:rPr>
        </w:r>
        <w:r w:rsidR="00C67BBF">
          <w:rPr>
            <w:noProof/>
            <w:webHidden/>
          </w:rPr>
          <w:fldChar w:fldCharType="separate"/>
        </w:r>
        <w:r w:rsidR="00EE67B2">
          <w:rPr>
            <w:noProof/>
            <w:webHidden/>
          </w:rPr>
          <w:t>9</w:t>
        </w:r>
        <w:r w:rsidR="00C67BBF">
          <w:rPr>
            <w:noProof/>
            <w:webHidden/>
          </w:rPr>
          <w:fldChar w:fldCharType="end"/>
        </w:r>
      </w:hyperlink>
    </w:p>
    <w:p w14:paraId="18EF0D8A" w14:textId="4ACF4D27" w:rsidR="00C67BBF" w:rsidRDefault="004871B0">
      <w:pPr>
        <w:pStyle w:val="TOC2"/>
        <w:rPr>
          <w:rFonts w:eastAsiaTheme="minorEastAsia"/>
          <w:kern w:val="2"/>
          <w:lang w:eastAsia="en-GB"/>
          <w14:ligatures w14:val="standardContextual"/>
        </w:rPr>
      </w:pPr>
      <w:hyperlink w:anchor="_Toc183593904" w:history="1">
        <w:r w:rsidR="00C67BBF" w:rsidRPr="00E52AB3">
          <w:rPr>
            <w:rStyle w:val="Hyperlink"/>
          </w:rPr>
          <w:t>3.1.</w:t>
        </w:r>
        <w:r w:rsidR="00C67BBF">
          <w:rPr>
            <w:rFonts w:eastAsiaTheme="minorEastAsia"/>
            <w:kern w:val="2"/>
            <w:lang w:eastAsia="en-GB"/>
            <w14:ligatures w14:val="standardContextual"/>
          </w:rPr>
          <w:tab/>
        </w:r>
        <w:r w:rsidR="00C67BBF" w:rsidRPr="00E52AB3">
          <w:rPr>
            <w:rStyle w:val="Hyperlink"/>
          </w:rPr>
          <w:t>Capital Investment</w:t>
        </w:r>
        <w:r w:rsidR="00C67BBF">
          <w:rPr>
            <w:webHidden/>
          </w:rPr>
          <w:tab/>
        </w:r>
        <w:r w:rsidR="00C67BBF">
          <w:rPr>
            <w:webHidden/>
          </w:rPr>
          <w:fldChar w:fldCharType="begin"/>
        </w:r>
        <w:r w:rsidR="00C67BBF">
          <w:rPr>
            <w:webHidden/>
          </w:rPr>
          <w:instrText xml:space="preserve"> PAGEREF _Toc183593904 \h </w:instrText>
        </w:r>
        <w:r w:rsidR="00C67BBF">
          <w:rPr>
            <w:webHidden/>
          </w:rPr>
        </w:r>
        <w:r w:rsidR="00C67BBF">
          <w:rPr>
            <w:webHidden/>
          </w:rPr>
          <w:fldChar w:fldCharType="separate"/>
        </w:r>
        <w:r w:rsidR="00EE67B2">
          <w:rPr>
            <w:webHidden/>
          </w:rPr>
          <w:t>9</w:t>
        </w:r>
        <w:r w:rsidR="00C67BBF">
          <w:rPr>
            <w:webHidden/>
          </w:rPr>
          <w:fldChar w:fldCharType="end"/>
        </w:r>
      </w:hyperlink>
    </w:p>
    <w:p w14:paraId="25E73908" w14:textId="72F45C7E" w:rsidR="00C67BBF" w:rsidRDefault="004871B0">
      <w:pPr>
        <w:pStyle w:val="TOC2"/>
        <w:rPr>
          <w:rFonts w:eastAsiaTheme="minorEastAsia"/>
          <w:kern w:val="2"/>
          <w:lang w:eastAsia="en-GB"/>
          <w14:ligatures w14:val="standardContextual"/>
        </w:rPr>
      </w:pPr>
      <w:hyperlink w:anchor="_Toc183593905" w:history="1">
        <w:r w:rsidR="00C67BBF" w:rsidRPr="00E52AB3">
          <w:rPr>
            <w:rStyle w:val="Hyperlink"/>
          </w:rPr>
          <w:t>3.2.</w:t>
        </w:r>
        <w:r w:rsidR="00C67BBF">
          <w:rPr>
            <w:rFonts w:eastAsiaTheme="minorEastAsia"/>
            <w:kern w:val="2"/>
            <w:lang w:eastAsia="en-GB"/>
            <w14:ligatures w14:val="standardContextual"/>
          </w:rPr>
          <w:tab/>
        </w:r>
        <w:r w:rsidR="00C67BBF" w:rsidRPr="00E52AB3">
          <w:rPr>
            <w:rStyle w:val="Hyperlink"/>
          </w:rPr>
          <w:t>Operating and Private Finance Initiative expenditure</w:t>
        </w:r>
        <w:r w:rsidR="00C67BBF">
          <w:rPr>
            <w:webHidden/>
          </w:rPr>
          <w:tab/>
        </w:r>
        <w:r w:rsidR="00C67BBF">
          <w:rPr>
            <w:webHidden/>
          </w:rPr>
          <w:fldChar w:fldCharType="begin"/>
        </w:r>
        <w:r w:rsidR="00C67BBF">
          <w:rPr>
            <w:webHidden/>
          </w:rPr>
          <w:instrText xml:space="preserve"> PAGEREF _Toc183593905 \h </w:instrText>
        </w:r>
        <w:r w:rsidR="00C67BBF">
          <w:rPr>
            <w:webHidden/>
          </w:rPr>
        </w:r>
        <w:r w:rsidR="00C67BBF">
          <w:rPr>
            <w:webHidden/>
          </w:rPr>
          <w:fldChar w:fldCharType="separate"/>
        </w:r>
        <w:r w:rsidR="00EE67B2">
          <w:rPr>
            <w:webHidden/>
          </w:rPr>
          <w:t>10</w:t>
        </w:r>
        <w:r w:rsidR="00C67BBF">
          <w:rPr>
            <w:webHidden/>
          </w:rPr>
          <w:fldChar w:fldCharType="end"/>
        </w:r>
      </w:hyperlink>
    </w:p>
    <w:p w14:paraId="3283AFD7" w14:textId="7A91540E" w:rsidR="00C67BBF" w:rsidRDefault="004871B0">
      <w:pPr>
        <w:pStyle w:val="TOC2"/>
        <w:rPr>
          <w:rFonts w:eastAsiaTheme="minorEastAsia"/>
          <w:kern w:val="2"/>
          <w:lang w:eastAsia="en-GB"/>
          <w14:ligatures w14:val="standardContextual"/>
        </w:rPr>
      </w:pPr>
      <w:hyperlink w:anchor="_Toc183593906" w:history="1">
        <w:r w:rsidR="00C67BBF" w:rsidRPr="00E52AB3">
          <w:rPr>
            <w:rStyle w:val="Hyperlink"/>
          </w:rPr>
          <w:t>3.3.</w:t>
        </w:r>
        <w:r w:rsidR="00C67BBF">
          <w:rPr>
            <w:rFonts w:eastAsiaTheme="minorEastAsia"/>
            <w:kern w:val="2"/>
            <w:lang w:eastAsia="en-GB"/>
            <w14:ligatures w14:val="standardContextual"/>
          </w:rPr>
          <w:tab/>
        </w:r>
        <w:r w:rsidR="00C67BBF" w:rsidRPr="00E52AB3">
          <w:rPr>
            <w:rStyle w:val="Hyperlink"/>
          </w:rPr>
          <w:t>Other costs</w:t>
        </w:r>
        <w:r w:rsidR="00C67BBF">
          <w:rPr>
            <w:webHidden/>
          </w:rPr>
          <w:tab/>
        </w:r>
        <w:r w:rsidR="00C67BBF">
          <w:rPr>
            <w:webHidden/>
          </w:rPr>
          <w:fldChar w:fldCharType="begin"/>
        </w:r>
        <w:r w:rsidR="00C67BBF">
          <w:rPr>
            <w:webHidden/>
          </w:rPr>
          <w:instrText xml:space="preserve"> PAGEREF _Toc183593906 \h </w:instrText>
        </w:r>
        <w:r w:rsidR="00C67BBF">
          <w:rPr>
            <w:webHidden/>
          </w:rPr>
        </w:r>
        <w:r w:rsidR="00C67BBF">
          <w:rPr>
            <w:webHidden/>
          </w:rPr>
          <w:fldChar w:fldCharType="separate"/>
        </w:r>
        <w:r w:rsidR="00EE67B2">
          <w:rPr>
            <w:webHidden/>
          </w:rPr>
          <w:t>12</w:t>
        </w:r>
        <w:r w:rsidR="00C67BBF">
          <w:rPr>
            <w:webHidden/>
          </w:rPr>
          <w:fldChar w:fldCharType="end"/>
        </w:r>
      </w:hyperlink>
    </w:p>
    <w:p w14:paraId="00FD8CF9" w14:textId="605A9259" w:rsidR="00C67BBF" w:rsidRDefault="004871B0">
      <w:pPr>
        <w:pStyle w:val="TOC2"/>
        <w:rPr>
          <w:rFonts w:eastAsiaTheme="minorEastAsia"/>
          <w:kern w:val="2"/>
          <w:lang w:eastAsia="en-GB"/>
          <w14:ligatures w14:val="standardContextual"/>
        </w:rPr>
      </w:pPr>
      <w:hyperlink w:anchor="_Toc183593907" w:history="1">
        <w:r w:rsidR="00C67BBF" w:rsidRPr="00E52AB3">
          <w:rPr>
            <w:rStyle w:val="Hyperlink"/>
          </w:rPr>
          <w:t>3.4.</w:t>
        </w:r>
        <w:r w:rsidR="00C67BBF">
          <w:rPr>
            <w:rFonts w:eastAsiaTheme="minorEastAsia"/>
            <w:kern w:val="2"/>
            <w:lang w:eastAsia="en-GB"/>
            <w14:ligatures w14:val="standardContextual"/>
          </w:rPr>
          <w:tab/>
        </w:r>
        <w:r w:rsidR="00C67BBF" w:rsidRPr="00E52AB3">
          <w:rPr>
            <w:rStyle w:val="Hyperlink"/>
          </w:rPr>
          <w:t>Cash balance</w:t>
        </w:r>
        <w:r w:rsidR="00C67BBF">
          <w:rPr>
            <w:webHidden/>
          </w:rPr>
          <w:tab/>
        </w:r>
        <w:r w:rsidR="00C67BBF">
          <w:rPr>
            <w:webHidden/>
          </w:rPr>
          <w:fldChar w:fldCharType="begin"/>
        </w:r>
        <w:r w:rsidR="00C67BBF">
          <w:rPr>
            <w:webHidden/>
          </w:rPr>
          <w:instrText xml:space="preserve"> PAGEREF _Toc183593907 \h </w:instrText>
        </w:r>
        <w:r w:rsidR="00C67BBF">
          <w:rPr>
            <w:webHidden/>
          </w:rPr>
        </w:r>
        <w:r w:rsidR="00C67BBF">
          <w:rPr>
            <w:webHidden/>
          </w:rPr>
          <w:fldChar w:fldCharType="separate"/>
        </w:r>
        <w:r w:rsidR="00EE67B2">
          <w:rPr>
            <w:webHidden/>
          </w:rPr>
          <w:t>12</w:t>
        </w:r>
        <w:r w:rsidR="00C67BBF">
          <w:rPr>
            <w:webHidden/>
          </w:rPr>
          <w:fldChar w:fldCharType="end"/>
        </w:r>
      </w:hyperlink>
    </w:p>
    <w:p w14:paraId="1A15D2F9" w14:textId="4EB960D0" w:rsidR="00C67BBF" w:rsidRDefault="004871B0">
      <w:pPr>
        <w:pStyle w:val="TOC1"/>
        <w:tabs>
          <w:tab w:val="left" w:pos="440"/>
          <w:tab w:val="right" w:leader="dot" w:pos="9628"/>
        </w:tabs>
        <w:rPr>
          <w:rFonts w:eastAsiaTheme="minorEastAsia"/>
          <w:b w:val="0"/>
          <w:noProof/>
          <w:color w:val="auto"/>
          <w:kern w:val="2"/>
          <w:sz w:val="22"/>
          <w:lang w:eastAsia="en-GB"/>
          <w14:ligatures w14:val="standardContextual"/>
        </w:rPr>
      </w:pPr>
      <w:hyperlink w:anchor="_Toc183593908" w:history="1">
        <w:r w:rsidR="00C67BBF" w:rsidRPr="00E52AB3">
          <w:rPr>
            <w:rStyle w:val="Hyperlink"/>
            <w:noProof/>
          </w:rPr>
          <w:t>4.</w:t>
        </w:r>
        <w:r w:rsidR="00C67BBF">
          <w:rPr>
            <w:rFonts w:eastAsiaTheme="minorEastAsia"/>
            <w:b w:val="0"/>
            <w:noProof/>
            <w:color w:val="auto"/>
            <w:kern w:val="2"/>
            <w:sz w:val="22"/>
            <w:lang w:eastAsia="en-GB"/>
            <w14:ligatures w14:val="standardContextual"/>
          </w:rPr>
          <w:tab/>
        </w:r>
        <w:r w:rsidR="00C67BBF" w:rsidRPr="00E52AB3">
          <w:rPr>
            <w:rStyle w:val="Hyperlink"/>
            <w:noProof/>
          </w:rPr>
          <w:t>The delivery of key outcomes for customers and the environment</w:t>
        </w:r>
        <w:r w:rsidR="00C67BBF">
          <w:rPr>
            <w:noProof/>
            <w:webHidden/>
          </w:rPr>
          <w:tab/>
        </w:r>
        <w:r w:rsidR="00C67BBF">
          <w:rPr>
            <w:noProof/>
            <w:webHidden/>
          </w:rPr>
          <w:fldChar w:fldCharType="begin"/>
        </w:r>
        <w:r w:rsidR="00C67BBF">
          <w:rPr>
            <w:noProof/>
            <w:webHidden/>
          </w:rPr>
          <w:instrText xml:space="preserve"> PAGEREF _Toc183593908 \h </w:instrText>
        </w:r>
        <w:r w:rsidR="00C67BBF">
          <w:rPr>
            <w:noProof/>
            <w:webHidden/>
          </w:rPr>
        </w:r>
        <w:r w:rsidR="00C67BBF">
          <w:rPr>
            <w:noProof/>
            <w:webHidden/>
          </w:rPr>
          <w:fldChar w:fldCharType="separate"/>
        </w:r>
        <w:r w:rsidR="00EE67B2">
          <w:rPr>
            <w:noProof/>
            <w:webHidden/>
          </w:rPr>
          <w:t>14</w:t>
        </w:r>
        <w:r w:rsidR="00C67BBF">
          <w:rPr>
            <w:noProof/>
            <w:webHidden/>
          </w:rPr>
          <w:fldChar w:fldCharType="end"/>
        </w:r>
      </w:hyperlink>
    </w:p>
    <w:p w14:paraId="524B5BDF" w14:textId="4EE84AB8" w:rsidR="00C67BBF" w:rsidRDefault="004871B0">
      <w:pPr>
        <w:pStyle w:val="TOC2"/>
        <w:rPr>
          <w:rFonts w:eastAsiaTheme="minorEastAsia"/>
          <w:kern w:val="2"/>
          <w:lang w:eastAsia="en-GB"/>
          <w14:ligatures w14:val="standardContextual"/>
        </w:rPr>
      </w:pPr>
      <w:hyperlink w:anchor="_Toc183593909" w:history="1">
        <w:r w:rsidR="00C67BBF" w:rsidRPr="00E52AB3">
          <w:rPr>
            <w:rStyle w:val="Hyperlink"/>
          </w:rPr>
          <w:t>4.1.</w:t>
        </w:r>
        <w:r w:rsidR="00C67BBF">
          <w:rPr>
            <w:rFonts w:eastAsiaTheme="minorEastAsia"/>
            <w:kern w:val="2"/>
            <w:lang w:eastAsia="en-GB"/>
            <w14:ligatures w14:val="standardContextual"/>
          </w:rPr>
          <w:tab/>
        </w:r>
        <w:r w:rsidR="00C67BBF" w:rsidRPr="00E52AB3">
          <w:rPr>
            <w:rStyle w:val="Hyperlink"/>
          </w:rPr>
          <w:t>Delivery of investment projects</w:t>
        </w:r>
        <w:r w:rsidR="00C67BBF">
          <w:rPr>
            <w:webHidden/>
          </w:rPr>
          <w:tab/>
        </w:r>
        <w:r w:rsidR="00C67BBF">
          <w:rPr>
            <w:webHidden/>
          </w:rPr>
          <w:fldChar w:fldCharType="begin"/>
        </w:r>
        <w:r w:rsidR="00C67BBF">
          <w:rPr>
            <w:webHidden/>
          </w:rPr>
          <w:instrText xml:space="preserve"> PAGEREF _Toc183593909 \h </w:instrText>
        </w:r>
        <w:r w:rsidR="00C67BBF">
          <w:rPr>
            <w:webHidden/>
          </w:rPr>
        </w:r>
        <w:r w:rsidR="00C67BBF">
          <w:rPr>
            <w:webHidden/>
          </w:rPr>
          <w:fldChar w:fldCharType="separate"/>
        </w:r>
        <w:r w:rsidR="00EE67B2">
          <w:rPr>
            <w:webHidden/>
          </w:rPr>
          <w:t>15</w:t>
        </w:r>
        <w:r w:rsidR="00C67BBF">
          <w:rPr>
            <w:webHidden/>
          </w:rPr>
          <w:fldChar w:fldCharType="end"/>
        </w:r>
      </w:hyperlink>
    </w:p>
    <w:p w14:paraId="30104EF2" w14:textId="211C0A2C" w:rsidR="00C67BBF" w:rsidRDefault="004871B0">
      <w:pPr>
        <w:pStyle w:val="TOC2"/>
        <w:rPr>
          <w:rFonts w:eastAsiaTheme="minorEastAsia"/>
          <w:kern w:val="2"/>
          <w:lang w:eastAsia="en-GB"/>
          <w14:ligatures w14:val="standardContextual"/>
        </w:rPr>
      </w:pPr>
      <w:hyperlink w:anchor="_Toc183593910" w:history="1">
        <w:r w:rsidR="00C67BBF" w:rsidRPr="00E52AB3">
          <w:rPr>
            <w:rStyle w:val="Hyperlink"/>
          </w:rPr>
          <w:t>4.2.</w:t>
        </w:r>
        <w:r w:rsidR="00C67BBF">
          <w:rPr>
            <w:rFonts w:eastAsiaTheme="minorEastAsia"/>
            <w:kern w:val="2"/>
            <w:lang w:eastAsia="en-GB"/>
            <w14:ligatures w14:val="standardContextual"/>
          </w:rPr>
          <w:tab/>
        </w:r>
        <w:r w:rsidR="00C67BBF" w:rsidRPr="00E52AB3">
          <w:rPr>
            <w:rStyle w:val="Hyperlink"/>
          </w:rPr>
          <w:t>Levels of service</w:t>
        </w:r>
        <w:r w:rsidR="00C67BBF">
          <w:rPr>
            <w:webHidden/>
          </w:rPr>
          <w:tab/>
        </w:r>
        <w:r w:rsidR="00C67BBF">
          <w:rPr>
            <w:webHidden/>
          </w:rPr>
          <w:fldChar w:fldCharType="begin"/>
        </w:r>
        <w:r w:rsidR="00C67BBF">
          <w:rPr>
            <w:webHidden/>
          </w:rPr>
          <w:instrText xml:space="preserve"> PAGEREF _Toc183593910 \h </w:instrText>
        </w:r>
        <w:r w:rsidR="00C67BBF">
          <w:rPr>
            <w:webHidden/>
          </w:rPr>
        </w:r>
        <w:r w:rsidR="00C67BBF">
          <w:rPr>
            <w:webHidden/>
          </w:rPr>
          <w:fldChar w:fldCharType="separate"/>
        </w:r>
        <w:r w:rsidR="00EE67B2">
          <w:rPr>
            <w:webHidden/>
          </w:rPr>
          <w:t>17</w:t>
        </w:r>
        <w:r w:rsidR="00C67BBF">
          <w:rPr>
            <w:webHidden/>
          </w:rPr>
          <w:fldChar w:fldCharType="end"/>
        </w:r>
      </w:hyperlink>
    </w:p>
    <w:p w14:paraId="7CB15C4C" w14:textId="78F5DF06" w:rsidR="00C67BBF" w:rsidRDefault="004871B0">
      <w:pPr>
        <w:pStyle w:val="TOC2"/>
        <w:rPr>
          <w:rFonts w:eastAsiaTheme="minorEastAsia"/>
          <w:kern w:val="2"/>
          <w:lang w:eastAsia="en-GB"/>
          <w14:ligatures w14:val="standardContextual"/>
        </w:rPr>
      </w:pPr>
      <w:hyperlink w:anchor="_Toc183593911" w:history="1">
        <w:r w:rsidR="00C67BBF" w:rsidRPr="00E52AB3">
          <w:rPr>
            <w:rStyle w:val="Hyperlink"/>
          </w:rPr>
          <w:t>4.3.</w:t>
        </w:r>
        <w:r w:rsidR="00C67BBF">
          <w:rPr>
            <w:rFonts w:eastAsiaTheme="minorEastAsia"/>
            <w:kern w:val="2"/>
            <w:lang w:eastAsia="en-GB"/>
            <w14:ligatures w14:val="standardContextual"/>
          </w:rPr>
          <w:tab/>
        </w:r>
        <w:r w:rsidR="00C67BBF" w:rsidRPr="00E52AB3">
          <w:rPr>
            <w:rStyle w:val="Hyperlink"/>
          </w:rPr>
          <w:t>Progress to net zero</w:t>
        </w:r>
        <w:r w:rsidR="00C67BBF">
          <w:rPr>
            <w:webHidden/>
          </w:rPr>
          <w:tab/>
        </w:r>
        <w:r w:rsidR="00C67BBF">
          <w:rPr>
            <w:webHidden/>
          </w:rPr>
          <w:fldChar w:fldCharType="begin"/>
        </w:r>
        <w:r w:rsidR="00C67BBF">
          <w:rPr>
            <w:webHidden/>
          </w:rPr>
          <w:instrText xml:space="preserve"> PAGEREF _Toc183593911 \h </w:instrText>
        </w:r>
        <w:r w:rsidR="00C67BBF">
          <w:rPr>
            <w:webHidden/>
          </w:rPr>
        </w:r>
        <w:r w:rsidR="00C67BBF">
          <w:rPr>
            <w:webHidden/>
          </w:rPr>
          <w:fldChar w:fldCharType="separate"/>
        </w:r>
        <w:r w:rsidR="00EE67B2">
          <w:rPr>
            <w:webHidden/>
          </w:rPr>
          <w:t>22</w:t>
        </w:r>
        <w:r w:rsidR="00C67BBF">
          <w:rPr>
            <w:webHidden/>
          </w:rPr>
          <w:fldChar w:fldCharType="end"/>
        </w:r>
      </w:hyperlink>
    </w:p>
    <w:p w14:paraId="3B2ECD44" w14:textId="5ECA489F" w:rsidR="00C67BBF" w:rsidRDefault="004871B0">
      <w:pPr>
        <w:pStyle w:val="TOC1"/>
        <w:tabs>
          <w:tab w:val="left" w:pos="440"/>
          <w:tab w:val="right" w:leader="dot" w:pos="9628"/>
        </w:tabs>
        <w:rPr>
          <w:rFonts w:eastAsiaTheme="minorEastAsia"/>
          <w:b w:val="0"/>
          <w:noProof/>
          <w:color w:val="auto"/>
          <w:kern w:val="2"/>
          <w:sz w:val="22"/>
          <w:lang w:eastAsia="en-GB"/>
          <w14:ligatures w14:val="standardContextual"/>
        </w:rPr>
      </w:pPr>
      <w:hyperlink w:anchor="_Toc183593912" w:history="1">
        <w:r w:rsidR="00C67BBF" w:rsidRPr="00E52AB3">
          <w:rPr>
            <w:rStyle w:val="Hyperlink"/>
            <w:noProof/>
          </w:rPr>
          <w:t>5.</w:t>
        </w:r>
        <w:r w:rsidR="00C67BBF">
          <w:rPr>
            <w:rFonts w:eastAsiaTheme="minorEastAsia"/>
            <w:b w:val="0"/>
            <w:noProof/>
            <w:color w:val="auto"/>
            <w:kern w:val="2"/>
            <w:sz w:val="22"/>
            <w:lang w:eastAsia="en-GB"/>
            <w14:ligatures w14:val="standardContextual"/>
          </w:rPr>
          <w:tab/>
        </w:r>
        <w:r w:rsidR="00C67BBF" w:rsidRPr="00E52AB3">
          <w:rPr>
            <w:rStyle w:val="Hyperlink"/>
            <w:noProof/>
          </w:rPr>
          <w:t>Conclusion</w:t>
        </w:r>
        <w:r w:rsidR="00C67BBF">
          <w:rPr>
            <w:noProof/>
            <w:webHidden/>
          </w:rPr>
          <w:tab/>
        </w:r>
        <w:r w:rsidR="00C67BBF">
          <w:rPr>
            <w:noProof/>
            <w:webHidden/>
          </w:rPr>
          <w:fldChar w:fldCharType="begin"/>
        </w:r>
        <w:r w:rsidR="00C67BBF">
          <w:rPr>
            <w:noProof/>
            <w:webHidden/>
          </w:rPr>
          <w:instrText xml:space="preserve"> PAGEREF _Toc183593912 \h </w:instrText>
        </w:r>
        <w:r w:rsidR="00C67BBF">
          <w:rPr>
            <w:noProof/>
            <w:webHidden/>
          </w:rPr>
        </w:r>
        <w:r w:rsidR="00C67BBF">
          <w:rPr>
            <w:noProof/>
            <w:webHidden/>
          </w:rPr>
          <w:fldChar w:fldCharType="separate"/>
        </w:r>
        <w:r w:rsidR="00EE67B2">
          <w:rPr>
            <w:noProof/>
            <w:webHidden/>
          </w:rPr>
          <w:t>23</w:t>
        </w:r>
        <w:r w:rsidR="00C67BBF">
          <w:rPr>
            <w:noProof/>
            <w:webHidden/>
          </w:rPr>
          <w:fldChar w:fldCharType="end"/>
        </w:r>
      </w:hyperlink>
    </w:p>
    <w:p w14:paraId="2A21DD98" w14:textId="0D8574B6" w:rsidR="00440697" w:rsidRDefault="00704700" w:rsidP="0059583E">
      <w:pPr>
        <w:jc w:val="both"/>
        <w:rPr>
          <w:b/>
          <w:caps/>
          <w:color w:val="064276" w:themeColor="accent1"/>
        </w:rPr>
      </w:pPr>
      <w:r>
        <w:rPr>
          <w:b/>
          <w:color w:val="497A9C" w:themeColor="background2"/>
          <w:sz w:val="20"/>
        </w:rPr>
        <w:fldChar w:fldCharType="end"/>
      </w:r>
      <w:r w:rsidR="00440697">
        <w:br w:type="page"/>
      </w:r>
    </w:p>
    <w:p w14:paraId="2944AE7C" w14:textId="77777777" w:rsidR="009E5A35" w:rsidRDefault="009E5A35" w:rsidP="0059583E">
      <w:pPr>
        <w:pStyle w:val="Heading10"/>
        <w:jc w:val="both"/>
      </w:pPr>
      <w:bookmarkStart w:id="0" w:name="_Toc183593897"/>
      <w:r>
        <w:lastRenderedPageBreak/>
        <w:t>About this document</w:t>
      </w:r>
      <w:bookmarkEnd w:id="0"/>
    </w:p>
    <w:p w14:paraId="4AE694DA" w14:textId="77777777" w:rsidR="009E5A35" w:rsidRPr="009E5A35" w:rsidRDefault="009E5A35" w:rsidP="0059583E">
      <w:pPr>
        <w:pStyle w:val="Summaryparagraphtextbold"/>
        <w:jc w:val="both"/>
      </w:pPr>
      <w:r w:rsidRPr="009E5A35">
        <w:t>This report sets out WICS’ assessment of Scottish Water’s performance in the financial year 202</w:t>
      </w:r>
      <w:r>
        <w:t>3</w:t>
      </w:r>
      <w:r w:rsidRPr="009E5A35">
        <w:t>-2</w:t>
      </w:r>
      <w:r>
        <w:t>4</w:t>
      </w:r>
      <w:r w:rsidRPr="009E5A35">
        <w:t xml:space="preserve">, the </w:t>
      </w:r>
      <w:r>
        <w:t>third</w:t>
      </w:r>
      <w:r w:rsidRPr="009E5A35">
        <w:t xml:space="preserve"> year of the 2021-27 regulatory control period.</w:t>
      </w:r>
    </w:p>
    <w:p w14:paraId="0AE945D1" w14:textId="77777777" w:rsidR="009E5A35" w:rsidRPr="009E5A35" w:rsidRDefault="009E5A35" w:rsidP="0059583E">
      <w:pPr>
        <w:jc w:val="both"/>
      </w:pPr>
      <w:r w:rsidRPr="009E5A35">
        <w:t>The report covers six areas:</w:t>
      </w:r>
    </w:p>
    <w:p w14:paraId="32281581" w14:textId="77777777" w:rsidR="009E5A35" w:rsidRPr="009E5A35" w:rsidRDefault="009E5A35" w:rsidP="003A13A8">
      <w:pPr>
        <w:pStyle w:val="ListParagraph"/>
        <w:numPr>
          <w:ilvl w:val="0"/>
          <w:numId w:val="5"/>
        </w:numPr>
        <w:jc w:val="both"/>
      </w:pPr>
      <w:r w:rsidRPr="009E5A35">
        <w:t>WICS’ role in the Scottish water industry;</w:t>
      </w:r>
    </w:p>
    <w:p w14:paraId="46CDC0A4" w14:textId="77777777" w:rsidR="009E5A35" w:rsidRPr="009E5A35" w:rsidRDefault="009E5A35" w:rsidP="003A13A8">
      <w:pPr>
        <w:pStyle w:val="ListParagraph"/>
        <w:numPr>
          <w:ilvl w:val="0"/>
          <w:numId w:val="5"/>
        </w:numPr>
        <w:jc w:val="both"/>
      </w:pPr>
      <w:r w:rsidRPr="009E5A35">
        <w:t>how WICS performs this role;</w:t>
      </w:r>
    </w:p>
    <w:p w14:paraId="5E64380E" w14:textId="370F3805" w:rsidR="009E5A35" w:rsidRPr="009E5A35" w:rsidRDefault="009E5A35" w:rsidP="003A13A8">
      <w:pPr>
        <w:pStyle w:val="ListParagraph"/>
        <w:numPr>
          <w:ilvl w:val="0"/>
          <w:numId w:val="5"/>
        </w:numPr>
        <w:jc w:val="both"/>
      </w:pPr>
      <w:r w:rsidRPr="009E5A35">
        <w:t>Scottish Water’s funding in 202</w:t>
      </w:r>
      <w:r>
        <w:t>3</w:t>
      </w:r>
      <w:r w:rsidRPr="009E5A35">
        <w:t>-2</w:t>
      </w:r>
      <w:r>
        <w:t>4</w:t>
      </w:r>
      <w:r w:rsidRPr="009E5A35">
        <w:t>;</w:t>
      </w:r>
    </w:p>
    <w:p w14:paraId="45C7612E" w14:textId="267E2BEB" w:rsidR="009E5A35" w:rsidRPr="009E5A35" w:rsidRDefault="009E5A35" w:rsidP="003A13A8">
      <w:pPr>
        <w:pStyle w:val="ListParagraph"/>
        <w:numPr>
          <w:ilvl w:val="0"/>
          <w:numId w:val="5"/>
        </w:numPr>
        <w:jc w:val="both"/>
      </w:pPr>
      <w:r w:rsidRPr="009E5A35">
        <w:t>Scottish Water’s expenditure in 202</w:t>
      </w:r>
      <w:r>
        <w:t>3</w:t>
      </w:r>
      <w:r w:rsidRPr="009E5A35">
        <w:t>-2</w:t>
      </w:r>
      <w:r>
        <w:t>4</w:t>
      </w:r>
      <w:r w:rsidRPr="009E5A35">
        <w:t>;</w:t>
      </w:r>
    </w:p>
    <w:p w14:paraId="7B9B73DF" w14:textId="77777777" w:rsidR="009E5A35" w:rsidRDefault="009E5A35" w:rsidP="003A13A8">
      <w:pPr>
        <w:pStyle w:val="ListParagraph"/>
        <w:numPr>
          <w:ilvl w:val="0"/>
          <w:numId w:val="5"/>
        </w:numPr>
        <w:jc w:val="both"/>
      </w:pPr>
      <w:r w:rsidRPr="009E5A35">
        <w:t>what Scottish Water delivered for that expenditure in 202</w:t>
      </w:r>
      <w:r>
        <w:t>3</w:t>
      </w:r>
      <w:r w:rsidRPr="009E5A35">
        <w:t>-2</w:t>
      </w:r>
      <w:r>
        <w:t>4</w:t>
      </w:r>
      <w:r w:rsidRPr="009E5A35">
        <w:t xml:space="preserve"> in terms of levels of service to customers and outcomes for the environment; </w:t>
      </w:r>
    </w:p>
    <w:p w14:paraId="0CE7F15D" w14:textId="0F9356FC" w:rsidR="009E5A35" w:rsidRPr="009E5A35" w:rsidRDefault="009E5A35" w:rsidP="003A13A8">
      <w:pPr>
        <w:pStyle w:val="ListParagraph"/>
        <w:numPr>
          <w:ilvl w:val="0"/>
          <w:numId w:val="5"/>
        </w:numPr>
        <w:jc w:val="both"/>
      </w:pPr>
      <w:r>
        <w:t>progress towards net zero</w:t>
      </w:r>
      <w:r w:rsidR="00D73901">
        <w:t xml:space="preserve"> commitments</w:t>
      </w:r>
      <w:r>
        <w:t xml:space="preserve">; </w:t>
      </w:r>
      <w:r w:rsidRPr="009E5A35">
        <w:t>and</w:t>
      </w:r>
    </w:p>
    <w:p w14:paraId="3923337C" w14:textId="77777777" w:rsidR="009E5A35" w:rsidRPr="009E5A35" w:rsidRDefault="009E5A35" w:rsidP="003A13A8">
      <w:pPr>
        <w:pStyle w:val="ListParagraph"/>
        <w:numPr>
          <w:ilvl w:val="0"/>
          <w:numId w:val="5"/>
        </w:numPr>
        <w:jc w:val="both"/>
      </w:pPr>
      <w:r w:rsidRPr="009E5A35">
        <w:t>conclusions.</w:t>
      </w:r>
    </w:p>
    <w:p w14:paraId="167AE674" w14:textId="77777777" w:rsidR="009E5A35" w:rsidRPr="009E5A35" w:rsidRDefault="009E5A35" w:rsidP="0059583E">
      <w:pPr>
        <w:jc w:val="both"/>
      </w:pPr>
    </w:p>
    <w:p w14:paraId="03E7B1C8" w14:textId="77777777" w:rsidR="009E5A35" w:rsidRDefault="009E5A35" w:rsidP="0059583E">
      <w:pPr>
        <w:jc w:val="both"/>
      </w:pPr>
    </w:p>
    <w:p w14:paraId="6A9BFDA0" w14:textId="77777777" w:rsidR="009E5A35" w:rsidRDefault="009E5A35" w:rsidP="0059583E">
      <w:pPr>
        <w:spacing w:after="160" w:line="259" w:lineRule="auto"/>
        <w:jc w:val="both"/>
      </w:pPr>
      <w:r>
        <w:br w:type="page"/>
      </w:r>
    </w:p>
    <w:p w14:paraId="44A32268" w14:textId="525277BC" w:rsidR="009E5A35" w:rsidRDefault="009E5A35" w:rsidP="0059583E">
      <w:pPr>
        <w:pStyle w:val="Heading10"/>
        <w:jc w:val="both"/>
      </w:pPr>
      <w:bookmarkStart w:id="1" w:name="_Toc183593898"/>
      <w:r w:rsidRPr="009E5A35">
        <w:lastRenderedPageBreak/>
        <w:t>Executive Summary</w:t>
      </w:r>
      <w:bookmarkEnd w:id="1"/>
    </w:p>
    <w:p w14:paraId="416BD9A8" w14:textId="0A98A1FE" w:rsidR="009E5A35" w:rsidRDefault="00B9099A" w:rsidP="0059583E">
      <w:pPr>
        <w:jc w:val="both"/>
      </w:pPr>
      <w:r w:rsidRPr="00B9099A">
        <w:t xml:space="preserve">The Water Industry Commission for Scotland (WICS) is the economic regulator of the Scottish water industry. Each year, </w:t>
      </w:r>
      <w:r w:rsidR="00ED5D34">
        <w:t>we</w:t>
      </w:r>
      <w:r w:rsidRPr="00B9099A">
        <w:t xml:space="preserve"> publish an assessment of Scottish Water’s overall performance against the forecasts made </w:t>
      </w:r>
      <w:r w:rsidR="0040637D">
        <w:t xml:space="preserve">during our </w:t>
      </w:r>
      <w:r w:rsidR="0040637D" w:rsidRPr="00B9099A">
        <w:t xml:space="preserve">Final Determination </w:t>
      </w:r>
      <w:r w:rsidR="00304A27">
        <w:t>of Charges</w:t>
      </w:r>
      <w:r w:rsidRPr="00B9099A">
        <w:t xml:space="preserve"> </w:t>
      </w:r>
      <w:r w:rsidR="0040637D">
        <w:t xml:space="preserve">for the period </w:t>
      </w:r>
      <w:r w:rsidRPr="00B9099A">
        <w:t xml:space="preserve">2021-22 to 2026-27 and against performance in previous years. This report </w:t>
      </w:r>
      <w:r w:rsidR="001C05DA">
        <w:t>assesses</w:t>
      </w:r>
      <w:r w:rsidRPr="00B9099A">
        <w:t xml:space="preserve"> Scottish Water’s performance in </w:t>
      </w:r>
      <w:r w:rsidR="00265570">
        <w:t>the </w:t>
      </w:r>
      <w:r w:rsidRPr="00B9099A">
        <w:t>financial year 202</w:t>
      </w:r>
      <w:r w:rsidR="0095335C">
        <w:t>3</w:t>
      </w:r>
      <w:r w:rsidRPr="00B9099A">
        <w:t>-2</w:t>
      </w:r>
      <w:r w:rsidR="0095335C">
        <w:t>4</w:t>
      </w:r>
      <w:r w:rsidRPr="00B9099A">
        <w:t xml:space="preserve">, the </w:t>
      </w:r>
      <w:r w:rsidR="0095335C">
        <w:t xml:space="preserve">third </w:t>
      </w:r>
      <w:r w:rsidRPr="00B9099A">
        <w:t>year of the regulatory control period.</w:t>
      </w:r>
    </w:p>
    <w:p w14:paraId="6189CEC2" w14:textId="77777777" w:rsidR="009E5A35" w:rsidRDefault="009E5A35" w:rsidP="0059583E">
      <w:pPr>
        <w:jc w:val="both"/>
      </w:pPr>
    </w:p>
    <w:p w14:paraId="5676BF8B" w14:textId="21A02030" w:rsidR="003F1449" w:rsidRDefault="003F1449" w:rsidP="001C461A">
      <w:pPr>
        <w:jc w:val="both"/>
      </w:pPr>
      <w:r>
        <w:t xml:space="preserve">For this performance report, </w:t>
      </w:r>
      <w:r w:rsidR="00ED5D34">
        <w:t xml:space="preserve">we </w:t>
      </w:r>
      <w:r>
        <w:t>compare Scottish Water’s reported performance in 2023-24 against:</w:t>
      </w:r>
    </w:p>
    <w:p w14:paraId="249F117D" w14:textId="3E86DC60" w:rsidR="003F1449" w:rsidRDefault="003F1449" w:rsidP="003A13A8">
      <w:pPr>
        <w:pStyle w:val="ListParagraph"/>
        <w:numPr>
          <w:ilvl w:val="0"/>
          <w:numId w:val="10"/>
        </w:numPr>
        <w:jc w:val="both"/>
      </w:pPr>
      <w:r>
        <w:t>the allowed</w:t>
      </w:r>
      <w:r w:rsidR="001C05DA">
        <w:t>-</w:t>
      </w:r>
      <w:r>
        <w:t>for expenditure from the Final Determination;</w:t>
      </w:r>
    </w:p>
    <w:p w14:paraId="0CB0F9E2" w14:textId="282EB3DA" w:rsidR="004F7A1C" w:rsidRDefault="003F1449" w:rsidP="003A13A8">
      <w:pPr>
        <w:pStyle w:val="ListParagraph"/>
        <w:numPr>
          <w:ilvl w:val="0"/>
          <w:numId w:val="10"/>
        </w:numPr>
        <w:jc w:val="both"/>
      </w:pPr>
      <w:r>
        <w:t>Scottish Water’s measures of progress in delivering the investment programme, levels of service, water quality and environmental performance; and</w:t>
      </w:r>
    </w:p>
    <w:p w14:paraId="23FEBF64" w14:textId="40A81EC3" w:rsidR="003F1449" w:rsidRDefault="003F1449" w:rsidP="003A13A8">
      <w:pPr>
        <w:pStyle w:val="ListParagraph"/>
        <w:numPr>
          <w:ilvl w:val="0"/>
          <w:numId w:val="10"/>
        </w:numPr>
        <w:jc w:val="both"/>
      </w:pPr>
      <w:r>
        <w:t>Scottish Water’s past performance.</w:t>
      </w:r>
    </w:p>
    <w:p w14:paraId="5DA597E9" w14:textId="77777777" w:rsidR="003F1449" w:rsidRDefault="003F1449" w:rsidP="0059583E">
      <w:pPr>
        <w:jc w:val="both"/>
      </w:pPr>
    </w:p>
    <w:p w14:paraId="551941E5" w14:textId="70A4467C" w:rsidR="003A4ED6" w:rsidRDefault="003A4ED6" w:rsidP="0059583E">
      <w:pPr>
        <w:jc w:val="both"/>
      </w:pPr>
      <w:r w:rsidRPr="003A4ED6">
        <w:t xml:space="preserve">Overall, we welcome that Scottish Water is performing in line with the requirements of the Final Determination in 2023-24 while recognising there is likely to be £500m of less investment than was assumed when charge caps were set. </w:t>
      </w:r>
      <w:r w:rsidR="00027903">
        <w:t xml:space="preserve">We welcome that Scottish Water has improved its performance on investment delivery to </w:t>
      </w:r>
      <w:r w:rsidR="001C461A">
        <w:t>return within its</w:t>
      </w:r>
      <w:r w:rsidR="00027903">
        <w:t xml:space="preserve"> target range for performance. </w:t>
      </w:r>
      <w:r w:rsidR="002D0F2D">
        <w:t>However, w</w:t>
      </w:r>
      <w:r w:rsidRPr="003A4ED6">
        <w:t>e note some areas where Scottish Water is not meeting its own targets, including the delivery of a small number of projects due to be completed in previous regulatory periods, leakage and its new developer Customer Experience Measure. We will continue to monitor Scottish Water’s progress in these areas closely.</w:t>
      </w:r>
    </w:p>
    <w:p w14:paraId="7ECDC250" w14:textId="77777777" w:rsidR="009E5A35" w:rsidRDefault="009E5A35" w:rsidP="0059583E">
      <w:pPr>
        <w:jc w:val="both"/>
      </w:pPr>
    </w:p>
    <w:p w14:paraId="36A46F19" w14:textId="27DD06BE" w:rsidR="009E5A35" w:rsidRDefault="00694761" w:rsidP="0059583E">
      <w:pPr>
        <w:jc w:val="both"/>
      </w:pPr>
      <w:r w:rsidRPr="00694761">
        <w:t xml:space="preserve">The Final Determination set a charge cap of CPI plus 12.6% over the six-year regulatory period, which equates to a cap of CPI plus 2% on average in each year of the regulatory period. </w:t>
      </w:r>
      <w:r w:rsidR="00E2601A">
        <w:t>B</w:t>
      </w:r>
      <w:r w:rsidR="00402813">
        <w:t>y</w:t>
      </w:r>
      <w:r w:rsidR="00317BCB">
        <w:t xml:space="preserve"> the </w:t>
      </w:r>
      <w:r w:rsidR="00402813">
        <w:t>end of the</w:t>
      </w:r>
      <w:r w:rsidR="00317BCB">
        <w:t xml:space="preserve"> first three years of the regulatory period, </w:t>
      </w:r>
      <w:r w:rsidRPr="00694761">
        <w:t xml:space="preserve">Scottish Water </w:t>
      </w:r>
      <w:r w:rsidR="00527B00">
        <w:t xml:space="preserve">had </w:t>
      </w:r>
      <w:r w:rsidRPr="00694761">
        <w:t xml:space="preserve">raised charges by CPI minus </w:t>
      </w:r>
      <w:r w:rsidR="009C5C31">
        <w:t>4.4</w:t>
      </w:r>
      <w:r w:rsidR="007C4A84">
        <w:t>%</w:t>
      </w:r>
      <w:r w:rsidR="000D21FE" w:rsidRPr="000D21FE">
        <w:t xml:space="preserve">. </w:t>
      </w:r>
      <w:r w:rsidR="00B668D4">
        <w:t xml:space="preserve">This </w:t>
      </w:r>
      <w:r w:rsidR="00E00396">
        <w:t>is</w:t>
      </w:r>
      <w:r w:rsidR="00B668D4">
        <w:t xml:space="preserve"> </w:t>
      </w:r>
      <w:r w:rsidR="00EB22E2">
        <w:t>10</w:t>
      </w:r>
      <w:r w:rsidR="000D21FE" w:rsidRPr="000D21FE">
        <w:t>.</w:t>
      </w:r>
      <w:r w:rsidR="00EB22E2">
        <w:t>5</w:t>
      </w:r>
      <w:r w:rsidR="000D21FE" w:rsidRPr="000D21FE">
        <w:t xml:space="preserve">% </w:t>
      </w:r>
      <w:r w:rsidR="00F172DE">
        <w:t xml:space="preserve">below the </w:t>
      </w:r>
      <w:r w:rsidR="000D21FE" w:rsidRPr="000D21FE">
        <w:t xml:space="preserve">assumed </w:t>
      </w:r>
      <w:r w:rsidR="00527B00">
        <w:t>position from</w:t>
      </w:r>
      <w:r w:rsidR="000D21FE" w:rsidRPr="000D21FE">
        <w:t xml:space="preserve"> the Final Determination</w:t>
      </w:r>
      <w:r w:rsidR="00527B00">
        <w:t>,</w:t>
      </w:r>
      <w:r w:rsidR="00E00396">
        <w:t xml:space="preserve"> largely </w:t>
      </w:r>
      <w:r w:rsidR="008122D9">
        <w:t xml:space="preserve">because </w:t>
      </w:r>
      <w:r w:rsidR="00E00396">
        <w:t>Scottish Water</w:t>
      </w:r>
      <w:r w:rsidR="00E00396" w:rsidRPr="00694761">
        <w:t xml:space="preserve"> </w:t>
      </w:r>
      <w:r w:rsidR="008122D9">
        <w:t>responded</w:t>
      </w:r>
      <w:r w:rsidR="00E00396" w:rsidRPr="00694761">
        <w:t xml:space="preserve"> to the cost-of-living crisis</w:t>
      </w:r>
      <w:r w:rsidR="00E00396">
        <w:t xml:space="preserve"> during </w:t>
      </w:r>
      <w:r w:rsidR="009F5E6E">
        <w:t>2021 and 2022</w:t>
      </w:r>
      <w:r w:rsidR="000D21FE" w:rsidRPr="000D21FE">
        <w:t>.</w:t>
      </w:r>
      <w:r w:rsidR="000D21FE">
        <w:t xml:space="preserve"> </w:t>
      </w:r>
      <w:r w:rsidR="00D31E6C">
        <w:t xml:space="preserve">As a result </w:t>
      </w:r>
      <w:r w:rsidRPr="00694761" w:rsidDel="000D21FE">
        <w:t xml:space="preserve">of the </w:t>
      </w:r>
      <w:r w:rsidR="00D31E6C">
        <w:t>profiling of charges</w:t>
      </w:r>
      <w:r w:rsidR="008859C8">
        <w:t>, w</w:t>
      </w:r>
      <w:r w:rsidR="008859C8" w:rsidRPr="00694761">
        <w:t xml:space="preserve">e expect Scottish Water to have £500m </w:t>
      </w:r>
      <w:r w:rsidR="008859C8">
        <w:t>of lower</w:t>
      </w:r>
      <w:r w:rsidRPr="00694761">
        <w:t xml:space="preserve"> funding available for investment than was assumed in our Final Determination</w:t>
      </w:r>
      <w:r w:rsidR="008859C8">
        <w:t xml:space="preserve">. </w:t>
      </w:r>
    </w:p>
    <w:p w14:paraId="0262BA9D" w14:textId="77777777" w:rsidR="00183F19" w:rsidRDefault="00183F19" w:rsidP="0059583E">
      <w:pPr>
        <w:jc w:val="both"/>
      </w:pPr>
    </w:p>
    <w:p w14:paraId="7129970C" w14:textId="2613B525" w:rsidR="008B5E75" w:rsidRDefault="00183F19" w:rsidP="00C83F94">
      <w:pPr>
        <w:jc w:val="both"/>
        <w:rPr>
          <w:rFonts w:cstheme="minorHAnsi"/>
        </w:rPr>
      </w:pPr>
      <w:r>
        <w:rPr>
          <w:rFonts w:cstheme="minorHAnsi"/>
        </w:rPr>
        <w:t xml:space="preserve">Scottish Water </w:t>
      </w:r>
      <w:r w:rsidR="00585510">
        <w:rPr>
          <w:rFonts w:cstheme="minorHAnsi"/>
        </w:rPr>
        <w:t xml:space="preserve">incurred </w:t>
      </w:r>
      <w:r>
        <w:rPr>
          <w:rFonts w:cstheme="minorHAnsi"/>
        </w:rPr>
        <w:t>£975m</w:t>
      </w:r>
      <w:r w:rsidR="00427F82">
        <w:rPr>
          <w:rFonts w:cstheme="minorHAnsi"/>
        </w:rPr>
        <w:t xml:space="preserve"> (excluding completion investment)</w:t>
      </w:r>
      <w:r>
        <w:rPr>
          <w:rFonts w:cstheme="minorHAnsi"/>
        </w:rPr>
        <w:t xml:space="preserve"> on capital investment</w:t>
      </w:r>
      <w:r w:rsidR="004E10C4">
        <w:rPr>
          <w:rFonts w:cstheme="minorHAnsi"/>
        </w:rPr>
        <w:t xml:space="preserve"> in 2023-24</w:t>
      </w:r>
      <w:r>
        <w:rPr>
          <w:rFonts w:cstheme="minorHAnsi"/>
        </w:rPr>
        <w:t xml:space="preserve">, around £25m higher than </w:t>
      </w:r>
      <w:r w:rsidR="007E160B" w:rsidRPr="007E160B">
        <w:rPr>
          <w:rFonts w:cstheme="minorHAnsi"/>
        </w:rPr>
        <w:t>the amount assumed in the Final Determination. This means that Scottish Water </w:t>
      </w:r>
      <w:r w:rsidR="009A05BE">
        <w:rPr>
          <w:rFonts w:cstheme="minorHAnsi"/>
        </w:rPr>
        <w:t xml:space="preserve">has invested </w:t>
      </w:r>
      <w:r>
        <w:rPr>
          <w:rFonts w:cstheme="minorHAnsi"/>
        </w:rPr>
        <w:t xml:space="preserve">around £80m </w:t>
      </w:r>
      <w:r w:rsidRPr="0085370F">
        <w:rPr>
          <w:rFonts w:cstheme="minorHAnsi"/>
        </w:rPr>
        <w:t xml:space="preserve">less than </w:t>
      </w:r>
      <w:r w:rsidR="00DE5DD7">
        <w:rPr>
          <w:rFonts w:cstheme="minorHAnsi"/>
        </w:rPr>
        <w:t>forecast</w:t>
      </w:r>
      <w:r>
        <w:rPr>
          <w:rFonts w:cstheme="minorHAnsi"/>
        </w:rPr>
        <w:t xml:space="preserve"> </w:t>
      </w:r>
      <w:r w:rsidR="0008505C">
        <w:rPr>
          <w:rFonts w:cstheme="minorHAnsi"/>
        </w:rPr>
        <w:t>in</w:t>
      </w:r>
      <w:r>
        <w:rPr>
          <w:rFonts w:cstheme="minorHAnsi"/>
        </w:rPr>
        <w:t xml:space="preserve"> the </w:t>
      </w:r>
      <w:r w:rsidRPr="0085370F">
        <w:rPr>
          <w:rFonts w:cstheme="minorHAnsi"/>
        </w:rPr>
        <w:t xml:space="preserve">Final Determination </w:t>
      </w:r>
      <w:r>
        <w:rPr>
          <w:rFonts w:cstheme="minorHAnsi"/>
        </w:rPr>
        <w:t>during</w:t>
      </w:r>
      <w:r w:rsidRPr="0085370F">
        <w:rPr>
          <w:rFonts w:cstheme="minorHAnsi"/>
        </w:rPr>
        <w:t xml:space="preserve"> the first half of the </w:t>
      </w:r>
      <w:r>
        <w:rPr>
          <w:rFonts w:cstheme="minorHAnsi"/>
        </w:rPr>
        <w:t xml:space="preserve">regulatory </w:t>
      </w:r>
      <w:r w:rsidRPr="0085370F">
        <w:rPr>
          <w:rFonts w:cstheme="minorHAnsi"/>
        </w:rPr>
        <w:t>period (</w:t>
      </w:r>
      <w:r>
        <w:rPr>
          <w:rFonts w:cstheme="minorHAnsi"/>
        </w:rPr>
        <w:t>2021-22</w:t>
      </w:r>
      <w:r w:rsidRPr="0085370F">
        <w:rPr>
          <w:rFonts w:cstheme="minorHAnsi"/>
        </w:rPr>
        <w:t xml:space="preserve"> to 2023-24)</w:t>
      </w:r>
      <w:r>
        <w:rPr>
          <w:rFonts w:cstheme="minorHAnsi"/>
        </w:rPr>
        <w:t>.</w:t>
      </w:r>
      <w:r w:rsidR="00ED0D1D">
        <w:rPr>
          <w:rFonts w:cstheme="minorHAnsi"/>
        </w:rPr>
        <w:t xml:space="preserve"> </w:t>
      </w:r>
    </w:p>
    <w:p w14:paraId="2E75FC26" w14:textId="77777777" w:rsidR="00BD1C50" w:rsidRDefault="00BD1C50" w:rsidP="0059583E">
      <w:pPr>
        <w:jc w:val="both"/>
        <w:rPr>
          <w:rFonts w:cstheme="minorHAnsi"/>
        </w:rPr>
      </w:pPr>
    </w:p>
    <w:p w14:paraId="1B9528A1" w14:textId="2C25BEA0" w:rsidR="00BD1C50" w:rsidRDefault="00BD1C50" w:rsidP="003222ED">
      <w:pPr>
        <w:jc w:val="both"/>
      </w:pPr>
      <w:r>
        <w:t xml:space="preserve">In last year’s report, we noted that Scottish Water </w:t>
      </w:r>
      <w:r w:rsidR="00771D1B" w:rsidRPr="00771D1B">
        <w:t>was</w:t>
      </w:r>
      <w:r>
        <w:t xml:space="preserve"> around a month behind schedule in the measure </w:t>
      </w:r>
      <w:r w:rsidR="00771D1B" w:rsidRPr="00771D1B">
        <w:t xml:space="preserve">it uses to track </w:t>
      </w:r>
      <w:r w:rsidR="0008505C">
        <w:t>overall</w:t>
      </w:r>
      <w:r w:rsidR="0008505C" w:rsidRPr="00771D1B">
        <w:t xml:space="preserve"> </w:t>
      </w:r>
      <w:r w:rsidR="00771D1B" w:rsidRPr="00771D1B">
        <w:t xml:space="preserve">progress on </w:t>
      </w:r>
      <w:r>
        <w:t xml:space="preserve">investment delivery </w:t>
      </w:r>
      <w:r w:rsidR="00771D1B" w:rsidRPr="00771D1B">
        <w:t xml:space="preserve">and </w:t>
      </w:r>
      <w:r>
        <w:t xml:space="preserve">around six months </w:t>
      </w:r>
      <w:r w:rsidR="00771D1B" w:rsidRPr="00771D1B">
        <w:t>behind in </w:t>
      </w:r>
      <w:r>
        <w:t>completing projects that had started on</w:t>
      </w:r>
      <w:r w:rsidR="00771D1B" w:rsidRPr="00771D1B">
        <w:t>-site.</w:t>
      </w:r>
      <w:r>
        <w:t xml:space="preserve"> Scottish Water has made good progress in recovering </w:t>
      </w:r>
      <w:r>
        <w:lastRenderedPageBreak/>
        <w:t xml:space="preserve">its position and is now within </w:t>
      </w:r>
      <w:r w:rsidR="00771D1B" w:rsidRPr="00771D1B">
        <w:t>its target range (of +/</w:t>
      </w:r>
      <w:r w:rsidR="00771D1B">
        <w:t>-</w:t>
      </w:r>
      <w:r w:rsidR="00771D1B" w:rsidRPr="00771D1B">
        <w:t>3 months around its forecast) for completing projects that started on-site. </w:t>
      </w:r>
      <w:r w:rsidR="00F94A60">
        <w:rPr>
          <w:rFonts w:cstheme="minorHAnsi"/>
        </w:rPr>
        <w:t>It also remains within its target range at an aggregate level.</w:t>
      </w:r>
    </w:p>
    <w:p w14:paraId="4AFD074F" w14:textId="77777777" w:rsidR="004E10C4" w:rsidRDefault="004E10C4" w:rsidP="0059583E">
      <w:pPr>
        <w:spacing w:line="259" w:lineRule="auto"/>
        <w:jc w:val="both"/>
      </w:pPr>
    </w:p>
    <w:p w14:paraId="7E470798" w14:textId="55A05339" w:rsidR="00790EE2" w:rsidRDefault="00790EE2" w:rsidP="003222ED">
      <w:pPr>
        <w:jc w:val="both"/>
      </w:pPr>
      <w:r>
        <w:t xml:space="preserve">In last year’s report, we </w:t>
      </w:r>
      <w:r w:rsidR="00530D3F">
        <w:t>noted</w:t>
      </w:r>
      <w:r>
        <w:t xml:space="preserve"> that</w:t>
      </w:r>
      <w:r w:rsidR="00C57BB0">
        <w:t xml:space="preserve"> Scottish Water </w:t>
      </w:r>
      <w:r>
        <w:t>had not met its targets for delivering the investment projects carried forward from the previous regulatory control period covering 2015-21 (known as completion projects). We note that Scottish Water has delivered a further five projects in 2023-24</w:t>
      </w:r>
      <w:r w:rsidR="00C57BB0">
        <w:t xml:space="preserve">, </w:t>
      </w:r>
      <w:r w:rsidR="00705D03">
        <w:t xml:space="preserve">meaning that it has now delivered </w:t>
      </w:r>
      <w:r>
        <w:t xml:space="preserve">64 of </w:t>
      </w:r>
      <w:r w:rsidR="00705D03">
        <w:t xml:space="preserve">the </w:t>
      </w:r>
      <w:r>
        <w:t xml:space="preserve">86 </w:t>
      </w:r>
      <w:r w:rsidR="0017159E">
        <w:t xml:space="preserve">completion </w:t>
      </w:r>
      <w:r>
        <w:t>projects</w:t>
      </w:r>
      <w:r w:rsidR="0017159E">
        <w:t xml:space="preserve">. However, this remains </w:t>
      </w:r>
      <w:r w:rsidR="00673D99">
        <w:t xml:space="preserve">short of </w:t>
      </w:r>
      <w:r w:rsidR="0017159E">
        <w:t xml:space="preserve">the 84 </w:t>
      </w:r>
      <w:r w:rsidR="003E2822">
        <w:t>Scottish Water</w:t>
      </w:r>
      <w:r w:rsidR="00673D99">
        <w:t xml:space="preserve"> expected to deliver by March 2024.</w:t>
      </w:r>
      <w:r w:rsidR="00A6576D">
        <w:t xml:space="preserve"> </w:t>
      </w:r>
      <w:r w:rsidR="00673D99">
        <w:t xml:space="preserve">Through the Scottish Government Investment Group (SGIG), stakeholders continue to monitor </w:t>
      </w:r>
      <w:r w:rsidR="009D05F8">
        <w:t>Scottish Water’s progress in this area to ensure that customers get the benefits they have already paid for</w:t>
      </w:r>
      <w:r w:rsidR="001E1C18">
        <w:t>.</w:t>
      </w:r>
    </w:p>
    <w:p w14:paraId="5D44C256" w14:textId="77777777" w:rsidR="00790EE2" w:rsidRDefault="00790EE2" w:rsidP="003222ED">
      <w:pPr>
        <w:jc w:val="both"/>
      </w:pPr>
    </w:p>
    <w:p w14:paraId="175FB4CC" w14:textId="1BB11C11" w:rsidR="00D96AD8" w:rsidRDefault="004415C3" w:rsidP="003222ED">
      <w:pPr>
        <w:jc w:val="both"/>
      </w:pPr>
      <w:r w:rsidRPr="004415C3">
        <w:t xml:space="preserve">Scottish Water continues </w:t>
      </w:r>
      <w:r w:rsidR="00771D1B">
        <w:t>outperforming</w:t>
      </w:r>
      <w:r w:rsidRPr="004415C3">
        <w:t xml:space="preserve"> the allowance for operating expenditure and the charges for Private Finance Initiative contracts, with actual expenditure around 3% lower than the allowed-for expenditure. In 2023-24, the </w:t>
      </w:r>
      <w:r w:rsidR="00291317">
        <w:t>primary</w:t>
      </w:r>
      <w:r w:rsidRPr="004415C3">
        <w:t xml:space="preserve"> source of this outperformance relates to a one-off refund of around £25m. </w:t>
      </w:r>
      <w:r w:rsidR="00291317">
        <w:t>Without</w:t>
      </w:r>
      <w:r w:rsidRPr="004415C3">
        <w:t xml:space="preserve"> this one-off refund, Scottish Water’s expenditure would be broadly in line with the allowed-for expenditure.</w:t>
      </w:r>
    </w:p>
    <w:p w14:paraId="611524BE" w14:textId="77777777" w:rsidR="007D2100" w:rsidRDefault="007D2100" w:rsidP="003222ED">
      <w:pPr>
        <w:jc w:val="both"/>
      </w:pPr>
    </w:p>
    <w:p w14:paraId="6715FA76" w14:textId="53A43C1B" w:rsidR="007D2100" w:rsidRDefault="005A22AF" w:rsidP="003222ED">
      <w:pPr>
        <w:jc w:val="both"/>
      </w:pPr>
      <w:r>
        <w:fldChar w:fldCharType="begin"/>
      </w:r>
      <w:r>
        <w:instrText xml:space="preserve"> REF _Ref181805189 \h </w:instrText>
      </w:r>
      <w:r>
        <w:fldChar w:fldCharType="separate"/>
      </w:r>
      <w:r>
        <w:t xml:space="preserve">Figure </w:t>
      </w:r>
      <w:r>
        <w:rPr>
          <w:noProof/>
        </w:rPr>
        <w:t>1</w:t>
      </w:r>
      <w:r>
        <w:fldChar w:fldCharType="end"/>
      </w:r>
      <w:r>
        <w:t xml:space="preserve"> </w:t>
      </w:r>
      <w:r w:rsidR="007D2100">
        <w:t>shows</w:t>
      </w:r>
      <w:r w:rsidR="006B0D45">
        <w:t xml:space="preserve"> the </w:t>
      </w:r>
      <w:r w:rsidR="00EF4244">
        <w:t xml:space="preserve">Scottish Water’s </w:t>
      </w:r>
      <w:r w:rsidR="006B0D45">
        <w:t xml:space="preserve">expenditure </w:t>
      </w:r>
      <w:r w:rsidR="00EF4244">
        <w:t xml:space="preserve">in 2023-24 by category. </w:t>
      </w:r>
    </w:p>
    <w:p w14:paraId="6986ED96" w14:textId="77777777" w:rsidR="00EF4244" w:rsidRDefault="00EF4244" w:rsidP="003222ED">
      <w:pPr>
        <w:jc w:val="both"/>
      </w:pPr>
    </w:p>
    <w:p w14:paraId="772B585C" w14:textId="34BBB3D0" w:rsidR="00EF4244" w:rsidRPr="00FF23D9" w:rsidRDefault="00EF4244" w:rsidP="001D1FE2">
      <w:pPr>
        <w:pStyle w:val="Caption"/>
        <w:keepNext/>
        <w:jc w:val="both"/>
        <w:rPr>
          <w:sz w:val="24"/>
          <w:szCs w:val="24"/>
        </w:rPr>
      </w:pPr>
      <w:bookmarkStart w:id="2" w:name="_Ref181805189"/>
      <w:r w:rsidRPr="00FF23D9">
        <w:rPr>
          <w:sz w:val="24"/>
          <w:szCs w:val="24"/>
        </w:rPr>
        <w:t xml:space="preserve">Figure </w:t>
      </w:r>
      <w:r w:rsidR="00840195" w:rsidRPr="00FF23D9">
        <w:rPr>
          <w:sz w:val="24"/>
          <w:szCs w:val="24"/>
        </w:rPr>
        <w:fldChar w:fldCharType="begin"/>
      </w:r>
      <w:r w:rsidR="00840195" w:rsidRPr="00FF23D9">
        <w:rPr>
          <w:sz w:val="24"/>
          <w:szCs w:val="24"/>
        </w:rPr>
        <w:instrText xml:space="preserve"> SEQ Figure \* ARABIC </w:instrText>
      </w:r>
      <w:r w:rsidR="00840195" w:rsidRPr="00FF23D9">
        <w:rPr>
          <w:sz w:val="24"/>
          <w:szCs w:val="24"/>
        </w:rPr>
        <w:fldChar w:fldCharType="separate"/>
      </w:r>
      <w:r w:rsidR="005A22AF" w:rsidRPr="00FF23D9">
        <w:rPr>
          <w:noProof/>
          <w:sz w:val="24"/>
          <w:szCs w:val="24"/>
        </w:rPr>
        <w:t>1</w:t>
      </w:r>
      <w:r w:rsidR="00840195" w:rsidRPr="00FF23D9">
        <w:rPr>
          <w:noProof/>
          <w:sz w:val="24"/>
          <w:szCs w:val="24"/>
        </w:rPr>
        <w:fldChar w:fldCharType="end"/>
      </w:r>
      <w:bookmarkEnd w:id="2"/>
      <w:r w:rsidRPr="00FF23D9">
        <w:rPr>
          <w:sz w:val="24"/>
          <w:szCs w:val="24"/>
        </w:rPr>
        <w:t>: Scottish Water's expenditure in 2023-24</w:t>
      </w:r>
    </w:p>
    <w:p w14:paraId="59D7A5FA" w14:textId="56183F58" w:rsidR="00427E7C" w:rsidRDefault="00E3085F" w:rsidP="003222ED">
      <w:pPr>
        <w:jc w:val="both"/>
      </w:pPr>
      <w:r>
        <w:rPr>
          <w:noProof/>
        </w:rPr>
        <w:drawing>
          <wp:inline distT="0" distB="0" distL="0" distR="0" wp14:anchorId="021A2C0D" wp14:editId="3783CB3A">
            <wp:extent cx="6322060" cy="1475105"/>
            <wp:effectExtent l="0" t="0" r="2540" b="0"/>
            <wp:docPr id="405947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2060" cy="1475105"/>
                    </a:xfrm>
                    <a:prstGeom prst="rect">
                      <a:avLst/>
                    </a:prstGeom>
                    <a:noFill/>
                  </pic:spPr>
                </pic:pic>
              </a:graphicData>
            </a:graphic>
          </wp:inline>
        </w:drawing>
      </w:r>
    </w:p>
    <w:p w14:paraId="5CB8CC2D" w14:textId="52A3A927" w:rsidR="002B068E" w:rsidRDefault="00F37A15" w:rsidP="003222ED">
      <w:pPr>
        <w:jc w:val="both"/>
      </w:pPr>
      <w:r w:rsidRPr="00F37A15">
        <w:t xml:space="preserve">Scottish Water has broadly maintained its levels of service performance in 2023-24. This includes its household and non-household Customer Experience Measures and Outcome Performance Assessment, which covers areas of operational performance such as water interruptions, water pressure, and sewer flooding. Performance in each of these areas is within its target range. However, for the first time in seven years, Scottish Water’s leakage from its network increased, falling outside the upper end of its target range by </w:t>
      </w:r>
      <w:r w:rsidR="00E05E27">
        <w:t>around</w:t>
      </w:r>
      <w:r w:rsidRPr="00F37A15">
        <w:t xml:space="preserve"> 2%. </w:t>
      </w:r>
    </w:p>
    <w:p w14:paraId="60385201" w14:textId="77777777" w:rsidR="006217E9" w:rsidRDefault="006217E9" w:rsidP="0059583E">
      <w:pPr>
        <w:spacing w:line="259" w:lineRule="auto"/>
        <w:jc w:val="both"/>
      </w:pPr>
    </w:p>
    <w:p w14:paraId="5D46EB9F" w14:textId="7FEBB8B9" w:rsidR="009E5A35" w:rsidRDefault="009E5A35" w:rsidP="003A13A8">
      <w:pPr>
        <w:pStyle w:val="ListParagraph"/>
        <w:numPr>
          <w:ilvl w:val="0"/>
          <w:numId w:val="10"/>
        </w:numPr>
        <w:spacing w:line="259" w:lineRule="auto"/>
        <w:jc w:val="both"/>
      </w:pPr>
      <w:r>
        <w:br w:type="page"/>
      </w:r>
    </w:p>
    <w:p w14:paraId="2F32936C" w14:textId="77777777" w:rsidR="009E5A35" w:rsidRDefault="009E5A35" w:rsidP="001D1FE2">
      <w:pPr>
        <w:pStyle w:val="Heading1"/>
        <w:numPr>
          <w:ilvl w:val="0"/>
          <w:numId w:val="6"/>
        </w:numPr>
        <w:outlineLvl w:val="0"/>
      </w:pPr>
      <w:bookmarkStart w:id="3" w:name="_Ref179208147"/>
      <w:bookmarkStart w:id="4" w:name="_Toc183593899"/>
      <w:r w:rsidRPr="009E5A35">
        <w:lastRenderedPageBreak/>
        <w:t>Overview of WICS and the 2021-27 Strategic Review of Charges</w:t>
      </w:r>
      <w:bookmarkEnd w:id="3"/>
      <w:bookmarkEnd w:id="4"/>
    </w:p>
    <w:p w14:paraId="2DF46A16" w14:textId="77777777" w:rsidR="009E5A35" w:rsidRDefault="009E5A35" w:rsidP="0059583E">
      <w:pPr>
        <w:pStyle w:val="Heading2"/>
        <w:ind w:left="709" w:hanging="709"/>
        <w:jc w:val="both"/>
        <w:outlineLvl w:val="1"/>
      </w:pPr>
      <w:bookmarkStart w:id="5" w:name="_Toc183593900"/>
      <w:r w:rsidRPr="009E5A35">
        <w:t>WICS’ role in the Scottish water industry</w:t>
      </w:r>
      <w:bookmarkEnd w:id="5"/>
    </w:p>
    <w:p w14:paraId="4C66D6C8" w14:textId="144324C4" w:rsidR="00452A70" w:rsidRDefault="00452A70" w:rsidP="0059583E">
      <w:pPr>
        <w:jc w:val="both"/>
      </w:pPr>
      <w:bookmarkStart w:id="6" w:name="_Hlk159575164"/>
      <w:r w:rsidRPr="00E75FB7">
        <w:t xml:space="preserve">The Water Industry </w:t>
      </w:r>
      <w:bookmarkEnd w:id="6"/>
      <w:r w:rsidRPr="00E75FB7">
        <w:t xml:space="preserve">Commission for Scotland (WICS) is the economic regulator of Scottish Water. WICS is a non-departmental public body with an independent Board established through the Water Services </w:t>
      </w:r>
      <w:r w:rsidR="00201A49">
        <w:t>Etc</w:t>
      </w:r>
      <w:r w:rsidRPr="00E75FB7">
        <w:t>. (Scotland) Act 2005.</w:t>
      </w:r>
      <w:r>
        <w:rPr>
          <w:rStyle w:val="FootnoteReference"/>
        </w:rPr>
        <w:footnoteReference w:id="2"/>
      </w:r>
      <w:r w:rsidRPr="00E75FB7">
        <w:t xml:space="preserve"> As set out in the Act, WICS has a statutory duty to promote </w:t>
      </w:r>
      <w:r w:rsidR="00F653A3">
        <w:t>customers’</w:t>
      </w:r>
      <w:r w:rsidRPr="00E75FB7">
        <w:t xml:space="preserve"> interests. Fulfilling these duties involves three main activities:</w:t>
      </w:r>
    </w:p>
    <w:p w14:paraId="69DACFAF" w14:textId="77777777" w:rsidR="00452A70" w:rsidRDefault="00452A70" w:rsidP="003A13A8">
      <w:pPr>
        <w:pStyle w:val="Bullet1"/>
        <w:numPr>
          <w:ilvl w:val="0"/>
          <w:numId w:val="7"/>
        </w:numPr>
        <w:jc w:val="both"/>
      </w:pPr>
      <w:r>
        <w:t>setting caps on charges for household customers and on wholesale charges for the retailers (known as licensed providers) that serve non-household customers through a process known as the Strategic Review of Charges;</w:t>
      </w:r>
    </w:p>
    <w:p w14:paraId="0A5E5182" w14:textId="77777777" w:rsidR="00452A70" w:rsidRDefault="00452A70" w:rsidP="003A13A8">
      <w:pPr>
        <w:pStyle w:val="Bullet1"/>
        <w:numPr>
          <w:ilvl w:val="0"/>
          <w:numId w:val="7"/>
        </w:numPr>
        <w:jc w:val="both"/>
      </w:pPr>
      <w:r>
        <w:t>monitoring Scottish Water’s performance against the forecasts made at the time of setting charge caps; and</w:t>
      </w:r>
    </w:p>
    <w:p w14:paraId="5F698F0A" w14:textId="77777777" w:rsidR="00452A70" w:rsidRDefault="00452A70" w:rsidP="003A13A8">
      <w:pPr>
        <w:pStyle w:val="Bullet1"/>
        <w:numPr>
          <w:ilvl w:val="0"/>
          <w:numId w:val="7"/>
        </w:numPr>
        <w:jc w:val="both"/>
      </w:pPr>
      <w:r>
        <w:t>overseeing the orderly functioning of the non-household retail market in Scotland.</w:t>
      </w:r>
    </w:p>
    <w:p w14:paraId="6FA14FEA" w14:textId="77777777" w:rsidR="00452A70" w:rsidRDefault="00452A70" w:rsidP="0059583E">
      <w:pPr>
        <w:pStyle w:val="Bullet1"/>
        <w:ind w:left="0" w:firstLine="0"/>
        <w:jc w:val="both"/>
      </w:pPr>
    </w:p>
    <w:p w14:paraId="7BBA41A0" w14:textId="7741D10B" w:rsidR="00452A70" w:rsidRDefault="00A261AA" w:rsidP="0059583E">
      <w:pPr>
        <w:jc w:val="both"/>
      </w:pPr>
      <w:r>
        <w:t>This performance report relates to the second main activity</w:t>
      </w:r>
      <w:r w:rsidR="00F83D08">
        <w:t xml:space="preserve"> above – monitoring Scottish Water’s performance. </w:t>
      </w:r>
    </w:p>
    <w:p w14:paraId="60869D0C" w14:textId="77777777" w:rsidR="009E5A35" w:rsidRDefault="009E5A35" w:rsidP="0059583E">
      <w:pPr>
        <w:jc w:val="both"/>
      </w:pPr>
    </w:p>
    <w:p w14:paraId="2743B160" w14:textId="77777777" w:rsidR="009E5A35" w:rsidRDefault="009E5A35" w:rsidP="0059583E">
      <w:pPr>
        <w:pStyle w:val="Heading2"/>
        <w:ind w:left="709" w:hanging="709"/>
        <w:jc w:val="both"/>
        <w:outlineLvl w:val="1"/>
      </w:pPr>
      <w:bookmarkStart w:id="7" w:name="_Toc183593901"/>
      <w:r w:rsidRPr="009E5A35">
        <w:t>How WICS performs its role</w:t>
      </w:r>
      <w:bookmarkEnd w:id="7"/>
    </w:p>
    <w:p w14:paraId="2CDD9BE2" w14:textId="452E6A7F" w:rsidR="008B2697" w:rsidRDefault="008B2697" w:rsidP="00945BA3">
      <w:pPr>
        <w:pStyle w:val="SMALLHEADINGALLCAPS"/>
        <w:spacing w:line="276" w:lineRule="auto"/>
        <w:jc w:val="both"/>
        <w:rPr>
          <w:b w:val="0"/>
          <w:caps w:val="0"/>
          <w:color w:val="auto"/>
        </w:rPr>
      </w:pPr>
      <w:r w:rsidRPr="00910797">
        <w:rPr>
          <w:b w:val="0"/>
          <w:caps w:val="0"/>
          <w:color w:val="auto"/>
        </w:rPr>
        <w:t>As explained above, WICS sets caps on charges for household customers and wholesale charges for licensed providers through a multi-stakeholder, transparent and consultative process known as the Strategic Review of Charges. The period covered by the Strategic Review of Charges is known as the regulatory control period, which is currently six years. The process ends with WICS confirming these charge caps in a Final Determination before the regulatory control period begins. For example, the Final Determination published in December 2020 set the charge caps to apply over the regulatory control period 2021-22 to 2026-27.</w:t>
      </w:r>
      <w:r>
        <w:rPr>
          <w:rStyle w:val="FootnoteReference"/>
          <w:b w:val="0"/>
          <w:caps w:val="0"/>
          <w:color w:val="auto"/>
        </w:rPr>
        <w:footnoteReference w:id="3"/>
      </w:r>
    </w:p>
    <w:p w14:paraId="4CB2073D" w14:textId="77777777" w:rsidR="008B2697" w:rsidRDefault="008B2697" w:rsidP="0059583E">
      <w:pPr>
        <w:pStyle w:val="SMALLHEADINGALLCAPS"/>
        <w:jc w:val="both"/>
        <w:rPr>
          <w:b w:val="0"/>
          <w:caps w:val="0"/>
          <w:color w:val="auto"/>
        </w:rPr>
      </w:pPr>
    </w:p>
    <w:p w14:paraId="64CC9CB4" w14:textId="5936A0C0" w:rsidR="008B2697" w:rsidRDefault="008B2697" w:rsidP="00CF74FE">
      <w:pPr>
        <w:pStyle w:val="SMALLHEADINGALLCAPS"/>
        <w:spacing w:line="276" w:lineRule="auto"/>
        <w:jc w:val="both"/>
        <w:rPr>
          <w:b w:val="0"/>
          <w:caps w:val="0"/>
          <w:color w:val="auto"/>
        </w:rPr>
      </w:pPr>
      <w:r w:rsidRPr="00C61591">
        <w:rPr>
          <w:b w:val="0"/>
          <w:caps w:val="0"/>
          <w:color w:val="auto"/>
        </w:rPr>
        <w:t>WICS sets charge caps based on its assessment of the lowest reasonable overall cost Scottish Water</w:t>
      </w:r>
      <w:r w:rsidR="00004744">
        <w:rPr>
          <w:b w:val="0"/>
          <w:caps w:val="0"/>
          <w:color w:val="auto"/>
        </w:rPr>
        <w:t xml:space="preserve"> incurs</w:t>
      </w:r>
      <w:r w:rsidRPr="00C61591">
        <w:rPr>
          <w:b w:val="0"/>
          <w:caps w:val="0"/>
          <w:color w:val="auto"/>
        </w:rPr>
        <w:t xml:space="preserve"> in delivering the investment priorities set by Scottish Ministers (known as the Ministerial Objectives).</w:t>
      </w:r>
      <w:r>
        <w:rPr>
          <w:rStyle w:val="FootnoteReference"/>
          <w:b w:val="0"/>
          <w:caps w:val="0"/>
          <w:color w:val="auto"/>
        </w:rPr>
        <w:footnoteReference w:id="4"/>
      </w:r>
      <w:r w:rsidRPr="00C61591">
        <w:rPr>
          <w:b w:val="0"/>
          <w:caps w:val="0"/>
          <w:color w:val="auto"/>
        </w:rPr>
        <w:t xml:space="preserve"> These charge caps must also be consistent with the Principles of Charging</w:t>
      </w:r>
      <w:r w:rsidR="0038219D" w:rsidRPr="0038219D">
        <w:rPr>
          <w:b w:val="0"/>
          <w:caps w:val="0"/>
          <w:color w:val="auto"/>
        </w:rPr>
        <w:t xml:space="preserve"> that Scottish </w:t>
      </w:r>
      <w:r w:rsidRPr="00C61591">
        <w:rPr>
          <w:b w:val="0"/>
          <w:caps w:val="0"/>
          <w:color w:val="auto"/>
        </w:rPr>
        <w:t>Ministers</w:t>
      </w:r>
      <w:r w:rsidR="00082EC9">
        <w:rPr>
          <w:b w:val="0"/>
          <w:caps w:val="0"/>
          <w:color w:val="auto"/>
        </w:rPr>
        <w:t xml:space="preserve"> set</w:t>
      </w:r>
      <w:r w:rsidRPr="00C61591">
        <w:rPr>
          <w:b w:val="0"/>
          <w:caps w:val="0"/>
          <w:color w:val="auto"/>
        </w:rPr>
        <w:t xml:space="preserve">. To set these charge caps, WICS forecasts the cash (from revenue and borrowing) that </w:t>
      </w:r>
      <w:r w:rsidRPr="00C61591">
        <w:rPr>
          <w:b w:val="0"/>
          <w:caps w:val="0"/>
          <w:color w:val="auto"/>
        </w:rPr>
        <w:lastRenderedPageBreak/>
        <w:t>Scottish Water requires to cover the efficient</w:t>
      </w:r>
      <w:r>
        <w:rPr>
          <w:rStyle w:val="FootnoteReference"/>
          <w:b w:val="0"/>
          <w:caps w:val="0"/>
          <w:color w:val="auto"/>
        </w:rPr>
        <w:footnoteReference w:id="5"/>
      </w:r>
      <w:r w:rsidRPr="00C61591">
        <w:rPr>
          <w:b w:val="0"/>
          <w:caps w:val="0"/>
          <w:color w:val="auto"/>
        </w:rPr>
        <w:t xml:space="preserve"> cost of Scottish Water providing water and wastewater services and delivering the investment priorities in Ministerial Objectives.</w:t>
      </w:r>
    </w:p>
    <w:p w14:paraId="18A494A9" w14:textId="77777777" w:rsidR="008B2697" w:rsidRDefault="008B2697" w:rsidP="0059583E">
      <w:pPr>
        <w:pStyle w:val="SMALLHEADINGALLCAPS"/>
        <w:jc w:val="both"/>
        <w:rPr>
          <w:b w:val="0"/>
          <w:caps w:val="0"/>
          <w:color w:val="auto"/>
        </w:rPr>
      </w:pPr>
    </w:p>
    <w:p w14:paraId="7CE7E71D" w14:textId="01826FDA" w:rsidR="008B2697" w:rsidRDefault="008B2697" w:rsidP="0059583E">
      <w:pPr>
        <w:pStyle w:val="SMALLHEADINGALLCAPS"/>
        <w:jc w:val="both"/>
      </w:pPr>
      <w:r w:rsidRPr="006B49E8">
        <w:rPr>
          <w:b w:val="0"/>
          <w:caps w:val="0"/>
          <w:color w:val="auto"/>
        </w:rPr>
        <w:t>These forecasts cover three broad categories:</w:t>
      </w:r>
    </w:p>
    <w:p w14:paraId="25AC69D2" w14:textId="77777777" w:rsidR="008B2697" w:rsidRDefault="008B2697" w:rsidP="003A13A8">
      <w:pPr>
        <w:pStyle w:val="Bullet1"/>
        <w:numPr>
          <w:ilvl w:val="0"/>
          <w:numId w:val="13"/>
        </w:numPr>
        <w:jc w:val="both"/>
      </w:pPr>
      <w:r w:rsidRPr="00C87DE6">
        <w:rPr>
          <w:b/>
          <w:bCs/>
        </w:rPr>
        <w:t>Sources of cash:</w:t>
      </w:r>
      <w:r>
        <w:t xml:space="preserve"> covering revenue and net new borrowing from the Scottish Government; </w:t>
      </w:r>
    </w:p>
    <w:p w14:paraId="62646644" w14:textId="77777777" w:rsidR="008B2697" w:rsidRDefault="008B2697" w:rsidP="003A13A8">
      <w:pPr>
        <w:pStyle w:val="Bullet1"/>
        <w:numPr>
          <w:ilvl w:val="0"/>
          <w:numId w:val="13"/>
        </w:numPr>
        <w:jc w:val="both"/>
      </w:pPr>
      <w:r w:rsidRPr="00C87DE6">
        <w:rPr>
          <w:b/>
          <w:bCs/>
        </w:rPr>
        <w:t>Uses of cash:</w:t>
      </w:r>
      <w:r>
        <w:t xml:space="preserve"> covering the efficient cost of running the business (see the section on the different categories of expenditure) and delivering the investment programme; and</w:t>
      </w:r>
    </w:p>
    <w:p w14:paraId="40B43BC2" w14:textId="619D843D" w:rsidR="008B2697" w:rsidRDefault="008B2697" w:rsidP="003A13A8">
      <w:pPr>
        <w:pStyle w:val="Bullet1"/>
        <w:numPr>
          <w:ilvl w:val="0"/>
          <w:numId w:val="13"/>
        </w:numPr>
        <w:jc w:val="both"/>
      </w:pPr>
      <w:r w:rsidRPr="00C87DE6">
        <w:rPr>
          <w:b/>
          <w:bCs/>
        </w:rPr>
        <w:t>Benefits delivered:</w:t>
      </w:r>
      <w:r>
        <w:t xml:space="preserve"> covering what customers receive in terms of levels of service performance and tangible deliverables from the investment programme (known as investment outputs or contributions to higher</w:t>
      </w:r>
      <w:r w:rsidR="00E30F80">
        <w:t>-</w:t>
      </w:r>
      <w:r>
        <w:t>level outcomes).</w:t>
      </w:r>
      <w:r>
        <w:rPr>
          <w:rStyle w:val="FootnoteReference"/>
        </w:rPr>
        <w:footnoteReference w:id="6"/>
      </w:r>
    </w:p>
    <w:p w14:paraId="5D656162" w14:textId="77777777" w:rsidR="008B2697" w:rsidRDefault="008B2697" w:rsidP="0059583E">
      <w:pPr>
        <w:pStyle w:val="Bullet1"/>
        <w:ind w:left="210" w:hanging="210"/>
        <w:jc w:val="both"/>
      </w:pPr>
    </w:p>
    <w:p w14:paraId="1555D9A0" w14:textId="695836CC" w:rsidR="008B2697" w:rsidRDefault="008B2697" w:rsidP="00CF74FE">
      <w:pPr>
        <w:pStyle w:val="SMALLHEADINGALLCAPS"/>
        <w:spacing w:line="276" w:lineRule="auto"/>
        <w:jc w:val="both"/>
        <w:rPr>
          <w:b w:val="0"/>
          <w:caps w:val="0"/>
          <w:color w:val="auto"/>
        </w:rPr>
      </w:pPr>
      <w:r w:rsidRPr="00EB142A">
        <w:rPr>
          <w:b w:val="0"/>
          <w:caps w:val="0"/>
          <w:color w:val="auto"/>
        </w:rPr>
        <w:t>Collectively, WICS refers to these forecasts as ‘the baseline’, which is usually provided before the regulatory control period begins</w:t>
      </w:r>
      <w:r w:rsidR="00F96DCF">
        <w:rPr>
          <w:b w:val="0"/>
          <w:caps w:val="0"/>
          <w:color w:val="auto"/>
        </w:rPr>
        <w:t>.</w:t>
      </w:r>
      <w:r>
        <w:rPr>
          <w:rStyle w:val="FootnoteReference"/>
          <w:b w:val="0"/>
          <w:caps w:val="0"/>
          <w:color w:val="auto"/>
        </w:rPr>
        <w:footnoteReference w:id="7"/>
      </w:r>
      <w:r w:rsidRPr="00EB142A">
        <w:rPr>
          <w:b w:val="0"/>
          <w:caps w:val="0"/>
          <w:color w:val="auto"/>
        </w:rPr>
        <w:t xml:space="preserve"> During the regulatory control period, WICS will compare Scottish Water’s reported performance against the forecast values in the baseline and seek to understand any differences. Such monitoring allows WICS to report on whether Scottish Water has delivered the required efficiencies and</w:t>
      </w:r>
      <w:r>
        <w:rPr>
          <w:b w:val="0"/>
          <w:caps w:val="0"/>
          <w:color w:val="auto"/>
        </w:rPr>
        <w:t xml:space="preserve"> the</w:t>
      </w:r>
      <w:r w:rsidRPr="00EB142A">
        <w:rPr>
          <w:b w:val="0"/>
          <w:caps w:val="0"/>
          <w:color w:val="auto"/>
        </w:rPr>
        <w:t xml:space="preserve"> investment programme and, ultimately, </w:t>
      </w:r>
      <w:r>
        <w:rPr>
          <w:b w:val="0"/>
          <w:caps w:val="0"/>
          <w:color w:val="auto"/>
        </w:rPr>
        <w:t xml:space="preserve">to </w:t>
      </w:r>
      <w:r w:rsidRPr="00EB142A">
        <w:rPr>
          <w:b w:val="0"/>
          <w:caps w:val="0"/>
          <w:color w:val="auto"/>
        </w:rPr>
        <w:t>hold Scottish Water to account for delivery.</w:t>
      </w:r>
    </w:p>
    <w:p w14:paraId="11D4A098" w14:textId="77777777" w:rsidR="008B2697" w:rsidRPr="00EB142A" w:rsidRDefault="008B2697" w:rsidP="0030368A">
      <w:pPr>
        <w:pStyle w:val="SMALLHEADINGALLCAPS"/>
        <w:spacing w:line="276" w:lineRule="auto"/>
        <w:jc w:val="both"/>
        <w:rPr>
          <w:b w:val="0"/>
          <w:caps w:val="0"/>
          <w:color w:val="auto"/>
        </w:rPr>
      </w:pPr>
    </w:p>
    <w:p w14:paraId="7367AC9A" w14:textId="21BCC808" w:rsidR="008B2697" w:rsidRDefault="00A63C47" w:rsidP="00A63C47">
      <w:pPr>
        <w:pStyle w:val="SMALLHEADINGALLCAPS"/>
        <w:spacing w:line="276" w:lineRule="auto"/>
        <w:jc w:val="both"/>
        <w:rPr>
          <w:b w:val="0"/>
          <w:caps w:val="0"/>
          <w:color w:val="auto"/>
        </w:rPr>
      </w:pPr>
      <w:r>
        <w:rPr>
          <w:b w:val="0"/>
          <w:caps w:val="0"/>
          <w:color w:val="auto"/>
        </w:rPr>
        <w:t>T</w:t>
      </w:r>
      <w:r w:rsidR="008B2697" w:rsidRPr="00931FEA">
        <w:rPr>
          <w:b w:val="0"/>
          <w:caps w:val="0"/>
          <w:color w:val="auto"/>
        </w:rPr>
        <w:t>he Strategic Review of Charges 2021 (SRC21) followed a different approach</w:t>
      </w:r>
      <w:r>
        <w:rPr>
          <w:b w:val="0"/>
          <w:caps w:val="0"/>
          <w:color w:val="auto"/>
        </w:rPr>
        <w:t xml:space="preserve"> to set the baseline for the investment programme</w:t>
      </w:r>
      <w:r w:rsidR="008B2697" w:rsidRPr="00931FEA">
        <w:rPr>
          <w:b w:val="0"/>
          <w:caps w:val="0"/>
          <w:color w:val="auto"/>
        </w:rPr>
        <w:t xml:space="preserve">. </w:t>
      </w:r>
      <w:r w:rsidR="008B2697" w:rsidRPr="003216CA">
        <w:rPr>
          <w:b w:val="0"/>
          <w:caps w:val="0"/>
          <w:color w:val="auto"/>
        </w:rPr>
        <w:t>The baseline for the investment programme was based on top-down allowances, with the expectation that further detail on the investment programme (e.g. on the tangible deliverables) would follow</w:t>
      </w:r>
      <w:r w:rsidR="00EC02F7">
        <w:rPr>
          <w:b w:val="0"/>
          <w:caps w:val="0"/>
          <w:color w:val="auto"/>
        </w:rPr>
        <w:t xml:space="preserve"> through the then </w:t>
      </w:r>
      <w:r w:rsidR="00414788" w:rsidRPr="00F066E3">
        <w:rPr>
          <w:b w:val="0"/>
          <w:caps w:val="0"/>
          <w:color w:val="auto"/>
        </w:rPr>
        <w:t>investment planning and prioritisation group (IPPG, which is now part of the Scottish Government Investment Group, SGIG) which would define the investment programme throughout the regulatory period</w:t>
      </w:r>
      <w:r w:rsidR="008B2697" w:rsidRPr="003216CA">
        <w:rPr>
          <w:b w:val="0"/>
          <w:caps w:val="0"/>
          <w:color w:val="auto"/>
        </w:rPr>
        <w:t xml:space="preserve">. This is discussed further </w:t>
      </w:r>
      <w:r w:rsidR="003216CA" w:rsidRPr="003216CA">
        <w:rPr>
          <w:b w:val="0"/>
          <w:caps w:val="0"/>
          <w:color w:val="auto"/>
        </w:rPr>
        <w:t xml:space="preserve">in Section </w:t>
      </w:r>
      <w:r w:rsidR="003216CA" w:rsidRPr="003216CA">
        <w:rPr>
          <w:b w:val="0"/>
          <w:caps w:val="0"/>
          <w:color w:val="auto"/>
        </w:rPr>
        <w:fldChar w:fldCharType="begin"/>
      </w:r>
      <w:r w:rsidR="003216CA" w:rsidRPr="003216CA">
        <w:rPr>
          <w:b w:val="0"/>
          <w:caps w:val="0"/>
          <w:color w:val="auto"/>
        </w:rPr>
        <w:instrText xml:space="preserve"> REF _Ref179207437 \r \h </w:instrText>
      </w:r>
      <w:r w:rsidR="003216CA">
        <w:rPr>
          <w:b w:val="0"/>
          <w:caps w:val="0"/>
          <w:color w:val="auto"/>
        </w:rPr>
        <w:instrText xml:space="preserve"> \* MERGEFORMAT </w:instrText>
      </w:r>
      <w:r w:rsidR="003216CA" w:rsidRPr="003216CA">
        <w:rPr>
          <w:b w:val="0"/>
          <w:caps w:val="0"/>
          <w:color w:val="auto"/>
        </w:rPr>
      </w:r>
      <w:r w:rsidR="003216CA" w:rsidRPr="003216CA">
        <w:rPr>
          <w:b w:val="0"/>
          <w:caps w:val="0"/>
          <w:color w:val="auto"/>
        </w:rPr>
        <w:fldChar w:fldCharType="separate"/>
      </w:r>
      <w:r w:rsidR="005A22AF">
        <w:rPr>
          <w:b w:val="0"/>
          <w:caps w:val="0"/>
          <w:color w:val="auto"/>
        </w:rPr>
        <w:t>4</w:t>
      </w:r>
      <w:r w:rsidR="003216CA" w:rsidRPr="003216CA">
        <w:rPr>
          <w:b w:val="0"/>
          <w:caps w:val="0"/>
          <w:color w:val="auto"/>
        </w:rPr>
        <w:fldChar w:fldCharType="end"/>
      </w:r>
      <w:r w:rsidR="008B2697" w:rsidRPr="003216CA">
        <w:rPr>
          <w:b w:val="0"/>
          <w:caps w:val="0"/>
          <w:color w:val="auto"/>
        </w:rPr>
        <w:t>.</w:t>
      </w:r>
    </w:p>
    <w:p w14:paraId="4DD70E8A" w14:textId="77777777" w:rsidR="00F700D6" w:rsidRDefault="00F700D6" w:rsidP="0059583E">
      <w:pPr>
        <w:pStyle w:val="SMALLHEADINGALLCAPS"/>
        <w:jc w:val="both"/>
        <w:rPr>
          <w:b w:val="0"/>
          <w:caps w:val="0"/>
          <w:color w:val="auto"/>
        </w:rPr>
      </w:pPr>
    </w:p>
    <w:p w14:paraId="272DC1EC" w14:textId="1D0DB383" w:rsidR="00B750AE" w:rsidRDefault="00AF428E" w:rsidP="00C0441E">
      <w:pPr>
        <w:pStyle w:val="SMALLHEADINGALLCAPS"/>
        <w:spacing w:line="276" w:lineRule="auto"/>
        <w:jc w:val="both"/>
        <w:rPr>
          <w:b w:val="0"/>
          <w:caps w:val="0"/>
          <w:color w:val="auto"/>
        </w:rPr>
      </w:pPr>
      <w:r>
        <w:rPr>
          <w:b w:val="0"/>
          <w:caps w:val="0"/>
          <w:color w:val="auto"/>
        </w:rPr>
        <w:t>In August, we published our draft</w:t>
      </w:r>
      <w:r w:rsidR="00FA77A0">
        <w:rPr>
          <w:b w:val="0"/>
          <w:caps w:val="0"/>
          <w:color w:val="auto"/>
        </w:rPr>
        <w:t xml:space="preserve"> </w:t>
      </w:r>
      <w:r w:rsidR="00F700D6">
        <w:rPr>
          <w:b w:val="0"/>
          <w:caps w:val="0"/>
          <w:color w:val="auto"/>
        </w:rPr>
        <w:t xml:space="preserve">methodology </w:t>
      </w:r>
      <w:r w:rsidR="00225526">
        <w:rPr>
          <w:b w:val="0"/>
          <w:caps w:val="0"/>
          <w:color w:val="auto"/>
        </w:rPr>
        <w:t xml:space="preserve">for the next Strategic Review of Charges 2027 (SRC27), covering </w:t>
      </w:r>
      <w:r w:rsidR="0030368A">
        <w:rPr>
          <w:b w:val="0"/>
          <w:caps w:val="0"/>
          <w:color w:val="auto"/>
        </w:rPr>
        <w:t>the six</w:t>
      </w:r>
      <w:r w:rsidR="00C0441E">
        <w:rPr>
          <w:b w:val="0"/>
          <w:caps w:val="0"/>
          <w:color w:val="auto"/>
        </w:rPr>
        <w:t xml:space="preserve"> </w:t>
      </w:r>
      <w:r w:rsidR="00225526">
        <w:rPr>
          <w:b w:val="0"/>
          <w:caps w:val="0"/>
          <w:color w:val="auto"/>
        </w:rPr>
        <w:t>years</w:t>
      </w:r>
      <w:r w:rsidR="00C0441E">
        <w:rPr>
          <w:b w:val="0"/>
          <w:caps w:val="0"/>
          <w:color w:val="auto"/>
        </w:rPr>
        <w:t xml:space="preserve"> from</w:t>
      </w:r>
      <w:r w:rsidR="00225526">
        <w:rPr>
          <w:b w:val="0"/>
          <w:caps w:val="0"/>
          <w:color w:val="auto"/>
        </w:rPr>
        <w:t xml:space="preserve"> 2027-28 to 20</w:t>
      </w:r>
      <w:r w:rsidR="00FA77A0">
        <w:rPr>
          <w:b w:val="0"/>
          <w:caps w:val="0"/>
          <w:color w:val="auto"/>
        </w:rPr>
        <w:t>32-33</w:t>
      </w:r>
      <w:r w:rsidR="00286AFE">
        <w:rPr>
          <w:b w:val="0"/>
          <w:caps w:val="0"/>
          <w:color w:val="auto"/>
        </w:rPr>
        <w:t>.</w:t>
      </w:r>
      <w:r w:rsidR="00E00B31">
        <w:rPr>
          <w:rStyle w:val="FootnoteReference"/>
          <w:b w:val="0"/>
          <w:caps w:val="0"/>
          <w:color w:val="auto"/>
        </w:rPr>
        <w:footnoteReference w:id="8"/>
      </w:r>
      <w:r w:rsidR="00286AFE">
        <w:rPr>
          <w:b w:val="0"/>
          <w:caps w:val="0"/>
          <w:color w:val="auto"/>
        </w:rPr>
        <w:t xml:space="preserve"> The draft methodology </w:t>
      </w:r>
      <w:r w:rsidR="002E3A92">
        <w:rPr>
          <w:b w:val="0"/>
          <w:caps w:val="0"/>
          <w:color w:val="auto"/>
        </w:rPr>
        <w:t xml:space="preserve">sets out the importance of Scottish Water </w:t>
      </w:r>
      <w:r w:rsidR="005E77BA">
        <w:rPr>
          <w:b w:val="0"/>
          <w:caps w:val="0"/>
          <w:color w:val="auto"/>
        </w:rPr>
        <w:t>submitting</w:t>
      </w:r>
      <w:r w:rsidR="002E3A92">
        <w:rPr>
          <w:b w:val="0"/>
          <w:caps w:val="0"/>
          <w:color w:val="auto"/>
        </w:rPr>
        <w:t xml:space="preserve"> </w:t>
      </w:r>
      <w:r w:rsidR="00385FF3">
        <w:rPr>
          <w:b w:val="0"/>
          <w:caps w:val="0"/>
          <w:color w:val="auto"/>
        </w:rPr>
        <w:t>a </w:t>
      </w:r>
      <w:r w:rsidR="002E3A92">
        <w:rPr>
          <w:b w:val="0"/>
          <w:caps w:val="0"/>
          <w:color w:val="auto"/>
        </w:rPr>
        <w:t xml:space="preserve">business plan </w:t>
      </w:r>
      <w:r w:rsidR="005E77BA">
        <w:rPr>
          <w:b w:val="0"/>
          <w:caps w:val="0"/>
          <w:color w:val="auto"/>
        </w:rPr>
        <w:t>that includes</w:t>
      </w:r>
      <w:r w:rsidR="002E3A92">
        <w:rPr>
          <w:b w:val="0"/>
          <w:caps w:val="0"/>
          <w:color w:val="auto"/>
        </w:rPr>
        <w:t xml:space="preserve"> a forward-looking plan for investment</w:t>
      </w:r>
      <w:r w:rsidR="00221E6D">
        <w:rPr>
          <w:b w:val="0"/>
          <w:caps w:val="0"/>
          <w:color w:val="auto"/>
        </w:rPr>
        <w:t xml:space="preserve"> as </w:t>
      </w:r>
      <w:r w:rsidR="00727473">
        <w:rPr>
          <w:b w:val="0"/>
          <w:caps w:val="0"/>
          <w:color w:val="auto"/>
        </w:rPr>
        <w:t>an initial investment baseline</w:t>
      </w:r>
      <w:r w:rsidR="002E3A92">
        <w:rPr>
          <w:b w:val="0"/>
          <w:caps w:val="0"/>
          <w:color w:val="auto"/>
        </w:rPr>
        <w:t xml:space="preserve">. </w:t>
      </w:r>
      <w:r w:rsidR="009C332D" w:rsidRPr="009C332D">
        <w:rPr>
          <w:b w:val="0"/>
          <w:caps w:val="0"/>
          <w:color w:val="auto"/>
        </w:rPr>
        <w:t xml:space="preserve">We recognise that the scope and cost of some investment projects may change as they progress through the investment planning process. </w:t>
      </w:r>
      <w:r w:rsidR="00B750AE">
        <w:rPr>
          <w:b w:val="0"/>
          <w:caps w:val="0"/>
          <w:color w:val="auto"/>
        </w:rPr>
        <w:t>However, we consider that the</w:t>
      </w:r>
      <w:r w:rsidR="00B750AE" w:rsidRPr="00B750AE">
        <w:rPr>
          <w:b w:val="0"/>
          <w:caps w:val="0"/>
          <w:color w:val="auto"/>
        </w:rPr>
        <w:t xml:space="preserve"> flexibility of the investment planning process places the onus on </w:t>
      </w:r>
      <w:r w:rsidR="00B750AE" w:rsidRPr="00B750AE">
        <w:rPr>
          <w:b w:val="0"/>
          <w:caps w:val="0"/>
          <w:color w:val="auto"/>
        </w:rPr>
        <w:lastRenderedPageBreak/>
        <w:t xml:space="preserve">Scottish Water to explain and document any changes to the investment baseline over the regulatory period to </w:t>
      </w:r>
      <w:r w:rsidR="00B750AE">
        <w:rPr>
          <w:b w:val="0"/>
          <w:caps w:val="0"/>
          <w:color w:val="auto"/>
        </w:rPr>
        <w:t>enable</w:t>
      </w:r>
      <w:r w:rsidR="00B750AE" w:rsidRPr="00B750AE">
        <w:rPr>
          <w:b w:val="0"/>
          <w:caps w:val="0"/>
          <w:color w:val="auto"/>
        </w:rPr>
        <w:t xml:space="preserve"> </w:t>
      </w:r>
      <w:r w:rsidR="00B750AE">
        <w:rPr>
          <w:b w:val="0"/>
          <w:caps w:val="0"/>
          <w:color w:val="auto"/>
        </w:rPr>
        <w:t xml:space="preserve">us and other </w:t>
      </w:r>
      <w:r w:rsidR="00B750AE" w:rsidRPr="00B750AE">
        <w:rPr>
          <w:b w:val="0"/>
          <w:caps w:val="0"/>
          <w:color w:val="auto"/>
        </w:rPr>
        <w:t xml:space="preserve">stakeholders to hold Scottish Water </w:t>
      </w:r>
      <w:r w:rsidR="00C14631">
        <w:rPr>
          <w:b w:val="0"/>
          <w:caps w:val="0"/>
          <w:color w:val="auto"/>
        </w:rPr>
        <w:t>accountable</w:t>
      </w:r>
      <w:r w:rsidR="00B750AE" w:rsidRPr="00B750AE">
        <w:rPr>
          <w:b w:val="0"/>
          <w:caps w:val="0"/>
          <w:color w:val="auto"/>
        </w:rPr>
        <w:t xml:space="preserve"> for delivery on behalf of customers.</w:t>
      </w:r>
    </w:p>
    <w:p w14:paraId="428FDB77" w14:textId="77777777" w:rsidR="00B750AE" w:rsidRDefault="00B750AE" w:rsidP="00C0441E">
      <w:pPr>
        <w:pStyle w:val="SMALLHEADINGALLCAPS"/>
        <w:spacing w:line="276" w:lineRule="auto"/>
        <w:jc w:val="both"/>
        <w:rPr>
          <w:b w:val="0"/>
          <w:caps w:val="0"/>
          <w:color w:val="auto"/>
        </w:rPr>
      </w:pPr>
    </w:p>
    <w:p w14:paraId="02BF6573" w14:textId="28486EA6" w:rsidR="00B750AE" w:rsidRDefault="00B750AE" w:rsidP="00C0441E">
      <w:pPr>
        <w:pStyle w:val="SMALLHEADINGALLCAPS"/>
        <w:spacing w:line="276" w:lineRule="auto"/>
        <w:jc w:val="both"/>
        <w:rPr>
          <w:b w:val="0"/>
          <w:caps w:val="0"/>
          <w:color w:val="auto"/>
        </w:rPr>
      </w:pPr>
      <w:r>
        <w:rPr>
          <w:b w:val="0"/>
          <w:caps w:val="0"/>
          <w:color w:val="auto"/>
        </w:rPr>
        <w:t>We wil</w:t>
      </w:r>
      <w:r w:rsidR="00286AFE">
        <w:rPr>
          <w:b w:val="0"/>
          <w:caps w:val="0"/>
          <w:color w:val="auto"/>
        </w:rPr>
        <w:t>l confirm our approach in the final methodology, which we will publish on 12 December 2024.</w:t>
      </w:r>
    </w:p>
    <w:p w14:paraId="6B3CE12A" w14:textId="77777777" w:rsidR="00FA77A0" w:rsidRDefault="00FA77A0" w:rsidP="0059583E">
      <w:pPr>
        <w:pStyle w:val="SMALLHEADINGALLCAPS"/>
        <w:jc w:val="both"/>
        <w:rPr>
          <w:b w:val="0"/>
          <w:caps w:val="0"/>
          <w:color w:val="auto"/>
        </w:rPr>
      </w:pPr>
    </w:p>
    <w:p w14:paraId="12C2F358" w14:textId="77777777" w:rsidR="009E5A35" w:rsidRDefault="009E5A35" w:rsidP="001D1FE2">
      <w:pPr>
        <w:pStyle w:val="Heading1"/>
        <w:numPr>
          <w:ilvl w:val="0"/>
          <w:numId w:val="6"/>
        </w:numPr>
        <w:outlineLvl w:val="0"/>
      </w:pPr>
      <w:bookmarkStart w:id="8" w:name="_Toc183593902"/>
      <w:r w:rsidRPr="009E5A35">
        <w:t>Scottish Water’s funding in 202</w:t>
      </w:r>
      <w:r>
        <w:t>3</w:t>
      </w:r>
      <w:r w:rsidRPr="009E5A35">
        <w:t>-2</w:t>
      </w:r>
      <w:r>
        <w:t>4</w:t>
      </w:r>
      <w:bookmarkEnd w:id="8"/>
    </w:p>
    <w:p w14:paraId="05CD099A" w14:textId="5379D584" w:rsidR="00C1794A" w:rsidRDefault="00C1794A" w:rsidP="0059583E">
      <w:pPr>
        <w:jc w:val="both"/>
      </w:pPr>
      <w:r>
        <w:t xml:space="preserve">Scottish Water increased the annual charge by 5% in nominal terms in 2023-24. This represents a reduction of 6.1% </w:t>
      </w:r>
      <w:r w:rsidR="00632303">
        <w:t xml:space="preserve">in real terms </w:t>
      </w:r>
      <w:r>
        <w:t xml:space="preserve">relative to the October rate </w:t>
      </w:r>
      <w:r w:rsidR="004603B1">
        <w:t>for</w:t>
      </w:r>
      <w:r>
        <w:t xml:space="preserve"> </w:t>
      </w:r>
      <w:r w:rsidR="003832F1">
        <w:t>the </w:t>
      </w:r>
      <w:r>
        <w:t xml:space="preserve">Consumer Price Index (CPI) </w:t>
      </w:r>
      <w:r w:rsidR="0097750D">
        <w:t>measure of inflation that is used for setting charges</w:t>
      </w:r>
      <w:r>
        <w:t xml:space="preserve">. The increase in Scottish Water’s charges by 8.8% (in nominal terms) in 2024-25 has brought charges broadly back into line with inflation for the SRC21 regulatory control period to date. </w:t>
      </w:r>
    </w:p>
    <w:p w14:paraId="25F60CA6" w14:textId="77777777" w:rsidR="00C1794A" w:rsidRDefault="00C1794A" w:rsidP="0059583E">
      <w:pPr>
        <w:jc w:val="both"/>
      </w:pPr>
    </w:p>
    <w:p w14:paraId="74A365CA" w14:textId="541C5B08" w:rsidR="00B25E4B" w:rsidRDefault="00CB60F9" w:rsidP="0059583E">
      <w:pPr>
        <w:jc w:val="both"/>
        <w:rPr>
          <w:szCs w:val="24"/>
        </w:rPr>
      </w:pPr>
      <w:r w:rsidRPr="00DC2771">
        <w:rPr>
          <w:szCs w:val="24"/>
        </w:rPr>
        <w:fldChar w:fldCharType="begin"/>
      </w:r>
      <w:r w:rsidRPr="00DC2771">
        <w:rPr>
          <w:szCs w:val="24"/>
        </w:rPr>
        <w:instrText xml:space="preserve"> REF _Ref178158865 \h </w:instrText>
      </w:r>
      <w:r w:rsidR="00DC2771">
        <w:rPr>
          <w:szCs w:val="24"/>
        </w:rPr>
        <w:instrText xml:space="preserve"> \* MERGEFORMAT </w:instrText>
      </w:r>
      <w:r w:rsidRPr="00DC2771">
        <w:rPr>
          <w:szCs w:val="24"/>
        </w:rPr>
      </w:r>
      <w:r w:rsidRPr="00DC2771">
        <w:rPr>
          <w:szCs w:val="24"/>
        </w:rPr>
        <w:fldChar w:fldCharType="separate"/>
      </w:r>
      <w:r w:rsidR="005A22AF" w:rsidRPr="001D1FE2">
        <w:rPr>
          <w:szCs w:val="24"/>
        </w:rPr>
        <w:t xml:space="preserve">Figure </w:t>
      </w:r>
      <w:r w:rsidR="005A22AF" w:rsidRPr="001D1FE2">
        <w:rPr>
          <w:noProof/>
          <w:szCs w:val="24"/>
        </w:rPr>
        <w:t>2</w:t>
      </w:r>
      <w:r w:rsidRPr="00DC2771">
        <w:rPr>
          <w:szCs w:val="24"/>
        </w:rPr>
        <w:fldChar w:fldCharType="end"/>
      </w:r>
      <w:r w:rsidRPr="00DC2771">
        <w:rPr>
          <w:szCs w:val="24"/>
        </w:rPr>
        <w:t xml:space="preserve"> </w:t>
      </w:r>
      <w:r w:rsidR="00C1794A">
        <w:t xml:space="preserve">shows the cumulative </w:t>
      </w:r>
      <w:r w:rsidR="00507F1A">
        <w:t xml:space="preserve">change in charges </w:t>
      </w:r>
      <w:r w:rsidR="00C1794A">
        <w:t xml:space="preserve">allowed for </w:t>
      </w:r>
      <w:r w:rsidR="00C1794A" w:rsidRPr="00DC2771">
        <w:rPr>
          <w:szCs w:val="24"/>
        </w:rPr>
        <w:t xml:space="preserve">in the Final Determination </w:t>
      </w:r>
      <w:r w:rsidR="00507F1A">
        <w:rPr>
          <w:szCs w:val="24"/>
        </w:rPr>
        <w:t>versus the</w:t>
      </w:r>
      <w:r w:rsidR="00507F1A" w:rsidRPr="00DC2771">
        <w:rPr>
          <w:szCs w:val="24"/>
        </w:rPr>
        <w:t xml:space="preserve"> </w:t>
      </w:r>
      <w:r w:rsidR="00C1794A" w:rsidRPr="00DC2771">
        <w:rPr>
          <w:szCs w:val="24"/>
        </w:rPr>
        <w:t>actual change in charges in real terms throughout SRC21.</w:t>
      </w:r>
    </w:p>
    <w:p w14:paraId="5D738632" w14:textId="77777777" w:rsidR="00B25E4B" w:rsidRDefault="00B25E4B" w:rsidP="0059583E">
      <w:pPr>
        <w:jc w:val="both"/>
        <w:rPr>
          <w:szCs w:val="24"/>
        </w:rPr>
      </w:pPr>
    </w:p>
    <w:p w14:paraId="0D0AE941" w14:textId="77777777" w:rsidR="00B25E4B" w:rsidRDefault="00B25E4B" w:rsidP="00B25E4B">
      <w:pPr>
        <w:pStyle w:val="Caption"/>
        <w:keepNext/>
        <w:rPr>
          <w:sz w:val="22"/>
          <w:szCs w:val="22"/>
        </w:rPr>
      </w:pPr>
      <w:r w:rsidRPr="00CB60F9">
        <w:rPr>
          <w:sz w:val="22"/>
          <w:szCs w:val="22"/>
        </w:rPr>
        <w:t xml:space="preserve">Figure </w:t>
      </w:r>
      <w:r w:rsidRPr="00CB60F9">
        <w:rPr>
          <w:sz w:val="22"/>
          <w:szCs w:val="22"/>
        </w:rPr>
        <w:fldChar w:fldCharType="begin"/>
      </w:r>
      <w:r w:rsidRPr="00CB60F9">
        <w:rPr>
          <w:sz w:val="22"/>
          <w:szCs w:val="22"/>
        </w:rPr>
        <w:instrText xml:space="preserve"> SEQ Figure \* ARABIC </w:instrText>
      </w:r>
      <w:r w:rsidRPr="00CB60F9">
        <w:rPr>
          <w:sz w:val="22"/>
          <w:szCs w:val="22"/>
        </w:rPr>
        <w:fldChar w:fldCharType="separate"/>
      </w:r>
      <w:r>
        <w:rPr>
          <w:noProof/>
          <w:sz w:val="22"/>
          <w:szCs w:val="22"/>
        </w:rPr>
        <w:t>2</w:t>
      </w:r>
      <w:r w:rsidRPr="00CB60F9">
        <w:rPr>
          <w:sz w:val="22"/>
          <w:szCs w:val="22"/>
        </w:rPr>
        <w:fldChar w:fldCharType="end"/>
      </w:r>
      <w:r w:rsidRPr="00CB60F9">
        <w:rPr>
          <w:sz w:val="22"/>
          <w:szCs w:val="22"/>
        </w:rPr>
        <w:t xml:space="preserve">: Cumulative real change </w:t>
      </w:r>
      <w:r>
        <w:rPr>
          <w:sz w:val="22"/>
          <w:szCs w:val="22"/>
        </w:rPr>
        <w:t>in charges in</w:t>
      </w:r>
      <w:r w:rsidRPr="00CB60F9">
        <w:rPr>
          <w:sz w:val="22"/>
          <w:szCs w:val="22"/>
        </w:rPr>
        <w:t xml:space="preserve"> SRC21</w:t>
      </w:r>
    </w:p>
    <w:p w14:paraId="0CAF49BD" w14:textId="3E7EC82F" w:rsidR="00E3085F" w:rsidRPr="007265BB" w:rsidRDefault="00E3085F" w:rsidP="007265BB">
      <w:r>
        <w:rPr>
          <w:noProof/>
        </w:rPr>
        <w:drawing>
          <wp:inline distT="0" distB="0" distL="0" distR="0" wp14:anchorId="208B41ED" wp14:editId="542C31C9">
            <wp:extent cx="6102350" cy="3017520"/>
            <wp:effectExtent l="0" t="0" r="0" b="0"/>
            <wp:docPr id="1018595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350" cy="3017520"/>
                    </a:xfrm>
                    <a:prstGeom prst="rect">
                      <a:avLst/>
                    </a:prstGeom>
                    <a:noFill/>
                  </pic:spPr>
                </pic:pic>
              </a:graphicData>
            </a:graphic>
          </wp:inline>
        </w:drawing>
      </w:r>
    </w:p>
    <w:p w14:paraId="26C0FB66" w14:textId="77777777" w:rsidR="00B25E4B" w:rsidRDefault="00B25E4B" w:rsidP="0059583E">
      <w:pPr>
        <w:jc w:val="both"/>
        <w:rPr>
          <w:szCs w:val="24"/>
        </w:rPr>
      </w:pPr>
    </w:p>
    <w:p w14:paraId="6B4FFC84" w14:textId="6CDAFF7B" w:rsidR="00C1794A" w:rsidRDefault="00CB60F9" w:rsidP="0059583E">
      <w:pPr>
        <w:jc w:val="both"/>
      </w:pPr>
      <w:r w:rsidRPr="00DC2771">
        <w:rPr>
          <w:szCs w:val="24"/>
        </w:rPr>
        <w:fldChar w:fldCharType="begin"/>
      </w:r>
      <w:r w:rsidRPr="00DC2771">
        <w:rPr>
          <w:szCs w:val="24"/>
        </w:rPr>
        <w:instrText xml:space="preserve"> REF _Ref178158875 \h </w:instrText>
      </w:r>
      <w:r w:rsidR="00DC2771">
        <w:rPr>
          <w:szCs w:val="24"/>
        </w:rPr>
        <w:instrText xml:space="preserve"> \* MERGEFORMAT </w:instrText>
      </w:r>
      <w:r w:rsidRPr="00DC2771">
        <w:rPr>
          <w:szCs w:val="24"/>
        </w:rPr>
      </w:r>
      <w:r w:rsidRPr="00DC2771">
        <w:rPr>
          <w:szCs w:val="24"/>
        </w:rPr>
        <w:fldChar w:fldCharType="separate"/>
      </w:r>
      <w:r w:rsidR="005A22AF" w:rsidRPr="001D1FE2">
        <w:rPr>
          <w:szCs w:val="24"/>
        </w:rPr>
        <w:t xml:space="preserve">Figure </w:t>
      </w:r>
      <w:r w:rsidR="005A22AF" w:rsidRPr="001D1FE2">
        <w:rPr>
          <w:noProof/>
          <w:szCs w:val="24"/>
        </w:rPr>
        <w:t>3</w:t>
      </w:r>
      <w:r w:rsidRPr="00DC2771">
        <w:rPr>
          <w:szCs w:val="24"/>
        </w:rPr>
        <w:fldChar w:fldCharType="end"/>
      </w:r>
      <w:r w:rsidR="00C1794A" w:rsidRPr="00DC2771">
        <w:rPr>
          <w:szCs w:val="24"/>
        </w:rPr>
        <w:t xml:space="preserve"> shows</w:t>
      </w:r>
      <w:r w:rsidR="00C1794A">
        <w:t xml:space="preserve"> the reduction in funding available for capital investment of around £500m </w:t>
      </w:r>
      <w:r w:rsidR="002D6EBC">
        <w:t>due to</w:t>
      </w:r>
      <w:r w:rsidR="00C1794A">
        <w:t xml:space="preserve"> charging decisions and </w:t>
      </w:r>
      <w:r w:rsidR="00802F8A">
        <w:t xml:space="preserve">differences </w:t>
      </w:r>
      <w:r w:rsidR="00A25DB0">
        <w:t>between</w:t>
      </w:r>
      <w:r w:rsidR="00802F8A">
        <w:t xml:space="preserve"> </w:t>
      </w:r>
      <w:r w:rsidR="00C1794A">
        <w:t xml:space="preserve">the inflation forecast </w:t>
      </w:r>
      <w:r w:rsidR="00A25DB0">
        <w:t>of</w:t>
      </w:r>
      <w:r w:rsidR="00C1794A">
        <w:t xml:space="preserve"> the Final Determination </w:t>
      </w:r>
      <w:r w:rsidR="00C36120">
        <w:t>and</w:t>
      </w:r>
      <w:r w:rsidR="00C1794A">
        <w:t xml:space="preserve"> actual inflation to date</w:t>
      </w:r>
      <w:r w:rsidR="00AC65AC">
        <w:t xml:space="preserve"> in this regulatory </w:t>
      </w:r>
      <w:r w:rsidR="001F6726">
        <w:t xml:space="preserve">control </w:t>
      </w:r>
      <w:r w:rsidR="00AC65AC">
        <w:t>period</w:t>
      </w:r>
      <w:r w:rsidR="00C1794A">
        <w:t xml:space="preserve">. </w:t>
      </w:r>
    </w:p>
    <w:p w14:paraId="2498CA52" w14:textId="77777777" w:rsidR="00C1794A" w:rsidRDefault="00C1794A" w:rsidP="0059583E">
      <w:pPr>
        <w:jc w:val="both"/>
      </w:pPr>
      <w:r>
        <w:t xml:space="preserve"> </w:t>
      </w:r>
    </w:p>
    <w:p w14:paraId="288661F7" w14:textId="1F63045B" w:rsidR="00FD34FE" w:rsidRPr="00CB60F9" w:rsidRDefault="00FD34FE" w:rsidP="001D1FE2">
      <w:pPr>
        <w:rPr>
          <w:sz w:val="32"/>
          <w:szCs w:val="28"/>
        </w:rPr>
      </w:pPr>
    </w:p>
    <w:p w14:paraId="4668FDA6" w14:textId="6463F487" w:rsidR="00FD34FE" w:rsidRPr="00FF23D9" w:rsidRDefault="00FD34FE" w:rsidP="004B2A88">
      <w:pPr>
        <w:pStyle w:val="Caption"/>
        <w:keepNext/>
        <w:keepLines/>
        <w:rPr>
          <w:sz w:val="24"/>
          <w:szCs w:val="24"/>
        </w:rPr>
      </w:pPr>
      <w:bookmarkStart w:id="9" w:name="_Ref178158875"/>
      <w:r w:rsidRPr="00FF23D9">
        <w:rPr>
          <w:sz w:val="24"/>
          <w:szCs w:val="24"/>
        </w:rPr>
        <w:lastRenderedPageBreak/>
        <w:t xml:space="preserve">Figure </w:t>
      </w:r>
      <w:r w:rsidRPr="00FF23D9">
        <w:rPr>
          <w:sz w:val="24"/>
          <w:szCs w:val="24"/>
        </w:rPr>
        <w:fldChar w:fldCharType="begin"/>
      </w:r>
      <w:r w:rsidRPr="00FF23D9">
        <w:rPr>
          <w:sz w:val="24"/>
          <w:szCs w:val="24"/>
        </w:rPr>
        <w:instrText xml:space="preserve"> SEQ Figure \* ARABIC </w:instrText>
      </w:r>
      <w:r w:rsidRPr="00FF23D9">
        <w:rPr>
          <w:sz w:val="24"/>
          <w:szCs w:val="24"/>
        </w:rPr>
        <w:fldChar w:fldCharType="separate"/>
      </w:r>
      <w:r w:rsidR="005A22AF" w:rsidRPr="00FF23D9">
        <w:rPr>
          <w:noProof/>
          <w:sz w:val="24"/>
          <w:szCs w:val="24"/>
        </w:rPr>
        <w:t>3</w:t>
      </w:r>
      <w:r w:rsidRPr="00FF23D9">
        <w:rPr>
          <w:sz w:val="24"/>
          <w:szCs w:val="24"/>
        </w:rPr>
        <w:fldChar w:fldCharType="end"/>
      </w:r>
      <w:bookmarkEnd w:id="9"/>
      <w:r w:rsidRPr="00FF23D9">
        <w:rPr>
          <w:sz w:val="24"/>
          <w:szCs w:val="24"/>
        </w:rPr>
        <w:t>: Impact of inflation and price profile on investment through SRC21</w:t>
      </w:r>
    </w:p>
    <w:p w14:paraId="17B3DB81" w14:textId="4B88E47B" w:rsidR="009E5A35" w:rsidRDefault="00C1794A" w:rsidP="004B2A88">
      <w:pPr>
        <w:keepLines/>
        <w:jc w:val="both"/>
      </w:pPr>
      <w:r>
        <w:t xml:space="preserve"> </w:t>
      </w:r>
      <w:r w:rsidR="00EA72B9">
        <w:rPr>
          <w:noProof/>
        </w:rPr>
        <w:drawing>
          <wp:inline distT="0" distB="0" distL="0" distR="0" wp14:anchorId="1A498E04" wp14:editId="5660682A">
            <wp:extent cx="5998845" cy="3023870"/>
            <wp:effectExtent l="0" t="0" r="1905" b="5080"/>
            <wp:docPr id="2121230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8845" cy="3023870"/>
                    </a:xfrm>
                    <a:prstGeom prst="rect">
                      <a:avLst/>
                    </a:prstGeom>
                    <a:noFill/>
                  </pic:spPr>
                </pic:pic>
              </a:graphicData>
            </a:graphic>
          </wp:inline>
        </w:drawing>
      </w:r>
    </w:p>
    <w:p w14:paraId="569608C5" w14:textId="77777777" w:rsidR="00EA72B9" w:rsidRDefault="00EA72B9" w:rsidP="0059583E">
      <w:pPr>
        <w:jc w:val="both"/>
      </w:pPr>
    </w:p>
    <w:p w14:paraId="1728C8AB" w14:textId="77777777" w:rsidR="009E5A35" w:rsidRDefault="009E5A35" w:rsidP="001D1FE2">
      <w:pPr>
        <w:pStyle w:val="Heading1"/>
        <w:numPr>
          <w:ilvl w:val="0"/>
          <w:numId w:val="6"/>
        </w:numPr>
        <w:outlineLvl w:val="0"/>
      </w:pPr>
      <w:bookmarkStart w:id="10" w:name="_Toc183593903"/>
      <w:r w:rsidRPr="009E5A35">
        <w:t>Scottish Water’s expenditure in 202</w:t>
      </w:r>
      <w:r>
        <w:t>3</w:t>
      </w:r>
      <w:r w:rsidRPr="009E5A35">
        <w:t>-2</w:t>
      </w:r>
      <w:r>
        <w:t>4</w:t>
      </w:r>
      <w:bookmarkEnd w:id="10"/>
    </w:p>
    <w:p w14:paraId="2CFA6C0A" w14:textId="77777777" w:rsidR="00381067" w:rsidRPr="002B18FF" w:rsidRDefault="00381067" w:rsidP="0059583E">
      <w:pPr>
        <w:ind w:right="-141"/>
        <w:jc w:val="both"/>
        <w:rPr>
          <w:rFonts w:cstheme="minorHAnsi"/>
        </w:rPr>
      </w:pPr>
      <w:r w:rsidRPr="002B18FF">
        <w:rPr>
          <w:rFonts w:cstheme="minorHAnsi"/>
        </w:rPr>
        <w:t>Providing essential water and wastewater services requires Scottish Water to spend money in the following areas:</w:t>
      </w:r>
    </w:p>
    <w:p w14:paraId="220EAF1F" w14:textId="49E8A172" w:rsidR="00D55BBB" w:rsidRPr="00381067" w:rsidRDefault="00D55BBB" w:rsidP="003A13A8">
      <w:pPr>
        <w:pStyle w:val="ListParagraph"/>
        <w:numPr>
          <w:ilvl w:val="0"/>
          <w:numId w:val="8"/>
        </w:numPr>
        <w:ind w:right="-141"/>
        <w:jc w:val="both"/>
        <w:rPr>
          <w:rFonts w:cstheme="minorHAnsi"/>
        </w:rPr>
      </w:pPr>
      <w:r w:rsidRPr="00381067">
        <w:rPr>
          <w:rFonts w:cstheme="minorHAnsi"/>
        </w:rPr>
        <w:t xml:space="preserve">Capital investment: spending on maintaining, upgrading and building new water sources, </w:t>
      </w:r>
      <w:r w:rsidR="0042327E" w:rsidRPr="00381067">
        <w:rPr>
          <w:rFonts w:cstheme="minorHAnsi"/>
        </w:rPr>
        <w:t>treatment plants</w:t>
      </w:r>
      <w:r w:rsidR="00171B40">
        <w:rPr>
          <w:rFonts w:cstheme="minorHAnsi"/>
        </w:rPr>
        <w:t xml:space="preserve">, </w:t>
      </w:r>
      <w:r w:rsidRPr="00381067">
        <w:rPr>
          <w:rFonts w:cstheme="minorHAnsi"/>
        </w:rPr>
        <w:t>pipes, and other equipment required to provide water and wastewater services.</w:t>
      </w:r>
    </w:p>
    <w:p w14:paraId="1E0F904E" w14:textId="77777777" w:rsidR="00381067" w:rsidRPr="00381067" w:rsidRDefault="00381067" w:rsidP="003A13A8">
      <w:pPr>
        <w:pStyle w:val="ListParagraph"/>
        <w:numPr>
          <w:ilvl w:val="0"/>
          <w:numId w:val="8"/>
        </w:numPr>
        <w:ind w:right="-141"/>
        <w:jc w:val="both"/>
        <w:rPr>
          <w:rFonts w:cstheme="minorHAnsi"/>
        </w:rPr>
      </w:pPr>
      <w:r w:rsidRPr="00381067">
        <w:rPr>
          <w:rFonts w:cstheme="minorHAnsi"/>
        </w:rPr>
        <w:t>Operating expenditure: spending on ongoing, day-to-day activities required to provide water and wastewater services.</w:t>
      </w:r>
    </w:p>
    <w:p w14:paraId="561FBD8D" w14:textId="145192CB" w:rsidR="00381067" w:rsidRPr="00381067" w:rsidRDefault="00381067" w:rsidP="003A13A8">
      <w:pPr>
        <w:pStyle w:val="ListParagraph"/>
        <w:numPr>
          <w:ilvl w:val="0"/>
          <w:numId w:val="8"/>
        </w:numPr>
        <w:ind w:right="-141"/>
        <w:jc w:val="both"/>
        <w:rPr>
          <w:rFonts w:cstheme="minorHAnsi"/>
        </w:rPr>
      </w:pPr>
      <w:r w:rsidRPr="00381067">
        <w:rPr>
          <w:rFonts w:cstheme="minorHAnsi"/>
        </w:rPr>
        <w:t>Private Finance Initiative (PFI) expenditure: regular payments to third-party organisations providing wastewater assets and services on behalf of Scottish Water under legacy contracts.</w:t>
      </w:r>
    </w:p>
    <w:p w14:paraId="1AB7B36D" w14:textId="1A0BD330" w:rsidR="00381067" w:rsidRPr="00381067" w:rsidRDefault="00381067" w:rsidP="003A13A8">
      <w:pPr>
        <w:pStyle w:val="ListParagraph"/>
        <w:numPr>
          <w:ilvl w:val="0"/>
          <w:numId w:val="8"/>
        </w:numPr>
        <w:ind w:right="-141"/>
        <w:jc w:val="both"/>
        <w:rPr>
          <w:rFonts w:cstheme="minorHAnsi"/>
        </w:rPr>
      </w:pPr>
      <w:r w:rsidRPr="00381067">
        <w:rPr>
          <w:rFonts w:cstheme="minorHAnsi"/>
        </w:rPr>
        <w:t xml:space="preserve">Taxation and </w:t>
      </w:r>
      <w:r w:rsidR="005830CF">
        <w:rPr>
          <w:rFonts w:cstheme="minorHAnsi"/>
        </w:rPr>
        <w:t>i</w:t>
      </w:r>
      <w:r w:rsidRPr="00381067">
        <w:rPr>
          <w:rFonts w:cstheme="minorHAnsi"/>
        </w:rPr>
        <w:t>nterest payments on borrowing.</w:t>
      </w:r>
    </w:p>
    <w:p w14:paraId="19AEA7B1" w14:textId="77777777" w:rsidR="009E5A35" w:rsidRDefault="009E5A35" w:rsidP="0059583E">
      <w:pPr>
        <w:jc w:val="both"/>
      </w:pPr>
    </w:p>
    <w:p w14:paraId="5C63DF15" w14:textId="77777777" w:rsidR="009E5A35" w:rsidRDefault="009E5A35" w:rsidP="0059583E">
      <w:pPr>
        <w:pStyle w:val="Heading2"/>
        <w:ind w:left="709" w:hanging="709"/>
        <w:jc w:val="both"/>
        <w:outlineLvl w:val="1"/>
      </w:pPr>
      <w:bookmarkStart w:id="11" w:name="_Toc183593904"/>
      <w:r w:rsidRPr="009E5A35">
        <w:t>Capital Investment</w:t>
      </w:r>
      <w:bookmarkEnd w:id="11"/>
    </w:p>
    <w:p w14:paraId="23B795EC" w14:textId="0A08996C" w:rsidR="00804243" w:rsidRPr="002B18FF" w:rsidRDefault="00FB1A2E" w:rsidP="0059583E">
      <w:pPr>
        <w:ind w:right="-141"/>
        <w:jc w:val="both"/>
        <w:rPr>
          <w:rFonts w:cstheme="minorHAnsi"/>
        </w:rPr>
      </w:pPr>
      <w:r>
        <w:rPr>
          <w:rFonts w:cstheme="minorHAnsi"/>
        </w:rPr>
        <w:t>I</w:t>
      </w:r>
      <w:r w:rsidR="00804243" w:rsidRPr="002B18FF">
        <w:rPr>
          <w:rFonts w:cstheme="minorHAnsi"/>
        </w:rPr>
        <w:t xml:space="preserve">nvestment </w:t>
      </w:r>
      <w:r w:rsidR="00804243">
        <w:rPr>
          <w:rFonts w:cstheme="minorHAnsi"/>
        </w:rPr>
        <w:t xml:space="preserve">excluding completion </w:t>
      </w:r>
      <w:r w:rsidR="00804243" w:rsidRPr="002B18FF">
        <w:rPr>
          <w:rFonts w:cstheme="minorHAnsi"/>
        </w:rPr>
        <w:t xml:space="preserve">was £142m lower </w:t>
      </w:r>
      <w:r>
        <w:rPr>
          <w:rFonts w:cstheme="minorHAnsi"/>
        </w:rPr>
        <w:t>i</w:t>
      </w:r>
      <w:r w:rsidRPr="002B18FF">
        <w:rPr>
          <w:rFonts w:cstheme="minorHAnsi"/>
        </w:rPr>
        <w:t>n 2021-22</w:t>
      </w:r>
      <w:r w:rsidR="00804243" w:rsidRPr="002B18FF">
        <w:rPr>
          <w:rFonts w:cstheme="minorHAnsi"/>
        </w:rPr>
        <w:t xml:space="preserve"> and £37m higher </w:t>
      </w:r>
      <w:r w:rsidRPr="002B18FF">
        <w:rPr>
          <w:rFonts w:cstheme="minorHAnsi"/>
        </w:rPr>
        <w:t xml:space="preserve">in 2022-23 </w:t>
      </w:r>
      <w:r w:rsidR="00804243" w:rsidRPr="002B18FF">
        <w:rPr>
          <w:rFonts w:cstheme="minorHAnsi"/>
        </w:rPr>
        <w:t>than that allowed for in the Final Determination.</w:t>
      </w:r>
      <w:r w:rsidR="00AF04E2">
        <w:rPr>
          <w:rStyle w:val="FootnoteReference"/>
          <w:rFonts w:cstheme="minorHAnsi"/>
        </w:rPr>
        <w:footnoteReference w:id="9"/>
      </w:r>
      <w:r w:rsidR="00804243" w:rsidRPr="002B18FF">
        <w:rPr>
          <w:rFonts w:cstheme="minorHAnsi"/>
        </w:rPr>
        <w:t xml:space="preserve"> In 2023-24, Scottish Water’s reported investment was £27m higher than that allowed for in the Final Determination. </w:t>
      </w:r>
      <w:r w:rsidR="00804243" w:rsidRPr="002B18FF">
        <w:rPr>
          <w:rFonts w:cstheme="minorHAnsi"/>
        </w:rPr>
        <w:fldChar w:fldCharType="begin"/>
      </w:r>
      <w:r w:rsidR="00804243" w:rsidRPr="002B18FF">
        <w:rPr>
          <w:rFonts w:cstheme="minorHAnsi"/>
        </w:rPr>
        <w:instrText xml:space="preserve"> REF _Ref177480880 \h </w:instrText>
      </w:r>
      <w:r w:rsidR="00804243">
        <w:rPr>
          <w:rFonts w:cstheme="minorHAnsi"/>
        </w:rPr>
        <w:instrText xml:space="preserve"> \* MERGEFORMAT </w:instrText>
      </w:r>
      <w:r w:rsidR="00804243" w:rsidRPr="002B18FF">
        <w:rPr>
          <w:rFonts w:cstheme="minorHAnsi"/>
        </w:rPr>
      </w:r>
      <w:r w:rsidR="00804243" w:rsidRPr="002B18FF">
        <w:rPr>
          <w:rFonts w:cstheme="minorHAnsi"/>
        </w:rPr>
        <w:fldChar w:fldCharType="separate"/>
      </w:r>
      <w:r w:rsidR="005A22AF" w:rsidRPr="005A22AF">
        <w:rPr>
          <w:rFonts w:cstheme="minorHAnsi"/>
        </w:rPr>
        <w:t xml:space="preserve">Figure </w:t>
      </w:r>
      <w:r w:rsidR="005A22AF" w:rsidRPr="005A22AF">
        <w:rPr>
          <w:rFonts w:cstheme="minorHAnsi"/>
          <w:noProof/>
        </w:rPr>
        <w:t>4</w:t>
      </w:r>
      <w:r w:rsidR="00804243" w:rsidRPr="002B18FF">
        <w:rPr>
          <w:rFonts w:cstheme="minorHAnsi"/>
        </w:rPr>
        <w:fldChar w:fldCharType="end"/>
      </w:r>
      <w:r w:rsidR="00804243" w:rsidRPr="002B18FF">
        <w:rPr>
          <w:rFonts w:cstheme="minorHAnsi"/>
        </w:rPr>
        <w:t xml:space="preserve"> shows the investment in the first three years of the SRC21 period.</w:t>
      </w:r>
    </w:p>
    <w:p w14:paraId="54FF391A" w14:textId="77777777" w:rsidR="00804243" w:rsidRPr="002B18FF" w:rsidRDefault="00804243" w:rsidP="0059583E">
      <w:pPr>
        <w:ind w:right="-141"/>
        <w:jc w:val="both"/>
        <w:rPr>
          <w:rFonts w:cstheme="minorHAnsi"/>
        </w:rPr>
      </w:pPr>
    </w:p>
    <w:p w14:paraId="5E3E8764" w14:textId="06F27A30" w:rsidR="00804243" w:rsidRDefault="00804243" w:rsidP="0059583E">
      <w:pPr>
        <w:pStyle w:val="Caption"/>
        <w:keepNext/>
        <w:jc w:val="both"/>
        <w:rPr>
          <w:rFonts w:cstheme="minorHAnsi"/>
          <w:sz w:val="24"/>
          <w:szCs w:val="24"/>
        </w:rPr>
      </w:pPr>
      <w:bookmarkStart w:id="12" w:name="_Ref177480880"/>
      <w:r w:rsidRPr="00324551">
        <w:rPr>
          <w:rFonts w:cstheme="minorHAnsi"/>
          <w:sz w:val="24"/>
          <w:szCs w:val="24"/>
        </w:rPr>
        <w:lastRenderedPageBreak/>
        <w:t xml:space="preserve">Figure </w:t>
      </w:r>
      <w:r w:rsidRPr="00324551">
        <w:rPr>
          <w:rFonts w:cstheme="minorHAnsi"/>
          <w:sz w:val="24"/>
          <w:szCs w:val="24"/>
        </w:rPr>
        <w:fldChar w:fldCharType="begin"/>
      </w:r>
      <w:r w:rsidRPr="00324551">
        <w:rPr>
          <w:rFonts w:cstheme="minorHAnsi"/>
          <w:sz w:val="24"/>
          <w:szCs w:val="24"/>
        </w:rPr>
        <w:instrText xml:space="preserve"> SEQ Figure \* ARABIC </w:instrText>
      </w:r>
      <w:r w:rsidRPr="00324551">
        <w:rPr>
          <w:rFonts w:cstheme="minorHAnsi"/>
          <w:sz w:val="24"/>
          <w:szCs w:val="24"/>
        </w:rPr>
        <w:fldChar w:fldCharType="separate"/>
      </w:r>
      <w:r w:rsidR="005A22AF">
        <w:rPr>
          <w:rFonts w:cstheme="minorHAnsi"/>
          <w:noProof/>
          <w:sz w:val="24"/>
          <w:szCs w:val="24"/>
        </w:rPr>
        <w:t>4</w:t>
      </w:r>
      <w:r w:rsidRPr="00324551">
        <w:rPr>
          <w:rFonts w:cstheme="minorHAnsi"/>
          <w:sz w:val="24"/>
          <w:szCs w:val="24"/>
        </w:rPr>
        <w:fldChar w:fldCharType="end"/>
      </w:r>
      <w:bookmarkEnd w:id="12"/>
      <w:r>
        <w:rPr>
          <w:rFonts w:cstheme="minorHAnsi"/>
          <w:sz w:val="24"/>
          <w:szCs w:val="24"/>
        </w:rPr>
        <w:t>: Investment excluding completion in SRC27</w:t>
      </w:r>
    </w:p>
    <w:p w14:paraId="50F85848" w14:textId="46712993" w:rsidR="00E3085F" w:rsidRPr="00E3085F" w:rsidRDefault="00B4117F" w:rsidP="00B50F9B">
      <w:r>
        <w:rPr>
          <w:noProof/>
        </w:rPr>
        <w:drawing>
          <wp:inline distT="0" distB="0" distL="0" distR="0" wp14:anchorId="2B19520C" wp14:editId="4810C562">
            <wp:extent cx="6132830" cy="3352800"/>
            <wp:effectExtent l="0" t="0" r="1270" b="0"/>
            <wp:docPr id="651157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2830" cy="3352800"/>
                    </a:xfrm>
                    <a:prstGeom prst="rect">
                      <a:avLst/>
                    </a:prstGeom>
                    <a:noFill/>
                  </pic:spPr>
                </pic:pic>
              </a:graphicData>
            </a:graphic>
          </wp:inline>
        </w:drawing>
      </w:r>
    </w:p>
    <w:p w14:paraId="00244250" w14:textId="77777777" w:rsidR="00804243" w:rsidRDefault="00804243" w:rsidP="0059583E">
      <w:pPr>
        <w:jc w:val="both"/>
      </w:pPr>
    </w:p>
    <w:p w14:paraId="43057301" w14:textId="7F824277" w:rsidR="00F80410" w:rsidRPr="002B18FF" w:rsidRDefault="00F80410" w:rsidP="0059583E">
      <w:pPr>
        <w:ind w:right="-141"/>
        <w:jc w:val="both"/>
        <w:rPr>
          <w:rFonts w:cstheme="minorHAnsi"/>
        </w:rPr>
      </w:pPr>
      <w:r>
        <w:rPr>
          <w:rFonts w:cstheme="minorHAnsi"/>
        </w:rPr>
        <w:t>On a c</w:t>
      </w:r>
      <w:r w:rsidRPr="002B18FF">
        <w:rPr>
          <w:rFonts w:cstheme="minorHAnsi"/>
        </w:rPr>
        <w:t>umulative</w:t>
      </w:r>
      <w:r>
        <w:rPr>
          <w:rFonts w:cstheme="minorHAnsi"/>
        </w:rPr>
        <w:t xml:space="preserve"> basis</w:t>
      </w:r>
      <w:r w:rsidRPr="002B18FF">
        <w:rPr>
          <w:rFonts w:cstheme="minorHAnsi"/>
        </w:rPr>
        <w:t xml:space="preserve">, this has resulted in £79m </w:t>
      </w:r>
      <w:r>
        <w:rPr>
          <w:rFonts w:cstheme="minorHAnsi"/>
        </w:rPr>
        <w:t>(</w:t>
      </w:r>
      <w:r w:rsidRPr="002B18FF">
        <w:rPr>
          <w:rFonts w:cstheme="minorHAnsi"/>
        </w:rPr>
        <w:t>2023-24 prices</w:t>
      </w:r>
      <w:r>
        <w:rPr>
          <w:rFonts w:cstheme="minorHAnsi"/>
        </w:rPr>
        <w:t xml:space="preserve">) </w:t>
      </w:r>
      <w:r w:rsidRPr="002B18FF">
        <w:rPr>
          <w:rFonts w:cstheme="minorHAnsi"/>
        </w:rPr>
        <w:t xml:space="preserve">less investment than allowed for in the Final Determination in the period </w:t>
      </w:r>
      <w:r>
        <w:rPr>
          <w:rFonts w:cstheme="minorHAnsi"/>
        </w:rPr>
        <w:t>to date</w:t>
      </w:r>
      <w:r w:rsidRPr="002B18FF">
        <w:rPr>
          <w:rFonts w:cstheme="minorHAnsi"/>
        </w:rPr>
        <w:t>. Part of this difference between the allowed</w:t>
      </w:r>
      <w:r w:rsidR="006C0935">
        <w:rPr>
          <w:rFonts w:cstheme="minorHAnsi"/>
        </w:rPr>
        <w:t>-</w:t>
      </w:r>
      <w:r w:rsidRPr="002B18FF">
        <w:rPr>
          <w:rFonts w:cstheme="minorHAnsi"/>
        </w:rPr>
        <w:t xml:space="preserve">for investment from the Final Determination and reported investment to date relates to how Scottish Water has profiled charge caps in the first three years of the regulatory control period. </w:t>
      </w:r>
    </w:p>
    <w:p w14:paraId="2952FF6E" w14:textId="77777777" w:rsidR="00804243" w:rsidRDefault="00804243" w:rsidP="0059583E">
      <w:pPr>
        <w:jc w:val="both"/>
      </w:pPr>
    </w:p>
    <w:p w14:paraId="18395C28" w14:textId="77777777" w:rsidR="009E5A35" w:rsidRDefault="009E5A35" w:rsidP="0059583E">
      <w:pPr>
        <w:pStyle w:val="Heading2"/>
        <w:ind w:left="709" w:hanging="709"/>
        <w:jc w:val="both"/>
        <w:outlineLvl w:val="1"/>
      </w:pPr>
      <w:bookmarkStart w:id="13" w:name="_Toc183593905"/>
      <w:r w:rsidRPr="009E5A35">
        <w:t>Operating and Private Finance Initiative expenditure</w:t>
      </w:r>
      <w:bookmarkEnd w:id="13"/>
    </w:p>
    <w:p w14:paraId="3898D171" w14:textId="222AD272" w:rsidR="00B007BC" w:rsidRPr="002B18FF" w:rsidRDefault="00B007BC" w:rsidP="0059583E">
      <w:pPr>
        <w:ind w:right="-141"/>
        <w:jc w:val="both"/>
        <w:rPr>
          <w:rFonts w:cstheme="minorHAnsi"/>
        </w:rPr>
      </w:pPr>
      <w:r w:rsidRPr="00174635">
        <w:rPr>
          <w:rFonts w:cstheme="minorHAnsi"/>
        </w:rPr>
        <w:fldChar w:fldCharType="begin"/>
      </w:r>
      <w:r w:rsidRPr="00174635">
        <w:rPr>
          <w:rFonts w:cstheme="minorHAnsi"/>
        </w:rPr>
        <w:instrText xml:space="preserve"> REF _Ref177375953 \h </w:instrText>
      </w:r>
      <w:r w:rsidRPr="004C540E">
        <w:rPr>
          <w:rFonts w:cstheme="minorHAnsi"/>
        </w:rPr>
        <w:instrText xml:space="preserve"> \* MERGEFORMAT </w:instrText>
      </w:r>
      <w:r w:rsidRPr="00174635">
        <w:rPr>
          <w:rFonts w:cstheme="minorHAnsi"/>
        </w:rPr>
      </w:r>
      <w:r w:rsidRPr="00174635">
        <w:rPr>
          <w:rFonts w:cstheme="minorHAnsi"/>
        </w:rPr>
        <w:fldChar w:fldCharType="separate"/>
      </w:r>
      <w:r w:rsidR="005A22AF" w:rsidRPr="005A22AF">
        <w:rPr>
          <w:rFonts w:cstheme="minorHAnsi"/>
        </w:rPr>
        <w:t xml:space="preserve">Figure </w:t>
      </w:r>
      <w:r w:rsidR="005A22AF" w:rsidRPr="005A22AF">
        <w:rPr>
          <w:rFonts w:cstheme="minorHAnsi"/>
          <w:noProof/>
        </w:rPr>
        <w:t>5</w:t>
      </w:r>
      <w:r w:rsidRPr="00174635">
        <w:rPr>
          <w:rFonts w:cstheme="minorHAnsi"/>
        </w:rPr>
        <w:fldChar w:fldCharType="end"/>
      </w:r>
      <w:r>
        <w:rPr>
          <w:rFonts w:cstheme="minorHAnsi"/>
        </w:rPr>
        <w:t xml:space="preserve"> shows that the operating and PFI expenditure </w:t>
      </w:r>
      <w:r w:rsidR="0059750C">
        <w:rPr>
          <w:rFonts w:cstheme="minorHAnsi"/>
        </w:rPr>
        <w:t xml:space="preserve">of £619m was around </w:t>
      </w:r>
      <w:r w:rsidR="00B800F9">
        <w:rPr>
          <w:rFonts w:cstheme="minorHAnsi"/>
        </w:rPr>
        <w:t>£18m (</w:t>
      </w:r>
      <w:r w:rsidR="0059750C">
        <w:rPr>
          <w:rFonts w:cstheme="minorHAnsi"/>
        </w:rPr>
        <w:t>3%</w:t>
      </w:r>
      <w:r w:rsidR="00B800F9">
        <w:rPr>
          <w:rFonts w:cstheme="minorHAnsi"/>
        </w:rPr>
        <w:t>)</w:t>
      </w:r>
      <w:r>
        <w:rPr>
          <w:rFonts w:cstheme="minorHAnsi"/>
        </w:rPr>
        <w:t xml:space="preserve"> lower than </w:t>
      </w:r>
      <w:r w:rsidR="0059750C">
        <w:rPr>
          <w:rFonts w:cstheme="minorHAnsi"/>
        </w:rPr>
        <w:t>the £637m</w:t>
      </w:r>
      <w:r>
        <w:rPr>
          <w:rFonts w:cstheme="minorHAnsi"/>
        </w:rPr>
        <w:t xml:space="preserve"> allowed for in the Final Determination. </w:t>
      </w:r>
      <w:r w:rsidR="0083036B">
        <w:rPr>
          <w:rFonts w:cstheme="minorHAnsi"/>
        </w:rPr>
        <w:t>I</w:t>
      </w:r>
      <w:r w:rsidRPr="002B18FF">
        <w:rPr>
          <w:rFonts w:cstheme="minorHAnsi"/>
        </w:rPr>
        <w:t xml:space="preserve">n 2023-24, Scottish Water received a one-off refund of £24.6m following a successful appeal relating to the rateable value of its water treatment facilities. Without this refund, operating </w:t>
      </w:r>
      <w:r>
        <w:rPr>
          <w:rFonts w:cstheme="minorHAnsi"/>
        </w:rPr>
        <w:t>and PFI expenditure</w:t>
      </w:r>
      <w:r w:rsidRPr="002B18FF">
        <w:rPr>
          <w:rFonts w:cstheme="minorHAnsi"/>
        </w:rPr>
        <w:t xml:space="preserve"> in 2023-24 would have been £</w:t>
      </w:r>
      <w:r>
        <w:rPr>
          <w:rFonts w:cstheme="minorHAnsi"/>
        </w:rPr>
        <w:t>644</w:t>
      </w:r>
      <w:r w:rsidRPr="002B18FF">
        <w:rPr>
          <w:rFonts w:cstheme="minorHAnsi"/>
        </w:rPr>
        <w:t>m</w:t>
      </w:r>
      <w:r w:rsidR="00953B61">
        <w:rPr>
          <w:rFonts w:cstheme="minorHAnsi"/>
        </w:rPr>
        <w:t xml:space="preserve">, which </w:t>
      </w:r>
      <w:r w:rsidR="00CF04D9">
        <w:rPr>
          <w:rFonts w:cstheme="minorHAnsi"/>
        </w:rPr>
        <w:t>is broadly in line (</w:t>
      </w:r>
      <w:r>
        <w:rPr>
          <w:rFonts w:cstheme="minorHAnsi"/>
        </w:rPr>
        <w:t>around 1% higher</w:t>
      </w:r>
      <w:r w:rsidR="00CF04D9">
        <w:rPr>
          <w:rFonts w:cstheme="minorHAnsi"/>
        </w:rPr>
        <w:t>) with</w:t>
      </w:r>
      <w:r>
        <w:rPr>
          <w:rFonts w:cstheme="minorHAnsi"/>
        </w:rPr>
        <w:t xml:space="preserve"> </w:t>
      </w:r>
      <w:r w:rsidR="00953B61">
        <w:rPr>
          <w:rFonts w:cstheme="minorHAnsi"/>
        </w:rPr>
        <w:t>the expenditure</w:t>
      </w:r>
      <w:r>
        <w:rPr>
          <w:rFonts w:cstheme="minorHAnsi"/>
        </w:rPr>
        <w:t xml:space="preserve"> allowed for in </w:t>
      </w:r>
      <w:r w:rsidR="00953B61">
        <w:rPr>
          <w:rFonts w:cstheme="minorHAnsi"/>
        </w:rPr>
        <w:t xml:space="preserve">the </w:t>
      </w:r>
      <w:r>
        <w:rPr>
          <w:rFonts w:cstheme="minorHAnsi"/>
        </w:rPr>
        <w:t xml:space="preserve">Final Determination. </w:t>
      </w:r>
    </w:p>
    <w:p w14:paraId="59A7C0E7" w14:textId="77777777" w:rsidR="00B007BC" w:rsidRPr="002B18FF" w:rsidRDefault="00B007BC" w:rsidP="0059583E">
      <w:pPr>
        <w:ind w:right="-141"/>
        <w:jc w:val="both"/>
        <w:rPr>
          <w:rFonts w:cstheme="minorHAnsi"/>
        </w:rPr>
      </w:pPr>
    </w:p>
    <w:p w14:paraId="13A04A7E" w14:textId="5FD81330" w:rsidR="00B007BC" w:rsidRDefault="00B007BC" w:rsidP="0059583E">
      <w:pPr>
        <w:pStyle w:val="Caption"/>
        <w:keepNext/>
        <w:jc w:val="both"/>
        <w:rPr>
          <w:rFonts w:cstheme="minorHAnsi"/>
          <w:sz w:val="24"/>
          <w:szCs w:val="24"/>
        </w:rPr>
      </w:pPr>
      <w:bookmarkStart w:id="14" w:name="_Ref177375953"/>
      <w:bookmarkStart w:id="15" w:name="_Ref177725814"/>
      <w:r w:rsidRPr="00946B81">
        <w:rPr>
          <w:rFonts w:cstheme="minorHAnsi"/>
          <w:sz w:val="24"/>
          <w:szCs w:val="24"/>
        </w:rPr>
        <w:lastRenderedPageBreak/>
        <w:t xml:space="preserve">Figure </w:t>
      </w:r>
      <w:r w:rsidRPr="00946B81">
        <w:rPr>
          <w:rFonts w:cstheme="minorHAnsi"/>
          <w:sz w:val="24"/>
          <w:szCs w:val="24"/>
        </w:rPr>
        <w:fldChar w:fldCharType="begin"/>
      </w:r>
      <w:r w:rsidRPr="00946B81">
        <w:rPr>
          <w:rFonts w:cstheme="minorHAnsi"/>
          <w:sz w:val="24"/>
          <w:szCs w:val="24"/>
        </w:rPr>
        <w:instrText xml:space="preserve"> SEQ Figure \* ARABIC </w:instrText>
      </w:r>
      <w:r w:rsidRPr="00946B81">
        <w:rPr>
          <w:rFonts w:cstheme="minorHAnsi"/>
          <w:sz w:val="24"/>
          <w:szCs w:val="24"/>
        </w:rPr>
        <w:fldChar w:fldCharType="separate"/>
      </w:r>
      <w:r w:rsidR="005A22AF">
        <w:rPr>
          <w:rFonts w:cstheme="minorHAnsi"/>
          <w:noProof/>
          <w:sz w:val="24"/>
          <w:szCs w:val="24"/>
        </w:rPr>
        <w:t>5</w:t>
      </w:r>
      <w:r w:rsidRPr="00946B81">
        <w:rPr>
          <w:rFonts w:cstheme="minorHAnsi"/>
          <w:sz w:val="24"/>
          <w:szCs w:val="24"/>
        </w:rPr>
        <w:fldChar w:fldCharType="end"/>
      </w:r>
      <w:bookmarkEnd w:id="14"/>
      <w:r w:rsidRPr="00946B81">
        <w:rPr>
          <w:rFonts w:cstheme="minorHAnsi"/>
          <w:sz w:val="24"/>
          <w:szCs w:val="24"/>
        </w:rPr>
        <w:t>: Operating</w:t>
      </w:r>
      <w:r>
        <w:rPr>
          <w:rFonts w:cstheme="minorHAnsi"/>
          <w:sz w:val="24"/>
          <w:szCs w:val="24"/>
        </w:rPr>
        <w:t xml:space="preserve"> PFI</w:t>
      </w:r>
      <w:r w:rsidRPr="00946B81">
        <w:rPr>
          <w:rFonts w:cstheme="minorHAnsi"/>
          <w:sz w:val="24"/>
          <w:szCs w:val="24"/>
        </w:rPr>
        <w:t xml:space="preserve"> expenditure in </w:t>
      </w:r>
      <w:r>
        <w:rPr>
          <w:rFonts w:cstheme="minorHAnsi"/>
          <w:sz w:val="24"/>
          <w:szCs w:val="24"/>
        </w:rPr>
        <w:t>SRC27</w:t>
      </w:r>
      <w:r>
        <w:rPr>
          <w:rStyle w:val="FootnoteReference"/>
          <w:rFonts w:cstheme="minorHAnsi"/>
          <w:sz w:val="24"/>
          <w:szCs w:val="24"/>
        </w:rPr>
        <w:footnoteReference w:id="10"/>
      </w:r>
      <w:bookmarkEnd w:id="15"/>
    </w:p>
    <w:p w14:paraId="1AD31594" w14:textId="6DB22309" w:rsidR="00E3085F" w:rsidRPr="00E3085F" w:rsidRDefault="00E3085F" w:rsidP="00B50F9B">
      <w:r>
        <w:rPr>
          <w:noProof/>
        </w:rPr>
        <w:drawing>
          <wp:inline distT="0" distB="0" distL="0" distR="0" wp14:anchorId="1BE14BA7" wp14:editId="06EDD933">
            <wp:extent cx="6084570" cy="3450590"/>
            <wp:effectExtent l="0" t="0" r="0" b="0"/>
            <wp:docPr id="1937158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4570" cy="3450590"/>
                    </a:xfrm>
                    <a:prstGeom prst="rect">
                      <a:avLst/>
                    </a:prstGeom>
                    <a:noFill/>
                  </pic:spPr>
                </pic:pic>
              </a:graphicData>
            </a:graphic>
          </wp:inline>
        </w:drawing>
      </w:r>
    </w:p>
    <w:p w14:paraId="0716B976" w14:textId="4C82F3DA" w:rsidR="00B007BC" w:rsidRDefault="00B007BC" w:rsidP="0059583E">
      <w:pPr>
        <w:jc w:val="both"/>
      </w:pPr>
    </w:p>
    <w:p w14:paraId="4EB47955" w14:textId="3D7626D7" w:rsidR="005715EC" w:rsidRDefault="00EB5524" w:rsidP="0059583E">
      <w:pPr>
        <w:jc w:val="both"/>
      </w:pPr>
      <w:r>
        <w:t xml:space="preserve">In 2023-24, </w:t>
      </w:r>
      <w:r w:rsidR="006923E6">
        <w:t>Scottish Water</w:t>
      </w:r>
      <w:r>
        <w:t>’s reported operating expenditure</w:t>
      </w:r>
      <w:r w:rsidR="006923E6">
        <w:t xml:space="preserve"> included</w:t>
      </w:r>
      <w:r>
        <w:t xml:space="preserve"> the running costs associated with</w:t>
      </w:r>
      <w:r w:rsidR="006923E6">
        <w:t xml:space="preserve"> two PFI schemes (Grampian and Highland)</w:t>
      </w:r>
      <w:r>
        <w:t xml:space="preserve"> that had since returned to Sco</w:t>
      </w:r>
      <w:r w:rsidR="00DB5BBE">
        <w:t>ttish Water</w:t>
      </w:r>
      <w:r w:rsidR="00B02216">
        <w:t xml:space="preserve">. </w:t>
      </w:r>
      <w:r w:rsidR="00EE14BB">
        <w:t xml:space="preserve">The </w:t>
      </w:r>
      <w:r w:rsidR="00DB5BBE">
        <w:t xml:space="preserve">allowed for operating expenditure from the </w:t>
      </w:r>
      <w:r w:rsidR="00B02216">
        <w:t xml:space="preserve">Final Determination </w:t>
      </w:r>
      <w:r w:rsidR="0084131A">
        <w:t xml:space="preserve">did </w:t>
      </w:r>
      <w:r w:rsidR="00DA6040">
        <w:t xml:space="preserve">not </w:t>
      </w:r>
      <w:r w:rsidR="00FE3CCC">
        <w:t>include an adjustment</w:t>
      </w:r>
      <w:r w:rsidR="00DB5BBE">
        <w:t xml:space="preserve"> </w:t>
      </w:r>
      <w:r w:rsidR="007028CC">
        <w:t xml:space="preserve">for the return </w:t>
      </w:r>
      <w:r w:rsidR="00DB5BBE">
        <w:t>of the PFI schemes</w:t>
      </w:r>
      <w:r w:rsidR="009932A6">
        <w:t>.</w:t>
      </w:r>
      <w:r w:rsidR="00315B21">
        <w:t xml:space="preserve"> </w:t>
      </w:r>
      <w:r w:rsidR="00CB7DFB">
        <w:t>O</w:t>
      </w:r>
      <w:r w:rsidR="00315B21">
        <w:t xml:space="preserve">perating and PFI expenditure </w:t>
      </w:r>
      <w:r w:rsidR="00CB7DFB">
        <w:t xml:space="preserve">was instead considered </w:t>
      </w:r>
      <w:r w:rsidR="00D033D8">
        <w:t>in aggregate as part of Scottish Water’s recurring annual expenditure</w:t>
      </w:r>
      <w:r w:rsidR="00CB7DFB">
        <w:t>, reco</w:t>
      </w:r>
      <w:r w:rsidR="00D033D8">
        <w:t>g</w:t>
      </w:r>
      <w:r w:rsidR="00CB7DFB">
        <w:t xml:space="preserve">nising that the expiry of PFI contracts </w:t>
      </w:r>
      <w:r w:rsidR="00D033D8">
        <w:t>would reduce PFI expenditure, but increase operating expenditure</w:t>
      </w:r>
      <w:r w:rsidR="00CB7DFB">
        <w:t>.</w:t>
      </w:r>
      <w:r w:rsidR="009932A6">
        <w:t xml:space="preserve"> </w:t>
      </w:r>
      <w:r w:rsidR="00367715">
        <w:fldChar w:fldCharType="begin"/>
      </w:r>
      <w:r w:rsidR="00367715">
        <w:instrText xml:space="preserve"> REF _Ref178949530 \h </w:instrText>
      </w:r>
      <w:r w:rsidR="0059583E">
        <w:instrText xml:space="preserve"> \* MERGEFORMAT </w:instrText>
      </w:r>
      <w:r w:rsidR="00367715">
        <w:fldChar w:fldCharType="separate"/>
      </w:r>
      <w:r w:rsidR="005A22AF" w:rsidRPr="005A22AF">
        <w:t xml:space="preserve">Figure </w:t>
      </w:r>
      <w:r w:rsidR="005A22AF" w:rsidRPr="005A22AF">
        <w:rPr>
          <w:noProof/>
        </w:rPr>
        <w:t>6</w:t>
      </w:r>
      <w:r w:rsidR="00367715">
        <w:fldChar w:fldCharType="end"/>
      </w:r>
      <w:r w:rsidR="005658CA">
        <w:t xml:space="preserve"> shows the impact of removing</w:t>
      </w:r>
      <w:r w:rsidR="009932A6">
        <w:t xml:space="preserve"> </w:t>
      </w:r>
      <w:r w:rsidR="009B2EB9">
        <w:t xml:space="preserve">the operating expenditure associated with </w:t>
      </w:r>
      <w:r w:rsidR="005658CA">
        <w:t xml:space="preserve">these schemes </w:t>
      </w:r>
      <w:r w:rsidR="002C1D7F">
        <w:t>to provide a like-for-like comparison with the</w:t>
      </w:r>
      <w:r w:rsidR="009B2EB9">
        <w:t xml:space="preserve"> operating expenditure </w:t>
      </w:r>
      <w:r w:rsidR="002C1D7F">
        <w:t xml:space="preserve">from the Final Determination. </w:t>
      </w:r>
      <w:r w:rsidR="009D535A">
        <w:t>It shows that actual operating expenditure on a like-for-like basis</w:t>
      </w:r>
      <w:r w:rsidR="009B2EB9">
        <w:t xml:space="preserve"> is </w:t>
      </w:r>
      <w:r w:rsidR="00703ACD">
        <w:t>broadly</w:t>
      </w:r>
      <w:r w:rsidR="009B2EB9">
        <w:t xml:space="preserve"> in line with </w:t>
      </w:r>
      <w:r w:rsidR="007F6339">
        <w:t>expenditure allowed for in the Final Determination</w:t>
      </w:r>
      <w:r w:rsidR="00783D5D">
        <w:t xml:space="preserve">. </w:t>
      </w:r>
    </w:p>
    <w:p w14:paraId="1CFE6AFD" w14:textId="77777777" w:rsidR="00783D5D" w:rsidRDefault="00783D5D" w:rsidP="0059583E">
      <w:pPr>
        <w:jc w:val="both"/>
      </w:pPr>
    </w:p>
    <w:p w14:paraId="14335A84" w14:textId="78BCCD95" w:rsidR="00367715" w:rsidRDefault="00367715" w:rsidP="0059583E">
      <w:pPr>
        <w:pStyle w:val="Caption"/>
        <w:keepNext/>
        <w:jc w:val="both"/>
        <w:rPr>
          <w:sz w:val="24"/>
          <w:szCs w:val="24"/>
        </w:rPr>
      </w:pPr>
      <w:bookmarkStart w:id="16" w:name="_Ref178949530"/>
      <w:r w:rsidRPr="001D1FE2">
        <w:rPr>
          <w:sz w:val="24"/>
          <w:szCs w:val="24"/>
        </w:rPr>
        <w:lastRenderedPageBreak/>
        <w:t xml:space="preserve">Figure </w:t>
      </w:r>
      <w:r w:rsidRPr="001D1FE2">
        <w:rPr>
          <w:sz w:val="24"/>
          <w:szCs w:val="24"/>
        </w:rPr>
        <w:fldChar w:fldCharType="begin"/>
      </w:r>
      <w:r w:rsidRPr="00B50F9B">
        <w:rPr>
          <w:sz w:val="24"/>
          <w:szCs w:val="24"/>
        </w:rPr>
        <w:instrText xml:space="preserve"> SEQ Figure \* ARABIC </w:instrText>
      </w:r>
      <w:r w:rsidRPr="001D1FE2">
        <w:rPr>
          <w:sz w:val="24"/>
          <w:szCs w:val="24"/>
        </w:rPr>
        <w:fldChar w:fldCharType="separate"/>
      </w:r>
      <w:r w:rsidR="005A22AF">
        <w:rPr>
          <w:noProof/>
          <w:sz w:val="24"/>
          <w:szCs w:val="24"/>
        </w:rPr>
        <w:t>6</w:t>
      </w:r>
      <w:r w:rsidRPr="001D1FE2">
        <w:rPr>
          <w:sz w:val="24"/>
          <w:szCs w:val="24"/>
        </w:rPr>
        <w:fldChar w:fldCharType="end"/>
      </w:r>
      <w:bookmarkEnd w:id="16"/>
      <w:r w:rsidRPr="001D1FE2">
        <w:rPr>
          <w:sz w:val="24"/>
          <w:szCs w:val="24"/>
        </w:rPr>
        <w:t>: Actual compared to allowed for in Final Determination operating costs in 2023-24 (£m, 2023-24 prices)</w:t>
      </w:r>
    </w:p>
    <w:p w14:paraId="4713387E" w14:textId="6E296778" w:rsidR="00E3085F" w:rsidRPr="00E3085F" w:rsidRDefault="00E3085F" w:rsidP="00B50F9B">
      <w:r>
        <w:rPr>
          <w:noProof/>
        </w:rPr>
        <w:drawing>
          <wp:inline distT="0" distB="0" distL="0" distR="0" wp14:anchorId="55249B82" wp14:editId="77395972">
            <wp:extent cx="6267450" cy="3286125"/>
            <wp:effectExtent l="0" t="0" r="0" b="9525"/>
            <wp:docPr id="2837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7450" cy="3286125"/>
                    </a:xfrm>
                    <a:prstGeom prst="rect">
                      <a:avLst/>
                    </a:prstGeom>
                    <a:noFill/>
                  </pic:spPr>
                </pic:pic>
              </a:graphicData>
            </a:graphic>
          </wp:inline>
        </w:drawing>
      </w:r>
    </w:p>
    <w:p w14:paraId="74F26C3E" w14:textId="77777777" w:rsidR="005715EC" w:rsidRDefault="005715EC" w:rsidP="0059583E">
      <w:pPr>
        <w:jc w:val="both"/>
      </w:pPr>
    </w:p>
    <w:p w14:paraId="45812C25" w14:textId="1A7AF0EA" w:rsidR="009E5A35" w:rsidRDefault="009E5A35" w:rsidP="0059583E">
      <w:pPr>
        <w:pStyle w:val="Heading2"/>
        <w:ind w:left="709" w:hanging="709"/>
        <w:jc w:val="both"/>
        <w:outlineLvl w:val="1"/>
      </w:pPr>
      <w:bookmarkStart w:id="17" w:name="_Toc183593906"/>
      <w:r w:rsidRPr="009E5A35">
        <w:t>Other costs</w:t>
      </w:r>
      <w:bookmarkEnd w:id="17"/>
    </w:p>
    <w:p w14:paraId="71C280C5" w14:textId="3CE89632" w:rsidR="009E5A35" w:rsidRPr="001236AF" w:rsidRDefault="002852E6" w:rsidP="0059583E">
      <w:pPr>
        <w:jc w:val="both"/>
        <w:rPr>
          <w:rFonts w:cstheme="minorHAnsi"/>
        </w:rPr>
      </w:pPr>
      <w:r w:rsidRPr="00FB4379">
        <w:t xml:space="preserve">Scottish Water </w:t>
      </w:r>
      <w:r w:rsidRPr="004D1235">
        <w:t>had higher net new borrowing in the year compared to the level assumed in the Final Determination (net new debt of £</w:t>
      </w:r>
      <w:r w:rsidR="004D1235" w:rsidRPr="004D1235">
        <w:t>196m</w:t>
      </w:r>
      <w:r w:rsidRPr="004D1235">
        <w:t xml:space="preserve"> versus £17</w:t>
      </w:r>
      <w:r w:rsidR="00937D81">
        <w:t>5</w:t>
      </w:r>
      <w:r w:rsidRPr="004D1235">
        <w:t xml:space="preserve">m assumed in the </w:t>
      </w:r>
      <w:r w:rsidR="0074197D">
        <w:t xml:space="preserve">updated </w:t>
      </w:r>
      <w:r w:rsidRPr="004D1235">
        <w:t>Final Determination).</w:t>
      </w:r>
      <w:r w:rsidRPr="004D1235">
        <w:rPr>
          <w:rStyle w:val="FootnoteReference"/>
        </w:rPr>
        <w:footnoteReference w:id="11"/>
      </w:r>
    </w:p>
    <w:p w14:paraId="12A3A71D" w14:textId="77777777" w:rsidR="009E5A35" w:rsidRDefault="009E5A35" w:rsidP="0059583E">
      <w:pPr>
        <w:jc w:val="both"/>
      </w:pPr>
    </w:p>
    <w:p w14:paraId="174F58AC" w14:textId="6F70850A" w:rsidR="00926827" w:rsidRDefault="00926827" w:rsidP="0059583E">
      <w:pPr>
        <w:keepNext/>
        <w:keepLines/>
        <w:jc w:val="both"/>
      </w:pPr>
      <w:r>
        <w:t>Scot</w:t>
      </w:r>
      <w:r w:rsidRPr="00FB4379">
        <w:t xml:space="preserve">tish Water </w:t>
      </w:r>
      <w:r w:rsidRPr="00A43E09">
        <w:t>ha</w:t>
      </w:r>
      <w:r w:rsidR="001A2E6B">
        <w:t>d</w:t>
      </w:r>
      <w:r w:rsidRPr="00A43E09">
        <w:t xml:space="preserve"> lower interest costs in</w:t>
      </w:r>
      <w:r w:rsidRPr="00FB4379">
        <w:t xml:space="preserve"> the year than was assumed in th</w:t>
      </w:r>
      <w:r w:rsidRPr="00E305C8">
        <w:t>e Final Determination</w:t>
      </w:r>
      <w:r w:rsidR="0078310C" w:rsidRPr="0078310C">
        <w:t>,</w:t>
      </w:r>
      <w:r w:rsidRPr="00E305C8">
        <w:t xml:space="preserve"> given that it has been able to refinance maturing legacy loans at lower interest rates</w:t>
      </w:r>
      <w:r w:rsidR="0078310C" w:rsidRPr="0078310C">
        <w:t>. Real</w:t>
      </w:r>
      <w:r w:rsidRPr="00E305C8">
        <w:t xml:space="preserve"> interest rates on new loans in 2023-24 </w:t>
      </w:r>
      <w:r w:rsidR="0078310C" w:rsidRPr="0078310C">
        <w:t>were also</w:t>
      </w:r>
      <w:r w:rsidRPr="00E305C8">
        <w:t xml:space="preserve"> lower than was assumed in the Final Determination.</w:t>
      </w:r>
    </w:p>
    <w:p w14:paraId="55E6F269" w14:textId="77777777" w:rsidR="00517AF2" w:rsidRDefault="00517AF2" w:rsidP="0059583E">
      <w:pPr>
        <w:keepNext/>
        <w:keepLines/>
        <w:jc w:val="both"/>
      </w:pPr>
    </w:p>
    <w:p w14:paraId="38AA8D6D" w14:textId="77777777" w:rsidR="00926827" w:rsidRDefault="00926827" w:rsidP="0059583E">
      <w:pPr>
        <w:keepNext/>
        <w:keepLines/>
        <w:jc w:val="both"/>
      </w:pPr>
      <w:r w:rsidRPr="001B5415">
        <w:t>Scottish Water paid no tax in the year.</w:t>
      </w:r>
    </w:p>
    <w:p w14:paraId="752D6468" w14:textId="77777777" w:rsidR="00517AF2" w:rsidRPr="00BF692D" w:rsidRDefault="00517AF2" w:rsidP="0059583E">
      <w:pPr>
        <w:jc w:val="both"/>
      </w:pPr>
    </w:p>
    <w:p w14:paraId="339CA7CC" w14:textId="1F58F013" w:rsidR="009E5A35" w:rsidRDefault="009E5A35" w:rsidP="0059583E">
      <w:pPr>
        <w:pStyle w:val="Heading2"/>
        <w:ind w:left="709" w:hanging="709"/>
        <w:jc w:val="both"/>
        <w:outlineLvl w:val="1"/>
      </w:pPr>
      <w:bookmarkStart w:id="18" w:name="_Toc183593907"/>
      <w:r w:rsidRPr="009E5A35">
        <w:t>Cash balance</w:t>
      </w:r>
      <w:bookmarkEnd w:id="18"/>
    </w:p>
    <w:p w14:paraId="54F6E8E4" w14:textId="497FB7C1" w:rsidR="00BD4578" w:rsidRDefault="00D05E00" w:rsidP="0059583E">
      <w:pPr>
        <w:ind w:right="-141"/>
        <w:jc w:val="both"/>
        <w:rPr>
          <w:rFonts w:cstheme="minorHAnsi"/>
        </w:rPr>
      </w:pPr>
      <w:r>
        <w:rPr>
          <w:rFonts w:cstheme="minorHAnsi"/>
        </w:rPr>
        <w:t xml:space="preserve">Scottish Water’s cash balance has reduced from £390m in 2022-23 to £280m by the end of 2023-24. This remains higher than the £94m assumed in the Final Determination. </w:t>
      </w:r>
      <w:r w:rsidR="007F4179">
        <w:rPr>
          <w:rFonts w:cstheme="minorHAnsi"/>
        </w:rPr>
        <w:fldChar w:fldCharType="begin"/>
      </w:r>
      <w:r w:rsidR="007F4179">
        <w:rPr>
          <w:rFonts w:cstheme="minorHAnsi"/>
        </w:rPr>
        <w:instrText xml:space="preserve"> REF _Ref181691969 \h </w:instrText>
      </w:r>
      <w:r w:rsidR="007F4179">
        <w:rPr>
          <w:rFonts w:cstheme="minorHAnsi"/>
        </w:rPr>
      </w:r>
      <w:r w:rsidR="007F4179">
        <w:rPr>
          <w:rFonts w:cstheme="minorHAnsi"/>
        </w:rPr>
        <w:fldChar w:fldCharType="separate"/>
      </w:r>
      <w:r w:rsidR="005A22AF" w:rsidRPr="007B1E5F">
        <w:rPr>
          <w:rFonts w:cstheme="minorHAnsi"/>
          <w:szCs w:val="24"/>
        </w:rPr>
        <w:t xml:space="preserve">Figure </w:t>
      </w:r>
      <w:r w:rsidR="005A22AF">
        <w:rPr>
          <w:rFonts w:cstheme="minorHAnsi"/>
          <w:noProof/>
          <w:szCs w:val="24"/>
        </w:rPr>
        <w:t>7</w:t>
      </w:r>
      <w:r w:rsidR="007F4179">
        <w:rPr>
          <w:rFonts w:cstheme="minorHAnsi"/>
        </w:rPr>
        <w:fldChar w:fldCharType="end"/>
      </w:r>
      <w:r w:rsidR="00067F7E">
        <w:rPr>
          <w:rFonts w:cstheme="minorHAnsi"/>
        </w:rPr>
        <w:t xml:space="preserve"> </w:t>
      </w:r>
      <w:r w:rsidR="006D43BE">
        <w:rPr>
          <w:rFonts w:cstheme="minorHAnsi"/>
        </w:rPr>
        <w:t xml:space="preserve">provides a reconciliation between the </w:t>
      </w:r>
      <w:r w:rsidR="004B26C9">
        <w:rPr>
          <w:rFonts w:cstheme="minorHAnsi"/>
        </w:rPr>
        <w:t xml:space="preserve">closing cash balance </w:t>
      </w:r>
      <w:r w:rsidR="00CF2655">
        <w:rPr>
          <w:rFonts w:cstheme="minorHAnsi"/>
        </w:rPr>
        <w:t xml:space="preserve">for 2023-24 </w:t>
      </w:r>
      <w:r w:rsidR="004B26C9">
        <w:rPr>
          <w:rFonts w:cstheme="minorHAnsi"/>
        </w:rPr>
        <w:t xml:space="preserve">assumed </w:t>
      </w:r>
      <w:r w:rsidR="00CF2655">
        <w:rPr>
          <w:rFonts w:cstheme="minorHAnsi"/>
        </w:rPr>
        <w:t>in the Final Determination and Scottish Water’s reported cash balance of £280m in 2023-24.</w:t>
      </w:r>
      <w:r w:rsidR="00067F7E">
        <w:rPr>
          <w:rFonts w:cstheme="minorHAnsi"/>
        </w:rPr>
        <w:t xml:space="preserve"> </w:t>
      </w:r>
    </w:p>
    <w:p w14:paraId="2DC53962" w14:textId="77777777" w:rsidR="00BD4578" w:rsidRDefault="00BD4578" w:rsidP="0059583E">
      <w:pPr>
        <w:ind w:right="-141"/>
        <w:jc w:val="both"/>
        <w:rPr>
          <w:rFonts w:cstheme="minorHAnsi"/>
        </w:rPr>
      </w:pPr>
    </w:p>
    <w:p w14:paraId="1FF9353F" w14:textId="77777777" w:rsidR="00D05E00" w:rsidRDefault="00D05E00" w:rsidP="0059583E">
      <w:pPr>
        <w:ind w:right="-141"/>
        <w:jc w:val="both"/>
      </w:pPr>
    </w:p>
    <w:p w14:paraId="367C7699" w14:textId="43B94A18" w:rsidR="00D05E00" w:rsidRDefault="00D05E00" w:rsidP="0059583E">
      <w:pPr>
        <w:pStyle w:val="Caption"/>
        <w:keepNext/>
        <w:jc w:val="both"/>
        <w:rPr>
          <w:rFonts w:cstheme="minorHAnsi"/>
          <w:sz w:val="24"/>
          <w:szCs w:val="24"/>
        </w:rPr>
      </w:pPr>
      <w:bookmarkStart w:id="19" w:name="_Ref181691969"/>
      <w:r w:rsidRPr="007B1E5F">
        <w:rPr>
          <w:rFonts w:cstheme="minorHAnsi"/>
          <w:sz w:val="24"/>
          <w:szCs w:val="24"/>
        </w:rPr>
        <w:t xml:space="preserve">Figure </w:t>
      </w:r>
      <w:r w:rsidRPr="007B1E5F">
        <w:rPr>
          <w:rFonts w:cstheme="minorHAnsi"/>
          <w:sz w:val="24"/>
          <w:szCs w:val="24"/>
        </w:rPr>
        <w:fldChar w:fldCharType="begin"/>
      </w:r>
      <w:r w:rsidRPr="007B1E5F">
        <w:rPr>
          <w:rFonts w:cstheme="minorHAnsi"/>
          <w:sz w:val="24"/>
          <w:szCs w:val="24"/>
        </w:rPr>
        <w:instrText xml:space="preserve"> SEQ Figure \* ARABIC </w:instrText>
      </w:r>
      <w:r w:rsidRPr="007B1E5F">
        <w:rPr>
          <w:rFonts w:cstheme="minorHAnsi"/>
          <w:sz w:val="24"/>
          <w:szCs w:val="24"/>
        </w:rPr>
        <w:fldChar w:fldCharType="separate"/>
      </w:r>
      <w:r w:rsidR="005A22AF">
        <w:rPr>
          <w:rFonts w:cstheme="minorHAnsi"/>
          <w:noProof/>
          <w:sz w:val="24"/>
          <w:szCs w:val="24"/>
        </w:rPr>
        <w:t>7</w:t>
      </w:r>
      <w:r w:rsidRPr="007B1E5F">
        <w:rPr>
          <w:rFonts w:cstheme="minorHAnsi"/>
          <w:sz w:val="24"/>
          <w:szCs w:val="24"/>
        </w:rPr>
        <w:fldChar w:fldCharType="end"/>
      </w:r>
      <w:bookmarkEnd w:id="19"/>
      <w:r w:rsidRPr="007B1E5F">
        <w:rPr>
          <w:rFonts w:cstheme="minorHAnsi"/>
          <w:sz w:val="24"/>
          <w:szCs w:val="24"/>
        </w:rPr>
        <w:t xml:space="preserve">: </w:t>
      </w:r>
      <w:r>
        <w:rPr>
          <w:rFonts w:cstheme="minorHAnsi"/>
          <w:sz w:val="24"/>
          <w:szCs w:val="24"/>
        </w:rPr>
        <w:t>Reconciliation between FD cash balance and actual cash balance in 2023-24</w:t>
      </w:r>
    </w:p>
    <w:p w14:paraId="51E3F88B" w14:textId="44A4DB7A" w:rsidR="00E3085F" w:rsidRPr="00E3085F" w:rsidRDefault="00E3085F" w:rsidP="00B50F9B">
      <w:r>
        <w:rPr>
          <w:noProof/>
        </w:rPr>
        <w:drawing>
          <wp:inline distT="0" distB="0" distL="0" distR="0" wp14:anchorId="7F81B27B" wp14:editId="79EAED77">
            <wp:extent cx="6200140" cy="3914140"/>
            <wp:effectExtent l="0" t="0" r="0" b="0"/>
            <wp:docPr id="7291058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0140" cy="3914140"/>
                    </a:xfrm>
                    <a:prstGeom prst="rect">
                      <a:avLst/>
                    </a:prstGeom>
                    <a:noFill/>
                  </pic:spPr>
                </pic:pic>
              </a:graphicData>
            </a:graphic>
          </wp:inline>
        </w:drawing>
      </w:r>
    </w:p>
    <w:p w14:paraId="1EA06AD6" w14:textId="77777777" w:rsidR="001A3031" w:rsidRDefault="001A3031" w:rsidP="00B50F9B">
      <w:pPr>
        <w:ind w:right="-141"/>
        <w:jc w:val="both"/>
      </w:pPr>
    </w:p>
    <w:p w14:paraId="11298EBD" w14:textId="6AC0B76E" w:rsidR="00CF2655" w:rsidRDefault="007F4179" w:rsidP="00CF2655">
      <w:pPr>
        <w:ind w:right="-141"/>
        <w:jc w:val="both"/>
        <w:rPr>
          <w:rFonts w:cstheme="minorHAnsi"/>
        </w:rPr>
      </w:pPr>
      <w:r>
        <w:rPr>
          <w:rFonts w:cstheme="minorHAnsi"/>
        </w:rPr>
        <w:fldChar w:fldCharType="begin"/>
      </w:r>
      <w:r>
        <w:rPr>
          <w:rFonts w:cstheme="minorHAnsi"/>
        </w:rPr>
        <w:instrText xml:space="preserve"> REF _Ref181691969 \h </w:instrText>
      </w:r>
      <w:r>
        <w:rPr>
          <w:rFonts w:cstheme="minorHAnsi"/>
        </w:rPr>
      </w:r>
      <w:r>
        <w:rPr>
          <w:rFonts w:cstheme="minorHAnsi"/>
        </w:rPr>
        <w:fldChar w:fldCharType="separate"/>
      </w:r>
      <w:r w:rsidR="005A22AF" w:rsidRPr="007B1E5F">
        <w:rPr>
          <w:rFonts w:cstheme="minorHAnsi"/>
          <w:szCs w:val="24"/>
        </w:rPr>
        <w:t xml:space="preserve">Figure </w:t>
      </w:r>
      <w:r w:rsidR="005A22AF">
        <w:rPr>
          <w:rFonts w:cstheme="minorHAnsi"/>
          <w:noProof/>
          <w:szCs w:val="24"/>
        </w:rPr>
        <w:t>7</w:t>
      </w:r>
      <w:r>
        <w:rPr>
          <w:rFonts w:cstheme="minorHAnsi"/>
        </w:rPr>
        <w:fldChar w:fldCharType="end"/>
      </w:r>
      <w:r>
        <w:rPr>
          <w:rFonts w:cstheme="minorHAnsi"/>
        </w:rPr>
        <w:t xml:space="preserve"> </w:t>
      </w:r>
      <w:r w:rsidR="00CF2655">
        <w:rPr>
          <w:rFonts w:cstheme="minorHAnsi"/>
        </w:rPr>
        <w:t xml:space="preserve">shows </w:t>
      </w:r>
      <w:r w:rsidR="00677D54">
        <w:rPr>
          <w:rFonts w:cstheme="minorHAnsi"/>
        </w:rPr>
        <w:t>the main factors resulting in Scottish Water having a higher cash balance than assumed:</w:t>
      </w:r>
    </w:p>
    <w:p w14:paraId="1F037E5C" w14:textId="17CEAE31" w:rsidR="0045568D" w:rsidRDefault="0045568D" w:rsidP="003A13A8">
      <w:pPr>
        <w:pStyle w:val="Bullet1"/>
        <w:numPr>
          <w:ilvl w:val="0"/>
          <w:numId w:val="14"/>
        </w:numPr>
      </w:pPr>
      <w:r>
        <w:t>lower investment</w:t>
      </w:r>
      <w:r w:rsidR="0052325B">
        <w:t xml:space="preserve"> of £61m</w:t>
      </w:r>
      <w:r w:rsidR="002801A1">
        <w:t>;</w:t>
      </w:r>
    </w:p>
    <w:p w14:paraId="35E1F63C" w14:textId="2377E903" w:rsidR="0045568D" w:rsidRDefault="0045568D" w:rsidP="003A13A8">
      <w:pPr>
        <w:pStyle w:val="Bullet1"/>
        <w:numPr>
          <w:ilvl w:val="0"/>
          <w:numId w:val="14"/>
        </w:numPr>
      </w:pPr>
      <w:r>
        <w:t>lower operating and PFI expenditure</w:t>
      </w:r>
      <w:r w:rsidR="0052325B">
        <w:t xml:space="preserve"> of £32m</w:t>
      </w:r>
      <w:r w:rsidR="002801A1">
        <w:t>;</w:t>
      </w:r>
    </w:p>
    <w:p w14:paraId="2415CC41" w14:textId="22837213" w:rsidR="0045568D" w:rsidRDefault="0045568D" w:rsidP="003A13A8">
      <w:pPr>
        <w:pStyle w:val="Bullet1"/>
        <w:numPr>
          <w:ilvl w:val="0"/>
          <w:numId w:val="14"/>
        </w:numPr>
      </w:pPr>
      <w:r>
        <w:t>lower interest and tax paid</w:t>
      </w:r>
      <w:r w:rsidR="0052325B">
        <w:t xml:space="preserve"> of £108m</w:t>
      </w:r>
      <w:r w:rsidR="002801A1">
        <w:t>;</w:t>
      </w:r>
    </w:p>
    <w:p w14:paraId="2D075878" w14:textId="05052105" w:rsidR="0045568D" w:rsidRDefault="0045568D" w:rsidP="003A13A8">
      <w:pPr>
        <w:pStyle w:val="Bullet1"/>
        <w:numPr>
          <w:ilvl w:val="0"/>
          <w:numId w:val="14"/>
        </w:numPr>
      </w:pPr>
      <w:r>
        <w:t>higher net borrowing</w:t>
      </w:r>
      <w:r w:rsidR="0052325B">
        <w:t xml:space="preserve"> of £20m</w:t>
      </w:r>
      <w:r w:rsidR="002801A1">
        <w:t>;</w:t>
      </w:r>
    </w:p>
    <w:p w14:paraId="162BE2FE" w14:textId="21C2ECBC" w:rsidR="0052325B" w:rsidRDefault="0052325B" w:rsidP="003A13A8">
      <w:pPr>
        <w:pStyle w:val="Bullet1"/>
        <w:numPr>
          <w:ilvl w:val="0"/>
          <w:numId w:val="14"/>
        </w:numPr>
      </w:pPr>
      <w:r>
        <w:t>movement in working capital and other items (e.g. infrastructure charge income and disposal proceeds)</w:t>
      </w:r>
      <w:r w:rsidR="003A79DD">
        <w:t xml:space="preserve"> of £95m</w:t>
      </w:r>
      <w:r w:rsidR="002801A1">
        <w:t>; and</w:t>
      </w:r>
    </w:p>
    <w:p w14:paraId="05DD9FD8" w14:textId="475A37EA" w:rsidR="0052325B" w:rsidRDefault="00CF2655" w:rsidP="003A13A8">
      <w:pPr>
        <w:pStyle w:val="Bullet1"/>
        <w:numPr>
          <w:ilvl w:val="0"/>
          <w:numId w:val="14"/>
        </w:numPr>
      </w:pPr>
      <w:r>
        <w:t xml:space="preserve">completion investment from SRC15 programme </w:t>
      </w:r>
      <w:r w:rsidR="00840C78">
        <w:t>that is yet to be delivered</w:t>
      </w:r>
      <w:r w:rsidR="002801A1">
        <w:t xml:space="preserve"> of £56</w:t>
      </w:r>
      <w:r>
        <w:t>m</w:t>
      </w:r>
      <w:r w:rsidR="002801A1">
        <w:t>.</w:t>
      </w:r>
      <w:r>
        <w:t xml:space="preserve"> </w:t>
      </w:r>
    </w:p>
    <w:p w14:paraId="06B01DE9" w14:textId="77777777" w:rsidR="0052325B" w:rsidRDefault="0052325B" w:rsidP="00C47EEB">
      <w:pPr>
        <w:pStyle w:val="Bullet1"/>
      </w:pPr>
    </w:p>
    <w:p w14:paraId="3CC2C1A4" w14:textId="5E3501D6" w:rsidR="00840C78" w:rsidRDefault="002801A1" w:rsidP="0052325B">
      <w:pPr>
        <w:pStyle w:val="Bullet1"/>
        <w:ind w:left="0" w:firstLine="0"/>
      </w:pPr>
      <w:r>
        <w:t>The</w:t>
      </w:r>
      <w:r w:rsidR="006169CC">
        <w:t xml:space="preserve"> combined effect of these</w:t>
      </w:r>
      <w:r>
        <w:t xml:space="preserve"> factors </w:t>
      </w:r>
      <w:r w:rsidR="006169CC">
        <w:t>is</w:t>
      </w:r>
      <w:r w:rsidR="00CF2655">
        <w:t xml:space="preserve"> offset by</w:t>
      </w:r>
      <w:r w:rsidR="006169CC">
        <w:t xml:space="preserve"> Scottish Water having</w:t>
      </w:r>
      <w:r w:rsidR="00CF2655">
        <w:t xml:space="preserve"> lower </w:t>
      </w:r>
      <w:r w:rsidR="00840C78">
        <w:t xml:space="preserve">revenue </w:t>
      </w:r>
      <w:r w:rsidR="00CF2655">
        <w:t>than</w:t>
      </w:r>
      <w:r w:rsidR="00840C78">
        <w:t xml:space="preserve"> was</w:t>
      </w:r>
      <w:r w:rsidR="00CF2655">
        <w:t xml:space="preserve"> assumed in the Final Determination</w:t>
      </w:r>
      <w:r w:rsidR="00840C78">
        <w:t xml:space="preserve"> of £185m</w:t>
      </w:r>
      <w:r w:rsidR="00CF2655">
        <w:t>.</w:t>
      </w:r>
      <w:r w:rsidR="00840C78">
        <w:t xml:space="preserve"> </w:t>
      </w:r>
      <w:r w:rsidR="00F7347D">
        <w:t>The lower revenue is the</w:t>
      </w:r>
      <w:r w:rsidR="00840C78">
        <w:t xml:space="preserve"> impact of Scottish Water’s charging decisions to date</w:t>
      </w:r>
      <w:r w:rsidR="00F7347D">
        <w:t>, which has</w:t>
      </w:r>
      <w:r w:rsidR="00840C78">
        <w:t xml:space="preserve"> reduc</w:t>
      </w:r>
      <w:r w:rsidR="00F7347D">
        <w:t>ed</w:t>
      </w:r>
      <w:r w:rsidR="00840C78">
        <w:t xml:space="preserve"> the cash available for investment in outturn prices.</w:t>
      </w:r>
    </w:p>
    <w:p w14:paraId="3D0FF9A9" w14:textId="36C849C4" w:rsidR="00CF2655" w:rsidRDefault="00840C78" w:rsidP="001F073B">
      <w:pPr>
        <w:pStyle w:val="Bullet1"/>
        <w:ind w:left="0" w:firstLine="0"/>
      </w:pPr>
      <w:r>
        <w:t xml:space="preserve"> </w:t>
      </w:r>
    </w:p>
    <w:p w14:paraId="425D549A" w14:textId="77777777" w:rsidR="009E5A35" w:rsidRDefault="009E5A35" w:rsidP="001D1FE2">
      <w:pPr>
        <w:pStyle w:val="Heading1"/>
        <w:keepNext/>
        <w:numPr>
          <w:ilvl w:val="0"/>
          <w:numId w:val="6"/>
        </w:numPr>
        <w:ind w:left="357" w:hanging="357"/>
        <w:outlineLvl w:val="0"/>
      </w:pPr>
      <w:bookmarkStart w:id="20" w:name="_Ref179207437"/>
      <w:bookmarkStart w:id="21" w:name="_Toc183593908"/>
      <w:r w:rsidRPr="009E5A35">
        <w:lastRenderedPageBreak/>
        <w:t>The delivery of key outcomes for customers and the environment</w:t>
      </w:r>
      <w:bookmarkEnd w:id="20"/>
      <w:bookmarkEnd w:id="21"/>
    </w:p>
    <w:p w14:paraId="37FE6A8E" w14:textId="697E3028" w:rsidR="002E334E" w:rsidRPr="0030124D" w:rsidRDefault="00133368" w:rsidP="002E334E">
      <w:r>
        <w:rPr>
          <w:rFonts w:cstheme="minorHAnsi"/>
        </w:rPr>
        <w:t xml:space="preserve">As outlined in Section </w:t>
      </w:r>
      <w:r>
        <w:rPr>
          <w:rFonts w:cstheme="minorHAnsi"/>
        </w:rPr>
        <w:fldChar w:fldCharType="begin"/>
      </w:r>
      <w:r>
        <w:rPr>
          <w:rFonts w:cstheme="minorHAnsi"/>
        </w:rPr>
        <w:instrText xml:space="preserve"> REF _Ref179208147 \r \h </w:instrText>
      </w:r>
      <w:r w:rsidR="0059583E">
        <w:rPr>
          <w:rFonts w:cstheme="minorHAnsi"/>
        </w:rPr>
        <w:instrText xml:space="preserve"> \* MERGEFORMAT </w:instrText>
      </w:r>
      <w:r>
        <w:rPr>
          <w:rFonts w:cstheme="minorHAnsi"/>
        </w:rPr>
      </w:r>
      <w:r>
        <w:rPr>
          <w:rFonts w:cstheme="minorHAnsi"/>
        </w:rPr>
        <w:fldChar w:fldCharType="separate"/>
      </w:r>
      <w:r w:rsidR="005A22AF">
        <w:rPr>
          <w:rFonts w:cstheme="minorHAnsi"/>
        </w:rPr>
        <w:t>1</w:t>
      </w:r>
      <w:r>
        <w:rPr>
          <w:rFonts w:cstheme="minorHAnsi"/>
        </w:rPr>
        <w:fldChar w:fldCharType="end"/>
      </w:r>
      <w:r>
        <w:rPr>
          <w:rFonts w:cstheme="minorHAnsi"/>
        </w:rPr>
        <w:t>,</w:t>
      </w:r>
      <w:r w:rsidR="00D57D57">
        <w:rPr>
          <w:rFonts w:cstheme="minorHAnsi"/>
        </w:rPr>
        <w:t xml:space="preserve"> </w:t>
      </w:r>
      <w:r w:rsidR="00734006">
        <w:rPr>
          <w:rFonts w:cstheme="minorHAnsi"/>
        </w:rPr>
        <w:t xml:space="preserve">a detailed investment baseline was not set at the beginning of the SRC21 period. Instead, </w:t>
      </w:r>
      <w:r w:rsidR="007A070A">
        <w:rPr>
          <w:rFonts w:cstheme="minorHAnsi"/>
        </w:rPr>
        <w:t>the investment baseline</w:t>
      </w:r>
      <w:r w:rsidR="00734006" w:rsidRPr="00734006">
        <w:rPr>
          <w:rFonts w:cstheme="minorHAnsi"/>
        </w:rPr>
        <w:t xml:space="preserve"> was based on top-down </w:t>
      </w:r>
      <w:r w:rsidR="00734006" w:rsidRPr="0030124D">
        <w:t>allowances</w:t>
      </w:r>
      <w:r w:rsidR="002E334E" w:rsidRPr="0030124D">
        <w:t xml:space="preserve"> for asset replacement investment, enhancement and growth. We expected</w:t>
      </w:r>
      <w:r w:rsidR="00734006" w:rsidRPr="0030124D">
        <w:t xml:space="preserve"> the </w:t>
      </w:r>
      <w:r w:rsidR="002E334E" w:rsidRPr="0030124D">
        <w:t xml:space="preserve">detailed bottom-up evidence to follow </w:t>
      </w:r>
      <w:r w:rsidR="002E334E">
        <w:t>through</w:t>
      </w:r>
      <w:r w:rsidR="00734006">
        <w:t xml:space="preserve"> the </w:t>
      </w:r>
      <w:r w:rsidR="002E334E">
        <w:t>then</w:t>
      </w:r>
      <w:r w:rsidR="002E334E" w:rsidRPr="0030124D">
        <w:t xml:space="preserve"> investment planning and prioritisation group (IPPG, which is now part of the </w:t>
      </w:r>
      <w:r w:rsidR="002E334E">
        <w:t>Scottish Government Investment Group, SGIG</w:t>
      </w:r>
      <w:r w:rsidR="002E334E" w:rsidRPr="0030124D">
        <w:t xml:space="preserve">) which would define </w:t>
      </w:r>
      <w:r w:rsidR="00734006" w:rsidRPr="0030124D">
        <w:t xml:space="preserve">the investment programme </w:t>
      </w:r>
      <w:r w:rsidR="002E334E" w:rsidRPr="0030124D">
        <w:t>throughout the regulatory period.</w:t>
      </w:r>
      <w:r w:rsidR="002E334E" w:rsidRPr="0030124D">
        <w:rPr>
          <w:rStyle w:val="FootnoteReference"/>
        </w:rPr>
        <w:footnoteReference w:id="12"/>
      </w:r>
      <w:r w:rsidR="002E334E" w:rsidRPr="0030124D">
        <w:t xml:space="preserve"> This marked a departure from the previous approach, which was based on forward-looking bottom-up evidence of the required investment programme.</w:t>
      </w:r>
    </w:p>
    <w:p w14:paraId="7177B1BB" w14:textId="77777777" w:rsidR="00B24A36" w:rsidRDefault="00B24A36" w:rsidP="0059583E">
      <w:pPr>
        <w:jc w:val="both"/>
        <w:rPr>
          <w:rFonts w:cstheme="minorHAnsi"/>
        </w:rPr>
      </w:pPr>
    </w:p>
    <w:p w14:paraId="7D873B46" w14:textId="665B74B6" w:rsidR="00A57512" w:rsidRPr="00AF2D99" w:rsidRDefault="00B24A36" w:rsidP="0059583E">
      <w:pPr>
        <w:jc w:val="both"/>
      </w:pPr>
      <w:r>
        <w:rPr>
          <w:rFonts w:cstheme="minorHAnsi"/>
        </w:rPr>
        <w:t>Following the final determination</w:t>
      </w:r>
      <w:r w:rsidR="006D3059">
        <w:rPr>
          <w:rFonts w:cstheme="minorHAnsi"/>
        </w:rPr>
        <w:t>, we requested that Scottish Water provide us with an Information Return</w:t>
      </w:r>
      <w:r w:rsidR="001039A4">
        <w:rPr>
          <w:rFonts w:cstheme="minorHAnsi"/>
        </w:rPr>
        <w:t>.</w:t>
      </w:r>
      <w:r w:rsidR="00D013AF">
        <w:rPr>
          <w:rStyle w:val="FootnoteReference"/>
          <w:rFonts w:cstheme="minorHAnsi"/>
        </w:rPr>
        <w:footnoteReference w:id="13"/>
      </w:r>
      <w:r w:rsidR="006B283D">
        <w:rPr>
          <w:rFonts w:cstheme="minorHAnsi"/>
        </w:rPr>
        <w:t xml:space="preserve"> This included </w:t>
      </w:r>
      <w:r w:rsidR="00AD7B3D">
        <w:rPr>
          <w:rFonts w:cstheme="minorHAnsi"/>
        </w:rPr>
        <w:t>providing</w:t>
      </w:r>
      <w:r w:rsidR="00357E31">
        <w:rPr>
          <w:rFonts w:cstheme="minorHAnsi"/>
        </w:rPr>
        <w:t xml:space="preserve"> </w:t>
      </w:r>
      <w:r w:rsidR="00A57512" w:rsidRPr="00AF2D99">
        <w:t>an investment ‘baseline’ or forecast for the remainder of the regulatory control period, covering:</w:t>
      </w:r>
      <w:r w:rsidR="008B374C">
        <w:rPr>
          <w:rStyle w:val="FootnoteReference"/>
        </w:rPr>
        <w:footnoteReference w:id="14"/>
      </w:r>
    </w:p>
    <w:p w14:paraId="5A5F4FF1" w14:textId="1C0F558E" w:rsidR="00A57512" w:rsidRPr="00AF2D99" w:rsidRDefault="00A57512" w:rsidP="003A13A8">
      <w:pPr>
        <w:pStyle w:val="Bullet1"/>
        <w:numPr>
          <w:ilvl w:val="0"/>
          <w:numId w:val="15"/>
        </w:numPr>
        <w:jc w:val="both"/>
      </w:pPr>
      <w:r w:rsidRPr="00AF2D99">
        <w:t xml:space="preserve">what Scottish Water is planning to deliver in terms of projects or programmes with tangible investment outputs and measurable contribution to outcomes;  </w:t>
      </w:r>
    </w:p>
    <w:p w14:paraId="158AB602" w14:textId="793BA8CB" w:rsidR="00A57512" w:rsidRPr="00AF2D99" w:rsidRDefault="00A57512" w:rsidP="003A13A8">
      <w:pPr>
        <w:pStyle w:val="Bullet1"/>
        <w:numPr>
          <w:ilvl w:val="0"/>
          <w:numId w:val="15"/>
        </w:numPr>
        <w:jc w:val="both"/>
      </w:pPr>
      <w:r w:rsidRPr="00AF2D99">
        <w:t>what benefits will be delivered in terms of improvements to levels of service;</w:t>
      </w:r>
    </w:p>
    <w:p w14:paraId="05751BF5" w14:textId="1C64C2ED" w:rsidR="00A57512" w:rsidRPr="00AF2D99" w:rsidRDefault="00A57512" w:rsidP="003A13A8">
      <w:pPr>
        <w:pStyle w:val="Bullet1"/>
        <w:numPr>
          <w:ilvl w:val="0"/>
          <w:numId w:val="15"/>
        </w:numPr>
        <w:jc w:val="both"/>
      </w:pPr>
      <w:r w:rsidRPr="00AF2D99">
        <w:t xml:space="preserve">at what expected cost; and </w:t>
      </w:r>
    </w:p>
    <w:p w14:paraId="18DF96E2" w14:textId="256246E1" w:rsidR="00357E31" w:rsidRPr="00AF2D99" w:rsidRDefault="00A57512" w:rsidP="003A13A8">
      <w:pPr>
        <w:pStyle w:val="Bullet1"/>
        <w:numPr>
          <w:ilvl w:val="0"/>
          <w:numId w:val="15"/>
        </w:numPr>
        <w:jc w:val="both"/>
      </w:pPr>
      <w:r w:rsidRPr="00AF2D99">
        <w:t>by when, with intermediate dates to allow progress to be understood.</w:t>
      </w:r>
    </w:p>
    <w:p w14:paraId="29CDCA0D" w14:textId="77777777" w:rsidR="00150CD4" w:rsidRPr="00AF2D99" w:rsidRDefault="00150CD4" w:rsidP="0059583E">
      <w:pPr>
        <w:pStyle w:val="Bullet1"/>
        <w:ind w:left="0" w:firstLine="0"/>
        <w:jc w:val="both"/>
      </w:pPr>
    </w:p>
    <w:p w14:paraId="2E57A323" w14:textId="50ECDC57" w:rsidR="00150CD4" w:rsidRPr="00AF2D99" w:rsidRDefault="00150CD4" w:rsidP="0059583E">
      <w:pPr>
        <w:pStyle w:val="Bullet1"/>
        <w:ind w:left="0" w:firstLine="0"/>
        <w:jc w:val="both"/>
      </w:pPr>
      <w:r w:rsidRPr="00AF2D99">
        <w:t>Such a ‘baseline’ or forecast would allow stakeholders to understand better:</w:t>
      </w:r>
    </w:p>
    <w:p w14:paraId="53AA0969" w14:textId="77777777" w:rsidR="00150CD4" w:rsidRPr="00AF2D99" w:rsidRDefault="00150CD4" w:rsidP="003A13A8">
      <w:pPr>
        <w:pStyle w:val="Bullet1"/>
        <w:numPr>
          <w:ilvl w:val="0"/>
          <w:numId w:val="16"/>
        </w:numPr>
        <w:jc w:val="both"/>
      </w:pPr>
      <w:r w:rsidRPr="00AF2D99">
        <w:t>future changes to the investment programme, recognising that investment priorities may change as further and better information becomes available; and</w:t>
      </w:r>
    </w:p>
    <w:p w14:paraId="3D37F2F6" w14:textId="77777777" w:rsidR="00150CD4" w:rsidRPr="00AF2D99" w:rsidRDefault="00150CD4" w:rsidP="003A13A8">
      <w:pPr>
        <w:pStyle w:val="Bullet1"/>
        <w:numPr>
          <w:ilvl w:val="0"/>
          <w:numId w:val="16"/>
        </w:numPr>
        <w:jc w:val="both"/>
      </w:pPr>
      <w:r w:rsidRPr="00AF2D99">
        <w:t xml:space="preserve">the extent of progress on transitioning towards an increased level of asset replacement investment and any underinvestment in the existing asset base that may be being generated in the meantime and will therefore need to be met by future customers. </w:t>
      </w:r>
    </w:p>
    <w:p w14:paraId="5F080C43" w14:textId="77777777" w:rsidR="002A7CFD" w:rsidRPr="00AF2D99" w:rsidRDefault="002A7CFD" w:rsidP="0059583E">
      <w:pPr>
        <w:pStyle w:val="Bullet1"/>
        <w:jc w:val="both"/>
      </w:pPr>
    </w:p>
    <w:p w14:paraId="244AC52A" w14:textId="33B029AE" w:rsidR="007D6466" w:rsidRDefault="00F42484" w:rsidP="0059583E">
      <w:pPr>
        <w:jc w:val="both"/>
      </w:pPr>
      <w:r>
        <w:t>Scottish Water has</w:t>
      </w:r>
      <w:r w:rsidR="00B07951">
        <w:t xml:space="preserve"> provided </w:t>
      </w:r>
      <w:r>
        <w:t>a baseline</w:t>
      </w:r>
      <w:r w:rsidR="005768F6">
        <w:t xml:space="preserve"> based on </w:t>
      </w:r>
      <w:r>
        <w:t>its</w:t>
      </w:r>
      <w:r w:rsidR="005768F6">
        <w:t xml:space="preserve"> Investment Planning Scenario </w:t>
      </w:r>
      <w:r w:rsidR="00B8388B">
        <w:t xml:space="preserve">(IPS) </w:t>
      </w:r>
      <w:r>
        <w:t xml:space="preserve">from </w:t>
      </w:r>
      <w:r w:rsidR="0020625B">
        <w:t xml:space="preserve">early </w:t>
      </w:r>
      <w:r w:rsidR="000174F8">
        <w:t>2024</w:t>
      </w:r>
      <w:r w:rsidR="00DD30D1">
        <w:t xml:space="preserve"> (which </w:t>
      </w:r>
      <w:r w:rsidR="00642115">
        <w:t xml:space="preserve">Scottish Water </w:t>
      </w:r>
      <w:r w:rsidR="00DD30D1">
        <w:t xml:space="preserve">defines as </w:t>
      </w:r>
      <w:r w:rsidR="004100DE" w:rsidRPr="004100DE">
        <w:t>IPS 24.1). We will use this IPS to understand</w:t>
      </w:r>
      <w:r w:rsidR="004100DE">
        <w:t xml:space="preserve"> and comment on</w:t>
      </w:r>
      <w:r w:rsidR="00BD30A0">
        <w:t xml:space="preserve"> Scot</w:t>
      </w:r>
      <w:r w:rsidR="004100DE">
        <w:t>tish Water’s performance for the remainder</w:t>
      </w:r>
      <w:r w:rsidR="00BD658B">
        <w:t xml:space="preserve"> </w:t>
      </w:r>
      <w:r w:rsidR="008317C2">
        <w:t>of</w:t>
      </w:r>
      <w:r w:rsidR="00BD658B">
        <w:t xml:space="preserve"> the SRC21 period</w:t>
      </w:r>
      <w:r w:rsidR="00857C9C">
        <w:t>.</w:t>
      </w:r>
    </w:p>
    <w:p w14:paraId="0E295956" w14:textId="77777777" w:rsidR="007D6466" w:rsidRDefault="007D6466" w:rsidP="0059583E">
      <w:pPr>
        <w:jc w:val="both"/>
      </w:pPr>
    </w:p>
    <w:p w14:paraId="2388326D" w14:textId="77777777" w:rsidR="00042257" w:rsidRDefault="00042257" w:rsidP="0059583E">
      <w:pPr>
        <w:jc w:val="both"/>
      </w:pPr>
    </w:p>
    <w:p w14:paraId="21DDECC6" w14:textId="5BBF3EA9" w:rsidR="005A7AF5" w:rsidRPr="00D24F54" w:rsidRDefault="00295C95" w:rsidP="0059583E">
      <w:pPr>
        <w:jc w:val="both"/>
      </w:pPr>
      <w:r>
        <w:rPr>
          <w:rStyle w:val="ui-provider"/>
        </w:rPr>
        <w:lastRenderedPageBreak/>
        <w:t xml:space="preserve">The </w:t>
      </w:r>
      <w:r w:rsidR="00727473" w:rsidRPr="00292A19">
        <w:t>draft methodology</w:t>
      </w:r>
      <w:r w:rsidR="00727473">
        <w:t xml:space="preserve"> </w:t>
      </w:r>
      <w:r w:rsidR="00727473" w:rsidRPr="00292A19">
        <w:t xml:space="preserve">sets out the importance of Scottish Water </w:t>
      </w:r>
      <w:r>
        <w:t>submitting</w:t>
      </w:r>
      <w:r w:rsidR="00727473" w:rsidRPr="00292A19">
        <w:t xml:space="preserve"> a business plan </w:t>
      </w:r>
      <w:r>
        <w:t>that includes</w:t>
      </w:r>
      <w:r w:rsidR="00727473" w:rsidRPr="00292A19">
        <w:t xml:space="preserve"> a forward-looking plan for investment as an initial investment baseline. </w:t>
      </w:r>
      <w:r w:rsidR="00727473" w:rsidRPr="009C332D">
        <w:t xml:space="preserve">We recognise that the scope and cost of some investment projects may change as they progress through the investment planning process. </w:t>
      </w:r>
      <w:r w:rsidR="00727473" w:rsidRPr="00292A19">
        <w:t>However, we consider that the</w:t>
      </w:r>
      <w:r w:rsidR="00727473" w:rsidRPr="00B750AE">
        <w:t xml:space="preserve"> flexibility of the investment planning process places the onus on Scottish Water to explain and document any changes to the investment baseline over the regulatory period </w:t>
      </w:r>
      <w:r w:rsidR="00727473" w:rsidRPr="00292A19">
        <w:t>to</w:t>
      </w:r>
      <w:r w:rsidR="00727473" w:rsidRPr="00B750AE">
        <w:t xml:space="preserve"> </w:t>
      </w:r>
      <w:r w:rsidR="00727473" w:rsidRPr="00292A19">
        <w:t>enable</w:t>
      </w:r>
      <w:r w:rsidR="00727473" w:rsidRPr="00B750AE">
        <w:t xml:space="preserve"> </w:t>
      </w:r>
      <w:r w:rsidR="00727473" w:rsidRPr="00292A19">
        <w:t xml:space="preserve">us and other </w:t>
      </w:r>
      <w:r w:rsidR="00727473" w:rsidRPr="00B750AE">
        <w:t>stakeholders to hold Scottish Water to account for delivery on behalf of customers.</w:t>
      </w:r>
      <w:r w:rsidR="00CE161F">
        <w:t xml:space="preserve"> </w:t>
      </w:r>
      <w:r w:rsidR="00F35BD1">
        <w:rPr>
          <w:rStyle w:val="ui-provider"/>
        </w:rPr>
        <w:t>The d</w:t>
      </w:r>
      <w:r w:rsidR="00D039E8">
        <w:rPr>
          <w:rStyle w:val="ui-provider"/>
        </w:rPr>
        <w:t xml:space="preserve">raft methodology for </w:t>
      </w:r>
      <w:r w:rsidR="00F32DF2">
        <w:rPr>
          <w:rStyle w:val="ui-provider"/>
        </w:rPr>
        <w:t>SRC27</w:t>
      </w:r>
      <w:r w:rsidR="00D039E8">
        <w:rPr>
          <w:rStyle w:val="ui-provider"/>
        </w:rPr>
        <w:t xml:space="preserve"> has reiterated the importance of the baseline for investment projects</w:t>
      </w:r>
      <w:r w:rsidR="00A83C5B" w:rsidRPr="00D24F54">
        <w:t>.</w:t>
      </w:r>
      <w:r w:rsidR="00A83C5B">
        <w:rPr>
          <w:rStyle w:val="FootnoteReference"/>
          <w:rFonts w:cstheme="minorHAnsi"/>
        </w:rPr>
        <w:footnoteReference w:id="15"/>
      </w:r>
    </w:p>
    <w:p w14:paraId="18F5C18A" w14:textId="77777777" w:rsidR="00F93093" w:rsidRPr="00F93093" w:rsidRDefault="00F93093" w:rsidP="0059583E">
      <w:pPr>
        <w:pStyle w:val="Heading2"/>
        <w:numPr>
          <w:ilvl w:val="0"/>
          <w:numId w:val="0"/>
        </w:numPr>
        <w:jc w:val="both"/>
        <w:rPr>
          <w:rFonts w:cstheme="minorHAnsi"/>
          <w:color w:val="auto"/>
          <w:sz w:val="24"/>
          <w:szCs w:val="22"/>
        </w:rPr>
      </w:pPr>
    </w:p>
    <w:p w14:paraId="4BB2A9E8" w14:textId="0AE1E43C" w:rsidR="009E5A35" w:rsidRDefault="009E5A35" w:rsidP="0059583E">
      <w:pPr>
        <w:pStyle w:val="Heading2"/>
        <w:ind w:left="709" w:hanging="709"/>
        <w:jc w:val="both"/>
        <w:outlineLvl w:val="1"/>
      </w:pPr>
      <w:bookmarkStart w:id="22" w:name="_Toc183593909"/>
      <w:r w:rsidRPr="009E5A35">
        <w:t>Delivery of investment projects</w:t>
      </w:r>
      <w:bookmarkEnd w:id="22"/>
    </w:p>
    <w:p w14:paraId="0245DB4D" w14:textId="2DF5CF62" w:rsidR="00A30F71" w:rsidRPr="00997DEB" w:rsidRDefault="00A30F71" w:rsidP="0059583E">
      <w:pPr>
        <w:pStyle w:val="Heading30"/>
        <w:jc w:val="both"/>
      </w:pPr>
      <w:r w:rsidRPr="00997DEB">
        <w:t>I</w:t>
      </w:r>
      <w:r w:rsidR="00FF4811">
        <w:t>ndicator of progress o</w:t>
      </w:r>
      <w:r w:rsidR="0037527B">
        <w:t>n</w:t>
      </w:r>
      <w:r w:rsidR="00FF4811">
        <w:t xml:space="preserve"> overall delivery</w:t>
      </w:r>
    </w:p>
    <w:p w14:paraId="4CFAD8BC" w14:textId="7DE18C41" w:rsidR="00A30F71" w:rsidRPr="002B18FF" w:rsidRDefault="00E61292" w:rsidP="0059583E">
      <w:pPr>
        <w:ind w:right="-141"/>
        <w:jc w:val="both"/>
        <w:rPr>
          <w:rFonts w:cstheme="minorHAnsi"/>
        </w:rPr>
      </w:pPr>
      <w:bookmarkStart w:id="23" w:name="_Hlk179190533"/>
      <w:r>
        <w:rPr>
          <w:rFonts w:cstheme="minorHAnsi"/>
        </w:rPr>
        <w:t>Scottish Water’s</w:t>
      </w:r>
      <w:r w:rsidR="00A30F71" w:rsidRPr="002B18FF">
        <w:rPr>
          <w:rFonts w:cstheme="minorHAnsi"/>
        </w:rPr>
        <w:t xml:space="preserve"> Indicator of Progress o</w:t>
      </w:r>
      <w:r w:rsidR="0037527B">
        <w:rPr>
          <w:rFonts w:cstheme="minorHAnsi"/>
        </w:rPr>
        <w:t>n</w:t>
      </w:r>
      <w:r w:rsidR="00A30F71" w:rsidRPr="002B18FF">
        <w:rPr>
          <w:rFonts w:cstheme="minorHAnsi"/>
        </w:rPr>
        <w:t xml:space="preserve"> Overall Delivery (IPOD) provides a high-level measurement of Scottish Water’s progress in delivering </w:t>
      </w:r>
      <w:bookmarkEnd w:id="23"/>
      <w:r w:rsidR="00A30F71" w:rsidRPr="002B18FF">
        <w:rPr>
          <w:rFonts w:cstheme="minorHAnsi"/>
        </w:rPr>
        <w:t xml:space="preserve">the projects over £1m. It assesses the progress of these investment projects monitored across 3 delivery gates: Start-on-site (SOS), Acceptance (Gate 100), and Financial Completion (Gate 110). When a project passes a gate, 1 point is added to the IPOD measure. The overall capital programme is considered ‘on track’ if </w:t>
      </w:r>
      <w:r w:rsidR="005F1D20">
        <w:rPr>
          <w:rFonts w:cstheme="minorHAnsi"/>
        </w:rPr>
        <w:t xml:space="preserve">the </w:t>
      </w:r>
      <w:r w:rsidR="00A30F71" w:rsidRPr="002B18FF">
        <w:rPr>
          <w:rFonts w:cstheme="minorHAnsi"/>
        </w:rPr>
        <w:t xml:space="preserve">IPOD </w:t>
      </w:r>
      <w:r w:rsidR="005F1D20">
        <w:rPr>
          <w:rFonts w:cstheme="minorHAnsi"/>
        </w:rPr>
        <w:t xml:space="preserve">score </w:t>
      </w:r>
      <w:r w:rsidR="00A30F71" w:rsidRPr="002B18FF">
        <w:rPr>
          <w:rFonts w:cstheme="minorHAnsi"/>
        </w:rPr>
        <w:t xml:space="preserve">is within the target range. The lower and upper limit of the target range is the IPOD score of the previous and subsequent quarter respectively </w:t>
      </w:r>
      <w:r w:rsidR="00321F78">
        <w:rPr>
          <w:rFonts w:cstheme="minorHAnsi"/>
        </w:rPr>
        <w:t>based on Scottish Water’s forecasts</w:t>
      </w:r>
      <w:r w:rsidR="00A30F71" w:rsidRPr="002B18FF">
        <w:rPr>
          <w:rFonts w:cstheme="minorHAnsi"/>
        </w:rPr>
        <w:t xml:space="preserve"> when the projects were added to the Committed List. </w:t>
      </w:r>
      <w:r w:rsidR="00321F78">
        <w:rPr>
          <w:rFonts w:cstheme="minorHAnsi"/>
        </w:rPr>
        <w:t xml:space="preserve">This means that </w:t>
      </w:r>
      <w:r w:rsidR="003165E3">
        <w:rPr>
          <w:rFonts w:cstheme="minorHAnsi"/>
        </w:rPr>
        <w:t>the target range represents</w:t>
      </w:r>
      <w:r w:rsidR="00321F78">
        <w:rPr>
          <w:rFonts w:cstheme="minorHAnsi"/>
        </w:rPr>
        <w:t xml:space="preserve"> </w:t>
      </w:r>
      <w:r w:rsidR="00124A31">
        <w:rPr>
          <w:rFonts w:cstheme="minorHAnsi"/>
        </w:rPr>
        <w:t xml:space="preserve">+/- 3 months around Scottish Water’s </w:t>
      </w:r>
      <w:r w:rsidR="003165E3">
        <w:rPr>
          <w:rFonts w:cstheme="minorHAnsi"/>
        </w:rPr>
        <w:t>delivery forecasts</w:t>
      </w:r>
      <w:r w:rsidR="00124A31">
        <w:rPr>
          <w:rFonts w:cstheme="minorHAnsi"/>
        </w:rPr>
        <w:t>.</w:t>
      </w:r>
    </w:p>
    <w:p w14:paraId="4E59943E" w14:textId="77777777" w:rsidR="00A30F71" w:rsidRPr="002B18FF" w:rsidRDefault="00A30F71" w:rsidP="0059583E">
      <w:pPr>
        <w:ind w:right="-141"/>
        <w:jc w:val="both"/>
        <w:rPr>
          <w:rFonts w:cstheme="minorHAnsi"/>
        </w:rPr>
      </w:pPr>
    </w:p>
    <w:p w14:paraId="5D98E73D" w14:textId="77777777" w:rsidR="00A30F71" w:rsidRDefault="00A30F71" w:rsidP="0059583E">
      <w:pPr>
        <w:ind w:right="-141"/>
        <w:jc w:val="both"/>
        <w:rPr>
          <w:rFonts w:cstheme="minorHAnsi"/>
        </w:rPr>
      </w:pPr>
      <w:r w:rsidRPr="002B18FF">
        <w:rPr>
          <w:rFonts w:cstheme="minorHAnsi"/>
        </w:rPr>
        <w:t xml:space="preserve">The IPOD indicator as of 31 March 2024 </w:t>
      </w:r>
      <w:r>
        <w:rPr>
          <w:rFonts w:cstheme="minorHAnsi"/>
        </w:rPr>
        <w:t>was</w:t>
      </w:r>
      <w:r w:rsidRPr="002B18FF">
        <w:rPr>
          <w:rFonts w:cstheme="minorHAnsi"/>
        </w:rPr>
        <w:t xml:space="preserve"> 889 points, against a range of 819 to 937 points. The IPOD score for each of the constituent gates is also within the respective target range</w:t>
      </w:r>
      <w:r>
        <w:rPr>
          <w:rFonts w:cstheme="minorHAnsi"/>
        </w:rPr>
        <w:t>s for these gates, as set out below:</w:t>
      </w:r>
      <w:r w:rsidRPr="002B18FF">
        <w:rPr>
          <w:rFonts w:cstheme="minorHAnsi"/>
        </w:rPr>
        <w:t xml:space="preserve"> </w:t>
      </w:r>
    </w:p>
    <w:p w14:paraId="4DEBEB65" w14:textId="77777777" w:rsidR="00A30F71" w:rsidRDefault="00A30F71" w:rsidP="0059583E">
      <w:pPr>
        <w:ind w:right="-141"/>
        <w:jc w:val="both"/>
        <w:rPr>
          <w:rFonts w:cstheme="minorHAnsi"/>
        </w:rPr>
      </w:pPr>
    </w:p>
    <w:p w14:paraId="6EB27288" w14:textId="77777777" w:rsidR="00A30F71" w:rsidRDefault="00A30F71" w:rsidP="003A13A8">
      <w:pPr>
        <w:pStyle w:val="ListParagraph"/>
        <w:numPr>
          <w:ilvl w:val="0"/>
          <w:numId w:val="9"/>
        </w:numPr>
        <w:ind w:right="-141"/>
        <w:contextualSpacing w:val="0"/>
        <w:jc w:val="both"/>
        <w:rPr>
          <w:rFonts w:cstheme="minorHAnsi"/>
        </w:rPr>
      </w:pPr>
      <w:r w:rsidRPr="001F75A3">
        <w:rPr>
          <w:rFonts w:cstheme="minorHAnsi"/>
          <w:b/>
          <w:bCs/>
        </w:rPr>
        <w:t>Start-on-site:</w:t>
      </w:r>
      <w:r>
        <w:rPr>
          <w:rFonts w:cstheme="minorHAnsi"/>
        </w:rPr>
        <w:t xml:space="preserve"> </w:t>
      </w:r>
      <w:r w:rsidRPr="001F75A3">
        <w:rPr>
          <w:rFonts w:cstheme="minorHAnsi"/>
        </w:rPr>
        <w:t xml:space="preserve">The IPOD score for the start-on-site date has consistently met the target during the SRC21 period. </w:t>
      </w:r>
    </w:p>
    <w:p w14:paraId="4EE0BA60" w14:textId="3B9BEC0A" w:rsidR="00A30F71" w:rsidRDefault="00A30F71" w:rsidP="003A13A8">
      <w:pPr>
        <w:pStyle w:val="ListParagraph"/>
        <w:numPr>
          <w:ilvl w:val="0"/>
          <w:numId w:val="9"/>
        </w:numPr>
        <w:ind w:right="-141"/>
        <w:contextualSpacing w:val="0"/>
        <w:jc w:val="both"/>
        <w:rPr>
          <w:rFonts w:cstheme="minorHAnsi"/>
        </w:rPr>
      </w:pPr>
      <w:r w:rsidRPr="00B11C74">
        <w:rPr>
          <w:rFonts w:cstheme="minorHAnsi"/>
          <w:b/>
          <w:bCs/>
        </w:rPr>
        <w:t>Project acceptance:</w:t>
      </w:r>
      <w:r w:rsidRPr="00B11C74">
        <w:rPr>
          <w:rFonts w:cstheme="minorHAnsi"/>
        </w:rPr>
        <w:t xml:space="preserve"> </w:t>
      </w:r>
      <w:r w:rsidRPr="001F75A3">
        <w:rPr>
          <w:rFonts w:cstheme="minorHAnsi"/>
        </w:rPr>
        <w:t xml:space="preserve">The IPOD score for Acceptance (Gate 100) has been below the target range since </w:t>
      </w:r>
      <w:r>
        <w:rPr>
          <w:rFonts w:cstheme="minorHAnsi"/>
        </w:rPr>
        <w:t>Q</w:t>
      </w:r>
      <w:r w:rsidRPr="001F75A3">
        <w:rPr>
          <w:rFonts w:cstheme="minorHAnsi"/>
        </w:rPr>
        <w:t xml:space="preserve">uarter 3 of 2021-22. This indicates that completing projects once they have started on site has consistently </w:t>
      </w:r>
      <w:r w:rsidR="006335BC">
        <w:rPr>
          <w:rFonts w:cstheme="minorHAnsi"/>
        </w:rPr>
        <w:t>taken</w:t>
      </w:r>
      <w:r w:rsidRPr="001F75A3">
        <w:rPr>
          <w:rFonts w:cstheme="minorHAnsi"/>
        </w:rPr>
        <w:t xml:space="preserve"> more time </w:t>
      </w:r>
      <w:r w:rsidR="006335BC">
        <w:rPr>
          <w:rFonts w:cstheme="minorHAnsi"/>
        </w:rPr>
        <w:t>than</w:t>
      </w:r>
      <w:r w:rsidRPr="001F75A3">
        <w:rPr>
          <w:rFonts w:cstheme="minorHAnsi"/>
        </w:rPr>
        <w:t xml:space="preserve"> Scottish Water had forecast initially. </w:t>
      </w:r>
      <w:r w:rsidRPr="005A33CA">
        <w:rPr>
          <w:rFonts w:cstheme="minorHAnsi"/>
        </w:rPr>
        <w:t xml:space="preserve">However, as of </w:t>
      </w:r>
      <w:r w:rsidR="006335BC">
        <w:rPr>
          <w:rFonts w:cstheme="minorHAnsi"/>
        </w:rPr>
        <w:t>Q</w:t>
      </w:r>
      <w:r w:rsidR="006335BC" w:rsidRPr="005A33CA">
        <w:rPr>
          <w:rFonts w:cstheme="minorHAnsi"/>
        </w:rPr>
        <w:t>uarter</w:t>
      </w:r>
      <w:r w:rsidRPr="005A33CA">
        <w:rPr>
          <w:rFonts w:cstheme="minorHAnsi"/>
        </w:rPr>
        <w:t xml:space="preserve"> 3 of 2023-24, Scottish Water is now within the target range. </w:t>
      </w:r>
    </w:p>
    <w:p w14:paraId="639F4681" w14:textId="5B3F3D67" w:rsidR="00214976" w:rsidRDefault="00A30F71" w:rsidP="003A13A8">
      <w:pPr>
        <w:pStyle w:val="ListParagraph"/>
        <w:numPr>
          <w:ilvl w:val="0"/>
          <w:numId w:val="9"/>
        </w:numPr>
        <w:ind w:right="-141"/>
        <w:contextualSpacing w:val="0"/>
        <w:jc w:val="both"/>
        <w:rPr>
          <w:rFonts w:cstheme="minorHAnsi"/>
        </w:rPr>
      </w:pPr>
      <w:r w:rsidRPr="0008301E">
        <w:rPr>
          <w:rFonts w:cstheme="minorHAnsi"/>
          <w:b/>
          <w:bCs/>
        </w:rPr>
        <w:t xml:space="preserve">Financial </w:t>
      </w:r>
      <w:r w:rsidR="004A2CBC">
        <w:rPr>
          <w:rFonts w:cstheme="minorHAnsi"/>
          <w:b/>
          <w:bCs/>
        </w:rPr>
        <w:t>completion</w:t>
      </w:r>
      <w:r w:rsidRPr="0008301E">
        <w:rPr>
          <w:rFonts w:cstheme="minorHAnsi"/>
          <w:b/>
          <w:bCs/>
        </w:rPr>
        <w:t xml:space="preserve">: </w:t>
      </w:r>
      <w:r w:rsidRPr="0008301E">
        <w:rPr>
          <w:rFonts w:cstheme="minorHAnsi"/>
        </w:rPr>
        <w:t xml:space="preserve">The IPOD score for Financial </w:t>
      </w:r>
      <w:r w:rsidR="0034700E">
        <w:rPr>
          <w:rFonts w:cstheme="minorHAnsi"/>
        </w:rPr>
        <w:t>Completion</w:t>
      </w:r>
      <w:r w:rsidRPr="0008301E">
        <w:rPr>
          <w:rFonts w:cstheme="minorHAnsi"/>
        </w:rPr>
        <w:t xml:space="preserve"> (Gate 110) has been mostly within the target range during the SRC21 period except for Quarters 2 and 3 of 2023-24; however, it is now back on track. </w:t>
      </w:r>
    </w:p>
    <w:p w14:paraId="6DCA8781" w14:textId="77777777" w:rsidR="00214976" w:rsidRPr="00214976" w:rsidRDefault="00214976" w:rsidP="001F073B">
      <w:pPr>
        <w:ind w:right="-141"/>
        <w:jc w:val="both"/>
        <w:rPr>
          <w:rFonts w:cstheme="minorHAnsi"/>
        </w:rPr>
      </w:pPr>
    </w:p>
    <w:p w14:paraId="1CCA5361" w14:textId="75E3E034" w:rsidR="00A30F71" w:rsidRPr="00214976" w:rsidRDefault="00A30F71" w:rsidP="001F073B">
      <w:r w:rsidRPr="00214976">
        <w:t>These movements can be seen in</w:t>
      </w:r>
      <w:r w:rsidRPr="00214976">
        <w:rPr>
          <w:b/>
        </w:rPr>
        <w:t xml:space="preserve"> </w:t>
      </w:r>
      <w:r w:rsidR="0008301E" w:rsidRPr="00214976">
        <w:fldChar w:fldCharType="begin"/>
      </w:r>
      <w:r w:rsidR="0008301E">
        <w:rPr>
          <w:rFonts w:cstheme="minorHAnsi"/>
          <w:b/>
        </w:rPr>
        <w:instrText xml:space="preserve"> REF _Ref178949960 \h </w:instrText>
      </w:r>
      <w:r w:rsidR="0059583E">
        <w:rPr>
          <w:rFonts w:cstheme="minorHAnsi"/>
        </w:rPr>
        <w:instrText xml:space="preserve"> \* MERGEFORMAT </w:instrText>
      </w:r>
      <w:r w:rsidR="0008301E" w:rsidRPr="00214976">
        <w:fldChar w:fldCharType="separate"/>
      </w:r>
      <w:r w:rsidR="005A22AF" w:rsidRPr="005A22AF">
        <w:rPr>
          <w:szCs w:val="24"/>
        </w:rPr>
        <w:t xml:space="preserve">Figure </w:t>
      </w:r>
      <w:r w:rsidR="005A22AF" w:rsidRPr="001D1FE2">
        <w:rPr>
          <w:szCs w:val="24"/>
        </w:rPr>
        <w:t>8</w:t>
      </w:r>
      <w:r w:rsidR="0008301E" w:rsidRPr="00214976">
        <w:fldChar w:fldCharType="end"/>
      </w:r>
      <w:r w:rsidRPr="00214976">
        <w:t xml:space="preserve"> below.</w:t>
      </w:r>
    </w:p>
    <w:p w14:paraId="709CF78C" w14:textId="77777777" w:rsidR="00393138" w:rsidRDefault="00393138" w:rsidP="0059583E">
      <w:pPr>
        <w:pStyle w:val="Caption"/>
        <w:keepNext/>
        <w:keepLines/>
        <w:jc w:val="both"/>
        <w:rPr>
          <w:rFonts w:cstheme="minorHAnsi"/>
          <w:sz w:val="24"/>
          <w:szCs w:val="24"/>
        </w:rPr>
        <w:sectPr w:rsidR="00393138" w:rsidSect="00591638">
          <w:headerReference w:type="default" r:id="rId22"/>
          <w:type w:val="continuous"/>
          <w:pgSz w:w="11906" w:h="16838"/>
          <w:pgMar w:top="1440" w:right="1080" w:bottom="1440" w:left="1080" w:header="708" w:footer="708" w:gutter="0"/>
          <w:cols w:space="708"/>
          <w:docGrid w:linePitch="360"/>
        </w:sectPr>
      </w:pPr>
      <w:bookmarkStart w:id="24" w:name="_Ref177558381"/>
    </w:p>
    <w:p w14:paraId="49C4DDC0" w14:textId="77777777" w:rsidR="00E3085F" w:rsidRDefault="00A30F71" w:rsidP="001D1FE2">
      <w:pPr>
        <w:pStyle w:val="Caption"/>
        <w:rPr>
          <w:rFonts w:cstheme="minorHAnsi"/>
          <w:sz w:val="24"/>
          <w:szCs w:val="24"/>
        </w:rPr>
      </w:pPr>
      <w:bookmarkStart w:id="25" w:name="_Ref178949960"/>
      <w:r w:rsidRPr="003B324A">
        <w:rPr>
          <w:rFonts w:cstheme="minorHAnsi"/>
          <w:sz w:val="24"/>
          <w:szCs w:val="24"/>
        </w:rPr>
        <w:lastRenderedPageBreak/>
        <w:t xml:space="preserve">Figure </w:t>
      </w:r>
      <w:r w:rsidRPr="003B324A">
        <w:rPr>
          <w:rFonts w:cstheme="minorHAnsi"/>
          <w:i w:val="0"/>
          <w:szCs w:val="24"/>
        </w:rPr>
        <w:fldChar w:fldCharType="begin"/>
      </w:r>
      <w:r w:rsidRPr="003B324A">
        <w:rPr>
          <w:rFonts w:cstheme="minorHAnsi"/>
          <w:sz w:val="24"/>
          <w:szCs w:val="24"/>
        </w:rPr>
        <w:instrText xml:space="preserve"> SEQ Figure \* ARABIC </w:instrText>
      </w:r>
      <w:r w:rsidRPr="003B324A">
        <w:rPr>
          <w:rFonts w:cstheme="minorHAnsi"/>
          <w:i w:val="0"/>
          <w:szCs w:val="24"/>
        </w:rPr>
        <w:fldChar w:fldCharType="separate"/>
      </w:r>
      <w:r w:rsidR="005A22AF">
        <w:rPr>
          <w:rFonts w:cstheme="minorHAnsi"/>
          <w:noProof/>
          <w:sz w:val="24"/>
          <w:szCs w:val="24"/>
        </w:rPr>
        <w:t>8</w:t>
      </w:r>
      <w:r w:rsidRPr="003B324A">
        <w:rPr>
          <w:rFonts w:cstheme="minorHAnsi"/>
          <w:i w:val="0"/>
          <w:szCs w:val="24"/>
        </w:rPr>
        <w:fldChar w:fldCharType="end"/>
      </w:r>
      <w:bookmarkEnd w:id="24"/>
      <w:bookmarkEnd w:id="25"/>
      <w:r w:rsidRPr="003B324A">
        <w:rPr>
          <w:rFonts w:cstheme="minorHAnsi"/>
          <w:sz w:val="24"/>
          <w:szCs w:val="24"/>
        </w:rPr>
        <w:t>: Investment delivery against the Scottish Water baseline</w:t>
      </w:r>
    </w:p>
    <w:p w14:paraId="4F8F2BA2" w14:textId="1A385D41" w:rsidR="00E3085F" w:rsidRPr="00E3085F" w:rsidRDefault="00E3085F" w:rsidP="00B50F9B">
      <w:r>
        <w:rPr>
          <w:noProof/>
        </w:rPr>
        <w:drawing>
          <wp:inline distT="0" distB="0" distL="0" distR="0" wp14:anchorId="243369FB" wp14:editId="722BED37">
            <wp:extent cx="8656955" cy="4846955"/>
            <wp:effectExtent l="0" t="0" r="0" b="0"/>
            <wp:docPr id="2847387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56955" cy="4846955"/>
                    </a:xfrm>
                    <a:prstGeom prst="rect">
                      <a:avLst/>
                    </a:prstGeom>
                    <a:noFill/>
                  </pic:spPr>
                </pic:pic>
              </a:graphicData>
            </a:graphic>
          </wp:inline>
        </w:drawing>
      </w:r>
    </w:p>
    <w:p w14:paraId="68111E64" w14:textId="0AEFDBEC" w:rsidR="00A30F71" w:rsidRPr="007C0561" w:rsidRDefault="00A30F71" w:rsidP="001D1FE2">
      <w:pPr>
        <w:pStyle w:val="Caption"/>
        <w:rPr>
          <w:rFonts w:ascii="Calibri" w:hAnsi="Calibri"/>
        </w:rPr>
      </w:pPr>
    </w:p>
    <w:p w14:paraId="50D1AD85" w14:textId="77777777" w:rsidR="00393138" w:rsidRDefault="00393138" w:rsidP="0059583E">
      <w:pPr>
        <w:tabs>
          <w:tab w:val="left" w:pos="284"/>
        </w:tabs>
        <w:ind w:right="-141"/>
        <w:jc w:val="both"/>
        <w:rPr>
          <w:rFonts w:cstheme="minorHAnsi"/>
        </w:rPr>
        <w:sectPr w:rsidR="00393138" w:rsidSect="00393138">
          <w:type w:val="continuous"/>
          <w:pgSz w:w="16838" w:h="11906" w:orient="landscape"/>
          <w:pgMar w:top="1077" w:right="1440" w:bottom="1077" w:left="1440" w:header="709" w:footer="709" w:gutter="0"/>
          <w:cols w:space="708"/>
          <w:docGrid w:linePitch="360"/>
        </w:sectPr>
      </w:pPr>
    </w:p>
    <w:p w14:paraId="510349DC" w14:textId="1D105A8A" w:rsidR="00A30F71" w:rsidRPr="00997DEB" w:rsidRDefault="00A30F71" w:rsidP="0059583E">
      <w:pPr>
        <w:pStyle w:val="Heading30"/>
        <w:jc w:val="both"/>
      </w:pPr>
      <w:r w:rsidRPr="00997DEB">
        <w:lastRenderedPageBreak/>
        <w:t>Completion investment</w:t>
      </w:r>
    </w:p>
    <w:p w14:paraId="0635690C" w14:textId="77777777" w:rsidR="00A30F71" w:rsidRPr="002B18FF" w:rsidRDefault="00A30F71" w:rsidP="0059583E">
      <w:pPr>
        <w:jc w:val="both"/>
        <w:rPr>
          <w:rFonts w:cstheme="minorHAnsi"/>
        </w:rPr>
      </w:pPr>
      <w:r>
        <w:rPr>
          <w:rFonts w:cstheme="minorHAnsi"/>
        </w:rPr>
        <w:t>Completion investment relates to investment included in the investment programme for the Strategic Review of Charges 2015 (</w:t>
      </w:r>
      <w:r w:rsidRPr="002B18FF">
        <w:rPr>
          <w:rFonts w:cstheme="minorHAnsi"/>
        </w:rPr>
        <w:t>SRC15</w:t>
      </w:r>
      <w:r>
        <w:rPr>
          <w:rFonts w:cstheme="minorHAnsi"/>
        </w:rPr>
        <w:t>) but is still to be delivered.</w:t>
      </w:r>
      <w:r w:rsidRPr="002B18FF">
        <w:rPr>
          <w:rFonts w:cstheme="minorHAnsi"/>
        </w:rPr>
        <w:t xml:space="preserve"> There are two categories of SR</w:t>
      </w:r>
      <w:r>
        <w:rPr>
          <w:rFonts w:cstheme="minorHAnsi"/>
        </w:rPr>
        <w:t>C</w:t>
      </w:r>
      <w:r w:rsidRPr="002B18FF">
        <w:rPr>
          <w:rFonts w:cstheme="minorHAnsi"/>
        </w:rPr>
        <w:t>15 completion projects:</w:t>
      </w:r>
    </w:p>
    <w:p w14:paraId="4A0BA8F5" w14:textId="77777777" w:rsidR="00A30F71" w:rsidRPr="002B18FF" w:rsidRDefault="00A30F71" w:rsidP="003A13A8">
      <w:pPr>
        <w:pStyle w:val="Bullet1"/>
        <w:numPr>
          <w:ilvl w:val="0"/>
          <w:numId w:val="17"/>
        </w:numPr>
        <w:jc w:val="both"/>
      </w:pPr>
      <w:r w:rsidRPr="002B18FF">
        <w:t>Delayed Projects – projects that were expected to complete by the end of SR</w:t>
      </w:r>
      <w:r>
        <w:t>C</w:t>
      </w:r>
      <w:r w:rsidRPr="002B18FF">
        <w:t xml:space="preserve">15 but were impacted by Covid-19, re-optioneering, scope change, construction risk and third-party risk. </w:t>
      </w:r>
    </w:p>
    <w:p w14:paraId="3C5D904D" w14:textId="77777777" w:rsidR="00A30F71" w:rsidRPr="002B18FF" w:rsidRDefault="00A30F71" w:rsidP="003A13A8">
      <w:pPr>
        <w:pStyle w:val="Bullet1"/>
        <w:numPr>
          <w:ilvl w:val="0"/>
          <w:numId w:val="17"/>
        </w:numPr>
        <w:jc w:val="both"/>
      </w:pPr>
      <w:r w:rsidRPr="002B18FF">
        <w:t>Planned Projects – projects that commenced in SR</w:t>
      </w:r>
      <w:r>
        <w:t>C</w:t>
      </w:r>
      <w:r w:rsidRPr="002B18FF">
        <w:t xml:space="preserve">15 but were always expected to complete during SR21. </w:t>
      </w:r>
    </w:p>
    <w:p w14:paraId="6C75B6E2" w14:textId="77777777" w:rsidR="00A30F71" w:rsidRPr="002B18FF" w:rsidRDefault="00A30F71" w:rsidP="0059583E">
      <w:pPr>
        <w:jc w:val="both"/>
        <w:rPr>
          <w:rFonts w:cstheme="minorHAnsi"/>
        </w:rPr>
      </w:pPr>
    </w:p>
    <w:p w14:paraId="471BC0EE" w14:textId="78156537" w:rsidR="00A30F71" w:rsidRPr="004611FA" w:rsidRDefault="00A30F71" w:rsidP="0059583E">
      <w:pPr>
        <w:pStyle w:val="Caption"/>
        <w:keepNext/>
        <w:jc w:val="both"/>
        <w:rPr>
          <w:sz w:val="24"/>
          <w:szCs w:val="24"/>
        </w:rPr>
      </w:pPr>
      <w:r w:rsidRPr="004611FA">
        <w:rPr>
          <w:sz w:val="24"/>
          <w:szCs w:val="24"/>
        </w:rPr>
        <w:t xml:space="preserve">Table </w:t>
      </w:r>
      <w:r w:rsidRPr="004611FA">
        <w:rPr>
          <w:sz w:val="24"/>
          <w:szCs w:val="24"/>
        </w:rPr>
        <w:fldChar w:fldCharType="begin"/>
      </w:r>
      <w:r w:rsidRPr="004611FA">
        <w:rPr>
          <w:sz w:val="24"/>
          <w:szCs w:val="24"/>
        </w:rPr>
        <w:instrText xml:space="preserve"> SEQ Table \* ARABIC </w:instrText>
      </w:r>
      <w:r w:rsidRPr="004611FA">
        <w:rPr>
          <w:sz w:val="24"/>
          <w:szCs w:val="24"/>
        </w:rPr>
        <w:fldChar w:fldCharType="separate"/>
      </w:r>
      <w:r w:rsidR="004871B0">
        <w:rPr>
          <w:noProof/>
          <w:sz w:val="24"/>
          <w:szCs w:val="24"/>
        </w:rPr>
        <w:t>1</w:t>
      </w:r>
      <w:r w:rsidRPr="004611FA">
        <w:rPr>
          <w:sz w:val="24"/>
          <w:szCs w:val="24"/>
        </w:rPr>
        <w:fldChar w:fldCharType="end"/>
      </w:r>
      <w:r w:rsidRPr="004611FA">
        <w:rPr>
          <w:sz w:val="24"/>
          <w:szCs w:val="24"/>
        </w:rPr>
        <w:t>: Completion investment</w:t>
      </w:r>
    </w:p>
    <w:tbl>
      <w:tblPr>
        <w:tblStyle w:val="TableGrid"/>
        <w:tblW w:w="9736" w:type="dxa"/>
        <w:tblLayout w:type="fixed"/>
        <w:tblLook w:val="04A0" w:firstRow="1" w:lastRow="0" w:firstColumn="1" w:lastColumn="0" w:noHBand="0" w:noVBand="1"/>
      </w:tblPr>
      <w:tblGrid>
        <w:gridCol w:w="7366"/>
        <w:gridCol w:w="1134"/>
        <w:gridCol w:w="1236"/>
      </w:tblGrid>
      <w:tr w:rsidR="00A30F71" w:rsidRPr="007C0561" w14:paraId="67D09366" w14:textId="77777777" w:rsidTr="00A30F71">
        <w:tc>
          <w:tcPr>
            <w:tcW w:w="7366" w:type="dxa"/>
          </w:tcPr>
          <w:p w14:paraId="7AF5DEEE" w14:textId="77777777" w:rsidR="00A30F71" w:rsidRPr="002B18FF" w:rsidRDefault="00A30F71" w:rsidP="0059583E">
            <w:pPr>
              <w:keepNext/>
              <w:keepLines/>
              <w:jc w:val="both"/>
              <w:rPr>
                <w:rFonts w:cstheme="minorHAnsi"/>
                <w:b/>
              </w:rPr>
            </w:pPr>
          </w:p>
        </w:tc>
        <w:tc>
          <w:tcPr>
            <w:tcW w:w="1134" w:type="dxa"/>
          </w:tcPr>
          <w:p w14:paraId="457640C7" w14:textId="77777777" w:rsidR="00A30F71" w:rsidRPr="002B18FF" w:rsidRDefault="00A30F71" w:rsidP="0059583E">
            <w:pPr>
              <w:keepNext/>
              <w:keepLines/>
              <w:jc w:val="both"/>
              <w:rPr>
                <w:rFonts w:cstheme="minorHAnsi"/>
                <w:b/>
              </w:rPr>
            </w:pPr>
            <w:r w:rsidRPr="002B18FF">
              <w:rPr>
                <w:rFonts w:cstheme="minorHAnsi"/>
                <w:b/>
              </w:rPr>
              <w:t>Delayed</w:t>
            </w:r>
          </w:p>
        </w:tc>
        <w:tc>
          <w:tcPr>
            <w:tcW w:w="1236" w:type="dxa"/>
          </w:tcPr>
          <w:p w14:paraId="649FF6EB" w14:textId="77777777" w:rsidR="00A30F71" w:rsidRPr="002B18FF" w:rsidRDefault="00A30F71" w:rsidP="0059583E">
            <w:pPr>
              <w:keepNext/>
              <w:keepLines/>
              <w:jc w:val="both"/>
              <w:rPr>
                <w:rFonts w:cstheme="minorHAnsi"/>
                <w:b/>
              </w:rPr>
            </w:pPr>
            <w:r w:rsidRPr="002B18FF">
              <w:rPr>
                <w:rFonts w:cstheme="minorHAnsi"/>
                <w:b/>
              </w:rPr>
              <w:t>Planned</w:t>
            </w:r>
          </w:p>
        </w:tc>
      </w:tr>
      <w:tr w:rsidR="00A30F71" w:rsidRPr="007C0561" w14:paraId="51742B02" w14:textId="77777777" w:rsidTr="00A30F71">
        <w:tc>
          <w:tcPr>
            <w:tcW w:w="7366" w:type="dxa"/>
          </w:tcPr>
          <w:p w14:paraId="47B39DD3" w14:textId="77777777" w:rsidR="00A30F71" w:rsidRPr="002B18FF" w:rsidRDefault="00A30F71" w:rsidP="0059583E">
            <w:pPr>
              <w:keepNext/>
              <w:keepLines/>
              <w:jc w:val="both"/>
              <w:rPr>
                <w:rFonts w:cstheme="minorHAnsi"/>
              </w:rPr>
            </w:pPr>
            <w:r w:rsidRPr="002B18FF">
              <w:rPr>
                <w:rFonts w:cstheme="minorHAnsi"/>
              </w:rPr>
              <w:t>Total remaining projects at 31 March 2021</w:t>
            </w:r>
          </w:p>
        </w:tc>
        <w:tc>
          <w:tcPr>
            <w:tcW w:w="1134" w:type="dxa"/>
          </w:tcPr>
          <w:p w14:paraId="50BA8576" w14:textId="77777777" w:rsidR="00A30F71" w:rsidRPr="002B18FF" w:rsidRDefault="00A30F71" w:rsidP="0059583E">
            <w:pPr>
              <w:keepNext/>
              <w:keepLines/>
              <w:jc w:val="both"/>
              <w:rPr>
                <w:rFonts w:cstheme="minorHAnsi"/>
              </w:rPr>
            </w:pPr>
            <w:r w:rsidRPr="002B18FF">
              <w:rPr>
                <w:rFonts w:cstheme="minorHAnsi"/>
              </w:rPr>
              <w:t>86</w:t>
            </w:r>
          </w:p>
        </w:tc>
        <w:tc>
          <w:tcPr>
            <w:tcW w:w="1236" w:type="dxa"/>
          </w:tcPr>
          <w:p w14:paraId="1E9EE998" w14:textId="77777777" w:rsidR="00A30F71" w:rsidRPr="002B18FF" w:rsidRDefault="00A30F71" w:rsidP="0059583E">
            <w:pPr>
              <w:keepNext/>
              <w:keepLines/>
              <w:jc w:val="both"/>
              <w:rPr>
                <w:rFonts w:cstheme="minorHAnsi"/>
              </w:rPr>
            </w:pPr>
            <w:r w:rsidRPr="002B18FF">
              <w:rPr>
                <w:rFonts w:cstheme="minorHAnsi"/>
              </w:rPr>
              <w:t>57</w:t>
            </w:r>
          </w:p>
        </w:tc>
      </w:tr>
      <w:tr w:rsidR="00A30F71" w:rsidRPr="007C0561" w14:paraId="4101D5BD" w14:textId="77777777" w:rsidTr="00A30F71">
        <w:tc>
          <w:tcPr>
            <w:tcW w:w="7366" w:type="dxa"/>
          </w:tcPr>
          <w:p w14:paraId="70A2CDCE" w14:textId="77777777" w:rsidR="00A30F71" w:rsidRPr="002B18FF" w:rsidRDefault="00A30F71" w:rsidP="0059583E">
            <w:pPr>
              <w:keepNext/>
              <w:keepLines/>
              <w:jc w:val="both"/>
              <w:rPr>
                <w:rFonts w:cstheme="minorHAnsi"/>
              </w:rPr>
            </w:pPr>
            <w:r w:rsidRPr="002B18FF">
              <w:rPr>
                <w:rFonts w:cstheme="minorHAnsi"/>
              </w:rPr>
              <w:t>March 2021 forecast for completed projects by 31 March 2024</w:t>
            </w:r>
          </w:p>
        </w:tc>
        <w:tc>
          <w:tcPr>
            <w:tcW w:w="1134" w:type="dxa"/>
          </w:tcPr>
          <w:p w14:paraId="30BE4F1F" w14:textId="77777777" w:rsidR="00A30F71" w:rsidRPr="002B18FF" w:rsidRDefault="00A30F71" w:rsidP="0059583E">
            <w:pPr>
              <w:keepNext/>
              <w:keepLines/>
              <w:jc w:val="both"/>
              <w:rPr>
                <w:rFonts w:cstheme="minorHAnsi"/>
              </w:rPr>
            </w:pPr>
            <w:r w:rsidRPr="002B18FF">
              <w:rPr>
                <w:rFonts w:cstheme="minorHAnsi"/>
              </w:rPr>
              <w:t>85</w:t>
            </w:r>
          </w:p>
        </w:tc>
        <w:tc>
          <w:tcPr>
            <w:tcW w:w="1236" w:type="dxa"/>
          </w:tcPr>
          <w:p w14:paraId="0FEE38B3" w14:textId="77777777" w:rsidR="00A30F71" w:rsidRPr="002B18FF" w:rsidRDefault="00A30F71" w:rsidP="0059583E">
            <w:pPr>
              <w:keepNext/>
              <w:keepLines/>
              <w:jc w:val="both"/>
              <w:rPr>
                <w:rFonts w:cstheme="minorHAnsi"/>
              </w:rPr>
            </w:pPr>
            <w:r w:rsidRPr="002B18FF">
              <w:rPr>
                <w:rFonts w:cstheme="minorHAnsi"/>
              </w:rPr>
              <w:t>55</w:t>
            </w:r>
          </w:p>
        </w:tc>
      </w:tr>
      <w:tr w:rsidR="00A30F71" w:rsidRPr="007C0561" w14:paraId="147E6ED8" w14:textId="77777777" w:rsidTr="00A30F71">
        <w:tc>
          <w:tcPr>
            <w:tcW w:w="7366" w:type="dxa"/>
          </w:tcPr>
          <w:p w14:paraId="7E717BAA" w14:textId="77777777" w:rsidR="00A30F71" w:rsidRPr="002B18FF" w:rsidRDefault="00A30F71" w:rsidP="0059583E">
            <w:pPr>
              <w:keepNext/>
              <w:keepLines/>
              <w:jc w:val="both"/>
              <w:rPr>
                <w:rFonts w:cstheme="minorHAnsi"/>
              </w:rPr>
            </w:pPr>
            <w:r w:rsidRPr="002B18FF">
              <w:rPr>
                <w:rFonts w:cstheme="minorHAnsi"/>
              </w:rPr>
              <w:t>Actual completed projects by 31 March 2024</w:t>
            </w:r>
          </w:p>
        </w:tc>
        <w:tc>
          <w:tcPr>
            <w:tcW w:w="1134" w:type="dxa"/>
          </w:tcPr>
          <w:p w14:paraId="62A217F3" w14:textId="77777777" w:rsidR="00A30F71" w:rsidRPr="002B18FF" w:rsidRDefault="00A30F71" w:rsidP="0059583E">
            <w:pPr>
              <w:keepNext/>
              <w:keepLines/>
              <w:jc w:val="both"/>
              <w:rPr>
                <w:rFonts w:cstheme="minorHAnsi"/>
              </w:rPr>
            </w:pPr>
            <w:r w:rsidRPr="002B18FF">
              <w:rPr>
                <w:rFonts w:cstheme="minorHAnsi"/>
              </w:rPr>
              <w:t>64</w:t>
            </w:r>
          </w:p>
        </w:tc>
        <w:tc>
          <w:tcPr>
            <w:tcW w:w="1236" w:type="dxa"/>
          </w:tcPr>
          <w:p w14:paraId="7F7DB464" w14:textId="77777777" w:rsidR="00A30F71" w:rsidRPr="002B18FF" w:rsidRDefault="00A30F71" w:rsidP="0059583E">
            <w:pPr>
              <w:keepNext/>
              <w:keepLines/>
              <w:jc w:val="both"/>
              <w:rPr>
                <w:rFonts w:cstheme="minorHAnsi"/>
              </w:rPr>
            </w:pPr>
            <w:r w:rsidRPr="002B18FF">
              <w:rPr>
                <w:rFonts w:cstheme="minorHAnsi"/>
              </w:rPr>
              <w:t>48</w:t>
            </w:r>
          </w:p>
        </w:tc>
      </w:tr>
      <w:tr w:rsidR="00A30F71" w:rsidRPr="007C0561" w14:paraId="41F1259D" w14:textId="77777777" w:rsidTr="00A30F71">
        <w:tc>
          <w:tcPr>
            <w:tcW w:w="7366" w:type="dxa"/>
          </w:tcPr>
          <w:p w14:paraId="516F1A87" w14:textId="77777777" w:rsidR="00A30F71" w:rsidRPr="002B18FF" w:rsidRDefault="00A30F71" w:rsidP="0059583E">
            <w:pPr>
              <w:keepNext/>
              <w:keepLines/>
              <w:jc w:val="both"/>
              <w:rPr>
                <w:rFonts w:cstheme="minorHAnsi"/>
              </w:rPr>
            </w:pPr>
            <w:r w:rsidRPr="002B18FF">
              <w:rPr>
                <w:rFonts w:cstheme="minorHAnsi"/>
              </w:rPr>
              <w:t>Actual less forecast number of projects to be completed by 31 March 2024</w:t>
            </w:r>
          </w:p>
        </w:tc>
        <w:tc>
          <w:tcPr>
            <w:tcW w:w="1134" w:type="dxa"/>
          </w:tcPr>
          <w:p w14:paraId="2E598084" w14:textId="77777777" w:rsidR="00A30F71" w:rsidRPr="002B18FF" w:rsidRDefault="00A30F71" w:rsidP="0059583E">
            <w:pPr>
              <w:keepNext/>
              <w:keepLines/>
              <w:jc w:val="both"/>
              <w:rPr>
                <w:rFonts w:cstheme="minorHAnsi"/>
              </w:rPr>
            </w:pPr>
            <w:r w:rsidRPr="002B18FF">
              <w:rPr>
                <w:rFonts w:cstheme="minorHAnsi"/>
              </w:rPr>
              <w:t>-21</w:t>
            </w:r>
          </w:p>
        </w:tc>
        <w:tc>
          <w:tcPr>
            <w:tcW w:w="1236" w:type="dxa"/>
          </w:tcPr>
          <w:p w14:paraId="3AA408C4" w14:textId="77777777" w:rsidR="00A30F71" w:rsidRPr="002B18FF" w:rsidRDefault="00A30F71" w:rsidP="0059583E">
            <w:pPr>
              <w:keepNext/>
              <w:keepLines/>
              <w:jc w:val="both"/>
              <w:rPr>
                <w:rFonts w:cstheme="minorHAnsi"/>
              </w:rPr>
            </w:pPr>
            <w:r w:rsidRPr="002B18FF">
              <w:rPr>
                <w:rFonts w:cstheme="minorHAnsi"/>
              </w:rPr>
              <w:t>-7</w:t>
            </w:r>
          </w:p>
        </w:tc>
      </w:tr>
    </w:tbl>
    <w:p w14:paraId="5B3CCCC7" w14:textId="77777777" w:rsidR="00A30F71" w:rsidRPr="002B18FF" w:rsidRDefault="00A30F71" w:rsidP="0059583E">
      <w:pPr>
        <w:jc w:val="both"/>
        <w:rPr>
          <w:rFonts w:cstheme="minorHAnsi"/>
        </w:rPr>
      </w:pPr>
    </w:p>
    <w:p w14:paraId="70A009D4" w14:textId="36889610" w:rsidR="0009793F" w:rsidRDefault="00A30F71" w:rsidP="0059583E">
      <w:pPr>
        <w:ind w:right="-141"/>
        <w:jc w:val="both"/>
        <w:rPr>
          <w:rFonts w:cstheme="minorHAnsi"/>
        </w:rPr>
      </w:pPr>
      <w:r w:rsidRPr="002B18FF">
        <w:rPr>
          <w:rFonts w:cstheme="minorHAnsi"/>
        </w:rPr>
        <w:t xml:space="preserve">The remaining completion investment represents </w:t>
      </w:r>
      <w:r>
        <w:rPr>
          <w:rFonts w:cstheme="minorHAnsi"/>
        </w:rPr>
        <w:t>around</w:t>
      </w:r>
      <w:r w:rsidRPr="002B18FF">
        <w:rPr>
          <w:rFonts w:cstheme="minorHAnsi"/>
        </w:rPr>
        <w:t xml:space="preserve"> 2% of the total SR15 programme. Scottish Water </w:t>
      </w:r>
      <w:r w:rsidR="00DE073B">
        <w:rPr>
          <w:rFonts w:cstheme="minorHAnsi"/>
        </w:rPr>
        <w:t xml:space="preserve">provided an update </w:t>
      </w:r>
      <w:r w:rsidR="004F3133" w:rsidRPr="004F3133">
        <w:rPr>
          <w:rFonts w:cstheme="minorHAnsi"/>
        </w:rPr>
        <w:t xml:space="preserve">on </w:t>
      </w:r>
      <w:r w:rsidR="00DE073B">
        <w:rPr>
          <w:rFonts w:cstheme="minorHAnsi"/>
        </w:rPr>
        <w:t xml:space="preserve">the </w:t>
      </w:r>
      <w:r w:rsidR="004F3133" w:rsidRPr="004F3133">
        <w:rPr>
          <w:rFonts w:cstheme="minorHAnsi"/>
        </w:rPr>
        <w:t>remaining completion projects to the SGIG</w:t>
      </w:r>
      <w:r w:rsidR="00242E92">
        <w:rPr>
          <w:rFonts w:cstheme="minorHAnsi"/>
        </w:rPr>
        <w:t xml:space="preserve"> working group</w:t>
      </w:r>
      <w:r w:rsidR="004F3133" w:rsidRPr="004F3133">
        <w:rPr>
          <w:rFonts w:cstheme="minorHAnsi"/>
        </w:rPr>
        <w:t xml:space="preserve"> in August</w:t>
      </w:r>
      <w:r w:rsidR="00242E92">
        <w:rPr>
          <w:rFonts w:cstheme="minorHAnsi"/>
        </w:rPr>
        <w:t xml:space="preserve"> 2024</w:t>
      </w:r>
      <w:r w:rsidR="004F3133" w:rsidRPr="004F3133">
        <w:rPr>
          <w:rFonts w:cstheme="minorHAnsi"/>
        </w:rPr>
        <w:t>. In the presentation,</w:t>
      </w:r>
      <w:r w:rsidR="00FD2A64">
        <w:rPr>
          <w:rStyle w:val="FootnoteReference"/>
          <w:rFonts w:cstheme="minorHAnsi"/>
        </w:rPr>
        <w:footnoteReference w:id="16"/>
      </w:r>
      <w:r w:rsidR="004F3133" w:rsidRPr="004F3133">
        <w:rPr>
          <w:rFonts w:cstheme="minorHAnsi"/>
        </w:rPr>
        <w:t xml:space="preserve"> it explained that a</w:t>
      </w:r>
      <w:r w:rsidR="00760F2F">
        <w:rPr>
          <w:rFonts w:cstheme="minorHAnsi"/>
        </w:rPr>
        <w:t xml:space="preserve"> third of the outstanding projects are in construction and proceeding without </w:t>
      </w:r>
      <w:r w:rsidR="004F3133" w:rsidRPr="004F3133">
        <w:rPr>
          <w:rFonts w:cstheme="minorHAnsi"/>
        </w:rPr>
        <w:t>expectation of further</w:t>
      </w:r>
      <w:r w:rsidR="00760F2F">
        <w:rPr>
          <w:rFonts w:cstheme="minorHAnsi"/>
        </w:rPr>
        <w:t xml:space="preserve"> delay. </w:t>
      </w:r>
      <w:r w:rsidR="004F3133" w:rsidRPr="004F3133">
        <w:rPr>
          <w:rFonts w:cstheme="minorHAnsi"/>
        </w:rPr>
        <w:t>The remaining projects are experiencing delivery delays</w:t>
      </w:r>
      <w:r w:rsidR="005E5266">
        <w:rPr>
          <w:rFonts w:cstheme="minorHAnsi"/>
        </w:rPr>
        <w:t xml:space="preserve"> due to various reasons</w:t>
      </w:r>
      <w:r w:rsidR="00836AB4">
        <w:rPr>
          <w:rFonts w:cstheme="minorHAnsi"/>
        </w:rPr>
        <w:t>,</w:t>
      </w:r>
      <w:r w:rsidR="00B31F47">
        <w:rPr>
          <w:rFonts w:cstheme="minorHAnsi"/>
        </w:rPr>
        <w:t xml:space="preserve"> such as changes in </w:t>
      </w:r>
      <w:r w:rsidR="00242E92">
        <w:rPr>
          <w:rFonts w:cstheme="minorHAnsi"/>
        </w:rPr>
        <w:t>the </w:t>
      </w:r>
      <w:r w:rsidR="00B31F47">
        <w:rPr>
          <w:rFonts w:cstheme="minorHAnsi"/>
        </w:rPr>
        <w:t>scope</w:t>
      </w:r>
      <w:r w:rsidR="00631774">
        <w:rPr>
          <w:rFonts w:cstheme="minorHAnsi"/>
        </w:rPr>
        <w:t xml:space="preserve"> of work</w:t>
      </w:r>
      <w:r w:rsidR="00B31F47">
        <w:rPr>
          <w:rFonts w:cstheme="minorHAnsi"/>
        </w:rPr>
        <w:t>,</w:t>
      </w:r>
      <w:r w:rsidR="00631774">
        <w:rPr>
          <w:rFonts w:cstheme="minorHAnsi"/>
        </w:rPr>
        <w:t xml:space="preserve"> operational factors</w:t>
      </w:r>
      <w:r w:rsidR="00836AB4">
        <w:rPr>
          <w:rFonts w:cstheme="minorHAnsi"/>
        </w:rPr>
        <w:t>,</w:t>
      </w:r>
      <w:r w:rsidR="00631774">
        <w:rPr>
          <w:rFonts w:cstheme="minorHAnsi"/>
        </w:rPr>
        <w:t xml:space="preserve"> and third-party </w:t>
      </w:r>
      <w:r w:rsidR="00EF1EC8">
        <w:rPr>
          <w:rFonts w:cstheme="minorHAnsi"/>
        </w:rPr>
        <w:t>factors.</w:t>
      </w:r>
    </w:p>
    <w:p w14:paraId="25D61D79" w14:textId="77777777" w:rsidR="0009793F" w:rsidRDefault="0009793F" w:rsidP="0059583E">
      <w:pPr>
        <w:ind w:right="-141"/>
        <w:jc w:val="both"/>
        <w:rPr>
          <w:rFonts w:cstheme="minorHAnsi"/>
        </w:rPr>
      </w:pPr>
    </w:p>
    <w:p w14:paraId="4688D8D7" w14:textId="1DEEE6B4" w:rsidR="00A30F71" w:rsidRPr="002B18FF" w:rsidRDefault="00E81EAB" w:rsidP="0059583E">
      <w:pPr>
        <w:ind w:right="-141"/>
        <w:jc w:val="both"/>
        <w:rPr>
          <w:rFonts w:cstheme="minorHAnsi"/>
        </w:rPr>
      </w:pPr>
      <w:r>
        <w:rPr>
          <w:rFonts w:cstheme="minorHAnsi"/>
        </w:rPr>
        <w:t>Scottish Water holds regular</w:t>
      </w:r>
      <w:r w:rsidR="00A30F71" w:rsidRPr="002B18FF">
        <w:rPr>
          <w:rFonts w:cstheme="minorHAnsi"/>
        </w:rPr>
        <w:t xml:space="preserve"> bilateral meetings with DWQR and SEPA</w:t>
      </w:r>
      <w:r w:rsidR="00602103" w:rsidRPr="00602103">
        <w:rPr>
          <w:rFonts w:cstheme="minorHAnsi"/>
        </w:rPr>
        <w:t>,</w:t>
      </w:r>
      <w:r w:rsidR="00A30F71" w:rsidRPr="002B18FF">
        <w:rPr>
          <w:rFonts w:cstheme="minorHAnsi"/>
        </w:rPr>
        <w:t xml:space="preserve"> where projects of specific interest to these stakeholders</w:t>
      </w:r>
      <w:r w:rsidR="00602103" w:rsidRPr="00602103">
        <w:rPr>
          <w:rFonts w:cstheme="minorHAnsi"/>
        </w:rPr>
        <w:t>,</w:t>
      </w:r>
      <w:r w:rsidR="00A30F71" w:rsidRPr="002B18FF">
        <w:rPr>
          <w:rFonts w:cstheme="minorHAnsi"/>
        </w:rPr>
        <w:t xml:space="preserve"> including SR</w:t>
      </w:r>
      <w:r w:rsidR="00A30F71">
        <w:rPr>
          <w:rFonts w:cstheme="minorHAnsi"/>
        </w:rPr>
        <w:t>C</w:t>
      </w:r>
      <w:r w:rsidR="00A30F71" w:rsidRPr="002B18FF">
        <w:rPr>
          <w:rFonts w:cstheme="minorHAnsi"/>
        </w:rPr>
        <w:t>15 completion projects</w:t>
      </w:r>
      <w:r w:rsidR="00602103" w:rsidRPr="00602103">
        <w:rPr>
          <w:rFonts w:cstheme="minorHAnsi"/>
        </w:rPr>
        <w:t>,</w:t>
      </w:r>
      <w:r w:rsidR="00A30F71" w:rsidRPr="002B18FF">
        <w:rPr>
          <w:rFonts w:cstheme="minorHAnsi"/>
        </w:rPr>
        <w:t xml:space="preserve"> are reviewed to give detailed updates on progress and answer any queries.</w:t>
      </w:r>
      <w:r w:rsidR="00602103" w:rsidRPr="00602103">
        <w:rPr>
          <w:rFonts w:cstheme="minorHAnsi"/>
        </w:rPr>
        <w:t xml:space="preserve"> Progress on these projects is</w:t>
      </w:r>
      <w:r w:rsidR="00604269">
        <w:rPr>
          <w:rFonts w:cstheme="minorHAnsi"/>
        </w:rPr>
        <w:t xml:space="preserve"> also </w:t>
      </w:r>
      <w:r w:rsidR="00602103">
        <w:rPr>
          <w:rFonts w:cstheme="minorHAnsi"/>
        </w:rPr>
        <w:t xml:space="preserve">examined through the SGIG. </w:t>
      </w:r>
    </w:p>
    <w:p w14:paraId="7936D56E" w14:textId="77777777" w:rsidR="009E5A35" w:rsidRDefault="009E5A35" w:rsidP="0059583E">
      <w:pPr>
        <w:spacing w:after="160" w:line="259" w:lineRule="auto"/>
        <w:jc w:val="both"/>
      </w:pPr>
    </w:p>
    <w:p w14:paraId="47A6E58E" w14:textId="77777777" w:rsidR="009E5A35" w:rsidRDefault="009E5A35" w:rsidP="0059583E">
      <w:pPr>
        <w:pStyle w:val="Heading2"/>
        <w:ind w:left="709" w:hanging="709"/>
        <w:jc w:val="both"/>
        <w:outlineLvl w:val="1"/>
      </w:pPr>
      <w:bookmarkStart w:id="26" w:name="_Toc183593910"/>
      <w:r w:rsidRPr="009E5A35">
        <w:t>Levels of service</w:t>
      </w:r>
      <w:bookmarkEnd w:id="26"/>
    </w:p>
    <w:p w14:paraId="032134B6" w14:textId="7F236EDF" w:rsidR="00997DEB" w:rsidRPr="00997DEB" w:rsidRDefault="00997DEB" w:rsidP="0059583E">
      <w:pPr>
        <w:pStyle w:val="Heading30"/>
        <w:jc w:val="both"/>
      </w:pPr>
      <w:r w:rsidRPr="00997DEB">
        <w:t>Customer experience</w:t>
      </w:r>
    </w:p>
    <w:p w14:paraId="6D1F81D5" w14:textId="7568E86E" w:rsidR="00591638" w:rsidRPr="002B18FF" w:rsidRDefault="00591638" w:rsidP="0059583E">
      <w:pPr>
        <w:ind w:right="-141"/>
        <w:jc w:val="both"/>
        <w:rPr>
          <w:rFonts w:cstheme="minorHAnsi"/>
        </w:rPr>
      </w:pPr>
      <w:r>
        <w:rPr>
          <w:rFonts w:cstheme="minorHAnsi"/>
        </w:rPr>
        <w:t xml:space="preserve">The </w:t>
      </w:r>
      <w:r w:rsidRPr="002B18FF">
        <w:rPr>
          <w:rFonts w:cstheme="minorHAnsi"/>
        </w:rPr>
        <w:t xml:space="preserve">Customer </w:t>
      </w:r>
      <w:r>
        <w:rPr>
          <w:rFonts w:cstheme="minorHAnsi"/>
        </w:rPr>
        <w:t>E</w:t>
      </w:r>
      <w:r w:rsidRPr="002B18FF">
        <w:rPr>
          <w:rFonts w:cstheme="minorHAnsi"/>
        </w:rPr>
        <w:t xml:space="preserve">xperience </w:t>
      </w:r>
      <w:r>
        <w:rPr>
          <w:rFonts w:cstheme="minorHAnsi"/>
        </w:rPr>
        <w:t>M</w:t>
      </w:r>
      <w:r w:rsidRPr="002B18FF">
        <w:rPr>
          <w:rFonts w:cstheme="minorHAnsi"/>
        </w:rPr>
        <w:t xml:space="preserve">easure (CEM) is a measure of Scottish Water’s service which combines a qualitative survey-based component, with a quantitative component measuring the </w:t>
      </w:r>
      <w:r>
        <w:rPr>
          <w:rFonts w:cstheme="minorHAnsi"/>
        </w:rPr>
        <w:t>number of complaint</w:t>
      </w:r>
      <w:r w:rsidR="00602103">
        <w:rPr>
          <w:rFonts w:cstheme="minorHAnsi"/>
        </w:rPr>
        <w:t>s</w:t>
      </w:r>
      <w:r>
        <w:rPr>
          <w:rFonts w:cstheme="minorHAnsi"/>
        </w:rPr>
        <w:t xml:space="preserve"> and whether </w:t>
      </w:r>
      <w:r w:rsidR="00602103">
        <w:rPr>
          <w:rFonts w:cstheme="minorHAnsi"/>
        </w:rPr>
        <w:t>customers</w:t>
      </w:r>
      <w:r>
        <w:rPr>
          <w:rFonts w:cstheme="minorHAnsi"/>
        </w:rPr>
        <w:t xml:space="preserve"> have escalated</w:t>
      </w:r>
      <w:r w:rsidR="00602103">
        <w:rPr>
          <w:rFonts w:cstheme="minorHAnsi"/>
        </w:rPr>
        <w:t xml:space="preserve"> complaints</w:t>
      </w:r>
      <w:r w:rsidRPr="002B18FF">
        <w:rPr>
          <w:rFonts w:cstheme="minorHAnsi"/>
        </w:rPr>
        <w:t xml:space="preserve">. </w:t>
      </w:r>
      <w:r w:rsidR="00602103">
        <w:rPr>
          <w:rFonts w:cstheme="minorHAnsi"/>
        </w:rPr>
        <w:t xml:space="preserve">Scottish Water has separate CEM </w:t>
      </w:r>
      <w:r w:rsidR="00602103">
        <w:rPr>
          <w:rFonts w:cstheme="minorHAnsi"/>
        </w:rPr>
        <w:lastRenderedPageBreak/>
        <w:t>measures</w:t>
      </w:r>
      <w:r w:rsidRPr="002B18FF">
        <w:rPr>
          <w:rFonts w:cstheme="minorHAnsi"/>
        </w:rPr>
        <w:t xml:space="preserve"> </w:t>
      </w:r>
      <w:r w:rsidR="00602103">
        <w:rPr>
          <w:rFonts w:cstheme="minorHAnsi"/>
        </w:rPr>
        <w:t>for</w:t>
      </w:r>
      <w:r w:rsidRPr="002B18FF">
        <w:rPr>
          <w:rFonts w:cstheme="minorHAnsi"/>
        </w:rPr>
        <w:t xml:space="preserve"> household</w:t>
      </w:r>
      <w:r w:rsidR="00602103">
        <w:rPr>
          <w:rFonts w:cstheme="minorHAnsi"/>
        </w:rPr>
        <w:t>s</w:t>
      </w:r>
      <w:r w:rsidRPr="002B18FF">
        <w:rPr>
          <w:rFonts w:cstheme="minorHAnsi"/>
        </w:rPr>
        <w:t>, non-household</w:t>
      </w:r>
      <w:r w:rsidR="00602103">
        <w:rPr>
          <w:rFonts w:cstheme="minorHAnsi"/>
        </w:rPr>
        <w:t>s</w:t>
      </w:r>
      <w:r w:rsidRPr="002B18FF">
        <w:rPr>
          <w:rFonts w:cstheme="minorHAnsi"/>
        </w:rPr>
        <w:t xml:space="preserve"> (i.e. licensed providers and business end-users)</w:t>
      </w:r>
      <w:r>
        <w:rPr>
          <w:rFonts w:cstheme="minorHAnsi"/>
        </w:rPr>
        <w:t xml:space="preserve"> and</w:t>
      </w:r>
      <w:r w:rsidRPr="002B18FF">
        <w:rPr>
          <w:rFonts w:cstheme="minorHAnsi"/>
        </w:rPr>
        <w:t xml:space="preserve"> developer services.</w:t>
      </w:r>
    </w:p>
    <w:p w14:paraId="6CC4BB77" w14:textId="77777777" w:rsidR="00591638" w:rsidRPr="002B18FF" w:rsidRDefault="00591638" w:rsidP="0059583E">
      <w:pPr>
        <w:ind w:right="-141"/>
        <w:jc w:val="both"/>
        <w:rPr>
          <w:rFonts w:cstheme="minorHAnsi"/>
        </w:rPr>
      </w:pPr>
    </w:p>
    <w:p w14:paraId="5258C46F" w14:textId="5F378009" w:rsidR="00591638" w:rsidRPr="002B18FF" w:rsidRDefault="00591638" w:rsidP="0059583E">
      <w:pPr>
        <w:ind w:right="-141"/>
        <w:jc w:val="both"/>
        <w:rPr>
          <w:rFonts w:cstheme="minorHAnsi"/>
        </w:rPr>
      </w:pPr>
      <w:r w:rsidRPr="002B18FF">
        <w:rPr>
          <w:rFonts w:cstheme="minorHAnsi"/>
        </w:rPr>
        <w:t>Scottish Water has broadly maintained its performance on its household and non-household C</w:t>
      </w:r>
      <w:r w:rsidR="00152AAA">
        <w:rPr>
          <w:rFonts w:cstheme="minorHAnsi"/>
        </w:rPr>
        <w:t>EMs</w:t>
      </w:r>
      <w:r w:rsidRPr="002B18FF">
        <w:rPr>
          <w:rFonts w:cstheme="minorHAnsi"/>
        </w:rPr>
        <w:t xml:space="preserve">. The </w:t>
      </w:r>
      <w:r w:rsidR="00152AAA">
        <w:rPr>
          <w:rFonts w:cstheme="minorHAnsi"/>
        </w:rPr>
        <w:t>actual</w:t>
      </w:r>
      <w:r w:rsidRPr="002B18FF">
        <w:rPr>
          <w:rFonts w:cstheme="minorHAnsi"/>
        </w:rPr>
        <w:t xml:space="preserve"> scores for these measures are shown against the annual targets </w:t>
      </w:r>
      <w:r w:rsidR="009D16BE">
        <w:rPr>
          <w:rFonts w:cstheme="minorHAnsi"/>
        </w:rPr>
        <w:t>(baseline)</w:t>
      </w:r>
      <w:r w:rsidRPr="002B18FF">
        <w:rPr>
          <w:rFonts w:cstheme="minorHAnsi"/>
        </w:rPr>
        <w:t xml:space="preserve"> in </w:t>
      </w:r>
      <w:r w:rsidRPr="002B18FF">
        <w:rPr>
          <w:rFonts w:cstheme="minorHAnsi"/>
        </w:rPr>
        <w:fldChar w:fldCharType="begin"/>
      </w:r>
      <w:r w:rsidRPr="002B18FF">
        <w:rPr>
          <w:rFonts w:cstheme="minorHAnsi"/>
        </w:rPr>
        <w:instrText xml:space="preserve"> REF _Ref176964701 \h </w:instrText>
      </w:r>
      <w:r>
        <w:rPr>
          <w:rFonts w:cstheme="minorHAnsi"/>
        </w:rPr>
        <w:instrText xml:space="preserve"> \* MERGEFORMAT </w:instrText>
      </w:r>
      <w:r w:rsidRPr="002B18FF">
        <w:rPr>
          <w:rFonts w:cstheme="minorHAnsi"/>
        </w:rPr>
      </w:r>
      <w:r w:rsidRPr="002B18FF">
        <w:rPr>
          <w:rFonts w:cstheme="minorHAnsi"/>
        </w:rPr>
        <w:fldChar w:fldCharType="separate"/>
      </w:r>
      <w:r w:rsidR="005A22AF" w:rsidRPr="005A22AF">
        <w:rPr>
          <w:rFonts w:cstheme="minorHAnsi"/>
        </w:rPr>
        <w:t xml:space="preserve">Figure </w:t>
      </w:r>
      <w:r w:rsidR="005A22AF" w:rsidRPr="005A22AF">
        <w:rPr>
          <w:rFonts w:cstheme="minorHAnsi"/>
          <w:noProof/>
        </w:rPr>
        <w:t>9</w:t>
      </w:r>
      <w:r w:rsidRPr="002B18FF">
        <w:rPr>
          <w:rFonts w:cstheme="minorHAnsi"/>
        </w:rPr>
        <w:fldChar w:fldCharType="end"/>
      </w:r>
      <w:r w:rsidRPr="002B18FF">
        <w:rPr>
          <w:rFonts w:cstheme="minorHAnsi"/>
        </w:rPr>
        <w:t xml:space="preserve"> and </w:t>
      </w:r>
      <w:r w:rsidRPr="002B18FF">
        <w:rPr>
          <w:rFonts w:cstheme="minorHAnsi"/>
        </w:rPr>
        <w:fldChar w:fldCharType="begin"/>
      </w:r>
      <w:r w:rsidRPr="002B18FF">
        <w:rPr>
          <w:rFonts w:cstheme="minorHAnsi"/>
        </w:rPr>
        <w:instrText xml:space="preserve"> REF _Ref176964706 \h </w:instrText>
      </w:r>
      <w:r>
        <w:rPr>
          <w:rFonts w:cstheme="minorHAnsi"/>
        </w:rPr>
        <w:instrText xml:space="preserve"> \* MERGEFORMAT </w:instrText>
      </w:r>
      <w:r w:rsidRPr="002B18FF">
        <w:rPr>
          <w:rFonts w:cstheme="minorHAnsi"/>
        </w:rPr>
      </w:r>
      <w:r w:rsidRPr="002B18FF">
        <w:rPr>
          <w:rFonts w:cstheme="minorHAnsi"/>
        </w:rPr>
        <w:fldChar w:fldCharType="separate"/>
      </w:r>
      <w:r w:rsidR="005A22AF" w:rsidRPr="005A22AF">
        <w:rPr>
          <w:rFonts w:cstheme="minorHAnsi"/>
        </w:rPr>
        <w:t xml:space="preserve">Figure </w:t>
      </w:r>
      <w:r w:rsidR="005A22AF" w:rsidRPr="005A22AF">
        <w:rPr>
          <w:rFonts w:cstheme="minorHAnsi"/>
          <w:noProof/>
        </w:rPr>
        <w:t>10</w:t>
      </w:r>
      <w:r w:rsidRPr="002B18FF">
        <w:rPr>
          <w:rFonts w:cstheme="minorHAnsi"/>
        </w:rPr>
        <w:fldChar w:fldCharType="end"/>
      </w:r>
      <w:r w:rsidR="009D16BE">
        <w:rPr>
          <w:rFonts w:cstheme="minorHAnsi"/>
        </w:rPr>
        <w:t xml:space="preserve"> for households and non-household CEMs respectively</w:t>
      </w:r>
      <w:r w:rsidRPr="002B18FF">
        <w:rPr>
          <w:rFonts w:cstheme="minorHAnsi"/>
        </w:rPr>
        <w:t>.</w:t>
      </w:r>
    </w:p>
    <w:p w14:paraId="3274A812" w14:textId="77777777" w:rsidR="00591638" w:rsidRPr="002B18FF" w:rsidRDefault="00591638" w:rsidP="0059583E">
      <w:pPr>
        <w:ind w:right="-141"/>
        <w:jc w:val="both"/>
        <w:rPr>
          <w:rFonts w:cstheme="minorHAnsi"/>
        </w:rPr>
      </w:pPr>
    </w:p>
    <w:p w14:paraId="40609AE6" w14:textId="77777777" w:rsidR="00591638" w:rsidRPr="002B18FF" w:rsidRDefault="00591638" w:rsidP="0059583E">
      <w:pPr>
        <w:pStyle w:val="Caption"/>
        <w:keepNext/>
        <w:jc w:val="both"/>
        <w:rPr>
          <w:rFonts w:cstheme="minorHAnsi"/>
        </w:rPr>
        <w:sectPr w:rsidR="00591638" w:rsidRPr="002B18FF" w:rsidSect="00393138">
          <w:pgSz w:w="11906" w:h="16838"/>
          <w:pgMar w:top="1440" w:right="1080" w:bottom="1440" w:left="1080" w:header="708" w:footer="708" w:gutter="0"/>
          <w:cols w:space="708"/>
          <w:docGrid w:linePitch="360"/>
        </w:sectPr>
      </w:pPr>
    </w:p>
    <w:p w14:paraId="552333A8" w14:textId="6F37B43B" w:rsidR="00591638" w:rsidRDefault="00591638" w:rsidP="0059583E">
      <w:pPr>
        <w:pStyle w:val="Caption"/>
        <w:keepNext/>
        <w:jc w:val="both"/>
        <w:rPr>
          <w:rFonts w:cstheme="minorHAnsi"/>
          <w:sz w:val="24"/>
          <w:szCs w:val="24"/>
        </w:rPr>
      </w:pPr>
      <w:bookmarkStart w:id="27" w:name="_Ref176964701"/>
      <w:r w:rsidRPr="006267F7">
        <w:rPr>
          <w:rFonts w:cstheme="minorHAnsi"/>
          <w:sz w:val="24"/>
          <w:szCs w:val="24"/>
        </w:rPr>
        <w:t xml:space="preserve">Figure </w:t>
      </w:r>
      <w:r w:rsidRPr="006267F7">
        <w:rPr>
          <w:rFonts w:cstheme="minorHAnsi"/>
          <w:sz w:val="24"/>
          <w:szCs w:val="24"/>
        </w:rPr>
        <w:fldChar w:fldCharType="begin"/>
      </w:r>
      <w:r w:rsidRPr="006267F7">
        <w:rPr>
          <w:rFonts w:cstheme="minorHAnsi"/>
          <w:sz w:val="24"/>
          <w:szCs w:val="24"/>
        </w:rPr>
        <w:instrText xml:space="preserve"> SEQ Figure \* ARABIC </w:instrText>
      </w:r>
      <w:r w:rsidRPr="006267F7">
        <w:rPr>
          <w:rFonts w:cstheme="minorHAnsi"/>
          <w:sz w:val="24"/>
          <w:szCs w:val="24"/>
        </w:rPr>
        <w:fldChar w:fldCharType="separate"/>
      </w:r>
      <w:r w:rsidR="005A22AF">
        <w:rPr>
          <w:rFonts w:cstheme="minorHAnsi"/>
          <w:noProof/>
          <w:sz w:val="24"/>
          <w:szCs w:val="24"/>
        </w:rPr>
        <w:t>9</w:t>
      </w:r>
      <w:r w:rsidRPr="006267F7">
        <w:rPr>
          <w:rFonts w:cstheme="minorHAnsi"/>
          <w:sz w:val="24"/>
          <w:szCs w:val="24"/>
        </w:rPr>
        <w:fldChar w:fldCharType="end"/>
      </w:r>
      <w:bookmarkEnd w:id="27"/>
      <w:r w:rsidRPr="006267F7">
        <w:rPr>
          <w:rFonts w:cstheme="minorHAnsi"/>
          <w:sz w:val="24"/>
          <w:szCs w:val="24"/>
        </w:rPr>
        <w:t>:</w:t>
      </w:r>
      <w:r>
        <w:rPr>
          <w:rFonts w:cstheme="minorHAnsi"/>
          <w:sz w:val="24"/>
          <w:szCs w:val="24"/>
        </w:rPr>
        <w:t xml:space="preserve"> </w:t>
      </w:r>
      <w:r w:rsidRPr="006267F7">
        <w:rPr>
          <w:rFonts w:cstheme="minorHAnsi"/>
          <w:sz w:val="24"/>
          <w:szCs w:val="24"/>
        </w:rPr>
        <w:t>Household CEM</w:t>
      </w:r>
    </w:p>
    <w:p w14:paraId="50E604CC" w14:textId="74B07256" w:rsidR="00E3085F" w:rsidRPr="00E3085F" w:rsidRDefault="00E3085F" w:rsidP="00B50F9B">
      <w:r>
        <w:rPr>
          <w:noProof/>
        </w:rPr>
        <w:drawing>
          <wp:inline distT="0" distB="0" distL="0" distR="0" wp14:anchorId="13636252" wp14:editId="613CCDCF">
            <wp:extent cx="3035935" cy="3395980"/>
            <wp:effectExtent l="0" t="0" r="0" b="0"/>
            <wp:docPr id="13334224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5935" cy="3395980"/>
                    </a:xfrm>
                    <a:prstGeom prst="rect">
                      <a:avLst/>
                    </a:prstGeom>
                    <a:noFill/>
                  </pic:spPr>
                </pic:pic>
              </a:graphicData>
            </a:graphic>
          </wp:inline>
        </w:drawing>
      </w:r>
    </w:p>
    <w:p w14:paraId="4281A686" w14:textId="398988C2" w:rsidR="00591638" w:rsidRPr="002B18FF" w:rsidRDefault="00591638" w:rsidP="0059583E">
      <w:pPr>
        <w:ind w:right="-141"/>
        <w:jc w:val="both"/>
        <w:rPr>
          <w:rFonts w:cstheme="minorHAnsi"/>
        </w:rPr>
      </w:pPr>
      <w:r w:rsidRPr="002B18FF">
        <w:rPr>
          <w:rFonts w:cstheme="minorHAnsi"/>
        </w:rPr>
        <w:t xml:space="preserve"> </w:t>
      </w:r>
    </w:p>
    <w:p w14:paraId="02DE2B24" w14:textId="48592A39" w:rsidR="00591638" w:rsidRDefault="00591638" w:rsidP="0059583E">
      <w:pPr>
        <w:pStyle w:val="Caption"/>
        <w:keepNext/>
        <w:jc w:val="both"/>
        <w:rPr>
          <w:rFonts w:cstheme="minorHAnsi"/>
          <w:sz w:val="24"/>
          <w:szCs w:val="24"/>
        </w:rPr>
      </w:pPr>
      <w:bookmarkStart w:id="28" w:name="_Ref176964706"/>
      <w:r w:rsidRPr="006267F7">
        <w:rPr>
          <w:rFonts w:cstheme="minorHAnsi"/>
          <w:sz w:val="24"/>
          <w:szCs w:val="24"/>
        </w:rPr>
        <w:t xml:space="preserve">Figure </w:t>
      </w:r>
      <w:r w:rsidRPr="006267F7">
        <w:rPr>
          <w:rFonts w:cstheme="minorHAnsi"/>
          <w:sz w:val="24"/>
          <w:szCs w:val="24"/>
        </w:rPr>
        <w:fldChar w:fldCharType="begin"/>
      </w:r>
      <w:r w:rsidRPr="006267F7">
        <w:rPr>
          <w:rFonts w:cstheme="minorHAnsi"/>
          <w:sz w:val="24"/>
          <w:szCs w:val="24"/>
        </w:rPr>
        <w:instrText xml:space="preserve"> SEQ Figure \* ARABIC </w:instrText>
      </w:r>
      <w:r w:rsidRPr="006267F7">
        <w:rPr>
          <w:rFonts w:cstheme="minorHAnsi"/>
          <w:sz w:val="24"/>
          <w:szCs w:val="24"/>
        </w:rPr>
        <w:fldChar w:fldCharType="separate"/>
      </w:r>
      <w:r w:rsidR="005A22AF">
        <w:rPr>
          <w:rFonts w:cstheme="minorHAnsi"/>
          <w:noProof/>
          <w:sz w:val="24"/>
          <w:szCs w:val="24"/>
        </w:rPr>
        <w:t>10</w:t>
      </w:r>
      <w:r w:rsidRPr="006267F7">
        <w:rPr>
          <w:rFonts w:cstheme="minorHAnsi"/>
          <w:sz w:val="24"/>
          <w:szCs w:val="24"/>
        </w:rPr>
        <w:fldChar w:fldCharType="end"/>
      </w:r>
      <w:bookmarkEnd w:id="28"/>
      <w:r w:rsidRPr="006267F7">
        <w:rPr>
          <w:rFonts w:cstheme="minorHAnsi"/>
          <w:sz w:val="24"/>
          <w:szCs w:val="24"/>
        </w:rPr>
        <w:t>:</w:t>
      </w:r>
      <w:r>
        <w:rPr>
          <w:rFonts w:cstheme="minorHAnsi"/>
          <w:sz w:val="24"/>
          <w:szCs w:val="24"/>
        </w:rPr>
        <w:t xml:space="preserve"> </w:t>
      </w:r>
      <w:r w:rsidRPr="006267F7">
        <w:rPr>
          <w:rFonts w:cstheme="minorHAnsi"/>
          <w:sz w:val="24"/>
          <w:szCs w:val="24"/>
        </w:rPr>
        <w:t>Non-household CEM</w:t>
      </w:r>
    </w:p>
    <w:p w14:paraId="09A53075" w14:textId="734C6F89" w:rsidR="00E3085F" w:rsidRPr="00E3085F" w:rsidRDefault="00E3085F" w:rsidP="00B50F9B">
      <w:r>
        <w:rPr>
          <w:noProof/>
        </w:rPr>
        <w:drawing>
          <wp:inline distT="0" distB="0" distL="0" distR="0" wp14:anchorId="5AAA2A74" wp14:editId="1226BDCF">
            <wp:extent cx="3035935" cy="3395980"/>
            <wp:effectExtent l="0" t="0" r="0" b="0"/>
            <wp:docPr id="16764002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5935" cy="3395980"/>
                    </a:xfrm>
                    <a:prstGeom prst="rect">
                      <a:avLst/>
                    </a:prstGeom>
                    <a:noFill/>
                  </pic:spPr>
                </pic:pic>
              </a:graphicData>
            </a:graphic>
          </wp:inline>
        </w:drawing>
      </w:r>
    </w:p>
    <w:p w14:paraId="2029A9FE" w14:textId="65886DFD" w:rsidR="00591638" w:rsidRPr="002B18FF" w:rsidRDefault="00591638" w:rsidP="0059583E">
      <w:pPr>
        <w:ind w:right="-141"/>
        <w:jc w:val="both"/>
        <w:rPr>
          <w:rFonts w:cstheme="minorHAnsi"/>
        </w:rPr>
        <w:sectPr w:rsidR="00591638" w:rsidRPr="002B18FF" w:rsidSect="00591638">
          <w:type w:val="continuous"/>
          <w:pgSz w:w="11906" w:h="16838"/>
          <w:pgMar w:top="1440" w:right="1080" w:bottom="1440" w:left="1080" w:header="708" w:footer="708" w:gutter="0"/>
          <w:cols w:num="2" w:space="708"/>
          <w:docGrid w:linePitch="360"/>
        </w:sectPr>
      </w:pPr>
    </w:p>
    <w:p w14:paraId="796B4BAA" w14:textId="77777777" w:rsidR="00591638" w:rsidRPr="002B18FF" w:rsidRDefault="00591638" w:rsidP="0059583E">
      <w:pPr>
        <w:ind w:right="-141"/>
        <w:jc w:val="both"/>
        <w:rPr>
          <w:rFonts w:cstheme="minorHAnsi"/>
        </w:rPr>
      </w:pPr>
    </w:p>
    <w:p w14:paraId="2442BA29" w14:textId="06D9520F" w:rsidR="00591638" w:rsidRDefault="009D16BE" w:rsidP="0059583E">
      <w:pPr>
        <w:keepNext/>
        <w:keepLines/>
        <w:ind w:right="-141"/>
        <w:jc w:val="both"/>
        <w:rPr>
          <w:rFonts w:cstheme="minorHAnsi"/>
        </w:rPr>
      </w:pPr>
      <w:r>
        <w:rPr>
          <w:rFonts w:cstheme="minorHAnsi"/>
        </w:rPr>
        <w:lastRenderedPageBreak/>
        <w:t xml:space="preserve">Scottish Water has trialled </w:t>
      </w:r>
      <w:r w:rsidR="001F02FA">
        <w:rPr>
          <w:rFonts w:cstheme="minorHAnsi"/>
        </w:rPr>
        <w:t xml:space="preserve">a </w:t>
      </w:r>
      <w:r w:rsidR="00591638" w:rsidRPr="002B18FF">
        <w:rPr>
          <w:rFonts w:cstheme="minorHAnsi"/>
        </w:rPr>
        <w:t xml:space="preserve">Developer CEM over </w:t>
      </w:r>
      <w:r w:rsidR="00591638">
        <w:rPr>
          <w:rFonts w:cstheme="minorHAnsi"/>
        </w:rPr>
        <w:t>recent</w:t>
      </w:r>
      <w:r w:rsidR="00591638" w:rsidRPr="002B18FF">
        <w:rPr>
          <w:rFonts w:cstheme="minorHAnsi"/>
        </w:rPr>
        <w:t xml:space="preserve"> years</w:t>
      </w:r>
      <w:r w:rsidR="00591638">
        <w:rPr>
          <w:rFonts w:cstheme="minorHAnsi"/>
        </w:rPr>
        <w:t xml:space="preserve"> </w:t>
      </w:r>
      <w:r w:rsidR="001F02FA">
        <w:rPr>
          <w:rFonts w:cstheme="minorHAnsi"/>
        </w:rPr>
        <w:t xml:space="preserve">with the </w:t>
      </w:r>
      <w:r w:rsidR="00591638">
        <w:rPr>
          <w:rFonts w:cstheme="minorHAnsi"/>
        </w:rPr>
        <w:t>measure</w:t>
      </w:r>
      <w:r w:rsidR="00591638" w:rsidRPr="002B18FF">
        <w:rPr>
          <w:rFonts w:cstheme="minorHAnsi"/>
        </w:rPr>
        <w:t xml:space="preserve"> </w:t>
      </w:r>
      <w:r w:rsidR="001F02FA">
        <w:rPr>
          <w:rFonts w:cstheme="minorHAnsi"/>
        </w:rPr>
        <w:t>becoming</w:t>
      </w:r>
      <w:r w:rsidR="00591638">
        <w:rPr>
          <w:rFonts w:cstheme="minorHAnsi"/>
        </w:rPr>
        <w:t xml:space="preserve"> </w:t>
      </w:r>
      <w:r w:rsidR="001F02FA">
        <w:rPr>
          <w:rFonts w:cstheme="minorHAnsi"/>
        </w:rPr>
        <w:t>live</w:t>
      </w:r>
      <w:r w:rsidR="001F02FA" w:rsidRPr="002B18FF">
        <w:rPr>
          <w:rFonts w:cstheme="minorHAnsi"/>
        </w:rPr>
        <w:t xml:space="preserve"> </w:t>
      </w:r>
      <w:r w:rsidR="00591638" w:rsidRPr="002B18FF">
        <w:rPr>
          <w:rFonts w:cstheme="minorHAnsi"/>
        </w:rPr>
        <w:t xml:space="preserve">in 2023-24. </w:t>
      </w:r>
      <w:r w:rsidR="00591638" w:rsidRPr="002B18FF">
        <w:rPr>
          <w:rFonts w:cstheme="minorHAnsi"/>
        </w:rPr>
        <w:fldChar w:fldCharType="begin"/>
      </w:r>
      <w:r w:rsidR="00591638" w:rsidRPr="002B18FF">
        <w:rPr>
          <w:rFonts w:cstheme="minorHAnsi"/>
        </w:rPr>
        <w:instrText xml:space="preserve"> REF _Ref176965144 \h  \* MERGEFORMAT </w:instrText>
      </w:r>
      <w:r w:rsidR="00591638" w:rsidRPr="002B18FF">
        <w:rPr>
          <w:rFonts w:cstheme="minorHAnsi"/>
        </w:rPr>
      </w:r>
      <w:r w:rsidR="00591638" w:rsidRPr="002B18FF">
        <w:rPr>
          <w:rFonts w:cstheme="minorHAnsi"/>
        </w:rPr>
        <w:fldChar w:fldCharType="separate"/>
      </w:r>
      <w:r w:rsidR="005A22AF" w:rsidRPr="005A22AF">
        <w:rPr>
          <w:rFonts w:cstheme="minorHAnsi"/>
        </w:rPr>
        <w:t xml:space="preserve">Figure </w:t>
      </w:r>
      <w:r w:rsidR="005A22AF" w:rsidRPr="001D1FE2">
        <w:rPr>
          <w:rFonts w:cstheme="minorHAnsi"/>
        </w:rPr>
        <w:t>11</w:t>
      </w:r>
      <w:r w:rsidR="00591638" w:rsidRPr="002B18FF">
        <w:rPr>
          <w:rFonts w:cstheme="minorHAnsi"/>
        </w:rPr>
        <w:fldChar w:fldCharType="end"/>
      </w:r>
      <w:r w:rsidR="00591638">
        <w:rPr>
          <w:rFonts w:cstheme="minorHAnsi"/>
        </w:rPr>
        <w:t xml:space="preserve"> shows that </w:t>
      </w:r>
      <w:r w:rsidR="00371CB2">
        <w:rPr>
          <w:rFonts w:cstheme="minorHAnsi"/>
        </w:rPr>
        <w:t>Scottish Water’s</w:t>
      </w:r>
      <w:r w:rsidR="00591638">
        <w:rPr>
          <w:rFonts w:cstheme="minorHAnsi"/>
        </w:rPr>
        <w:t xml:space="preserve"> performance </w:t>
      </w:r>
      <w:r w:rsidR="00591638" w:rsidRPr="002B18FF">
        <w:rPr>
          <w:rFonts w:cstheme="minorHAnsi"/>
        </w:rPr>
        <w:t>of 75.9</w:t>
      </w:r>
      <w:r w:rsidR="00591638">
        <w:rPr>
          <w:rFonts w:cstheme="minorHAnsi"/>
        </w:rPr>
        <w:t xml:space="preserve"> </w:t>
      </w:r>
      <w:r w:rsidR="004860D1">
        <w:rPr>
          <w:rFonts w:cstheme="minorHAnsi"/>
        </w:rPr>
        <w:t xml:space="preserve">was </w:t>
      </w:r>
      <w:r w:rsidR="00591638">
        <w:rPr>
          <w:rFonts w:cstheme="minorHAnsi"/>
        </w:rPr>
        <w:t xml:space="preserve">outside of the </w:t>
      </w:r>
      <w:r w:rsidR="00371CB2">
        <w:rPr>
          <w:rFonts w:cstheme="minorHAnsi"/>
        </w:rPr>
        <w:t xml:space="preserve">lower end of the </w:t>
      </w:r>
      <w:r w:rsidR="00591638">
        <w:rPr>
          <w:rFonts w:cstheme="minorHAnsi"/>
        </w:rPr>
        <w:t>t</w:t>
      </w:r>
      <w:r w:rsidR="00591638" w:rsidRPr="002B18FF">
        <w:rPr>
          <w:rFonts w:cstheme="minorHAnsi"/>
        </w:rPr>
        <w:t xml:space="preserve">arget </w:t>
      </w:r>
      <w:r w:rsidR="00371CB2">
        <w:rPr>
          <w:rFonts w:cstheme="minorHAnsi"/>
        </w:rPr>
        <w:t>range</w:t>
      </w:r>
      <w:r w:rsidR="00591638" w:rsidRPr="002B18FF">
        <w:rPr>
          <w:rFonts w:cstheme="minorHAnsi"/>
        </w:rPr>
        <w:t xml:space="preserve"> for dCEM of 76.5-78.7.</w:t>
      </w:r>
    </w:p>
    <w:p w14:paraId="1FAD6CE7" w14:textId="77777777" w:rsidR="0054238A" w:rsidRPr="002B18FF" w:rsidRDefault="0054238A" w:rsidP="0059583E">
      <w:pPr>
        <w:keepNext/>
        <w:keepLines/>
        <w:ind w:right="-141"/>
        <w:jc w:val="both"/>
        <w:rPr>
          <w:rFonts w:cstheme="minorHAnsi"/>
        </w:rPr>
      </w:pPr>
    </w:p>
    <w:p w14:paraId="42B8E225" w14:textId="5A2DBCEC" w:rsidR="00591638" w:rsidRDefault="00591638" w:rsidP="0059583E">
      <w:pPr>
        <w:pStyle w:val="Caption"/>
        <w:keepNext/>
        <w:keepLines/>
        <w:jc w:val="both"/>
        <w:rPr>
          <w:rFonts w:cstheme="minorHAnsi"/>
          <w:sz w:val="24"/>
          <w:szCs w:val="24"/>
        </w:rPr>
      </w:pPr>
      <w:bookmarkStart w:id="29" w:name="_Ref176965144"/>
      <w:r w:rsidRPr="00C30BD5">
        <w:rPr>
          <w:rFonts w:cstheme="minorHAnsi"/>
          <w:sz w:val="24"/>
          <w:szCs w:val="24"/>
        </w:rPr>
        <w:t xml:space="preserve">Figure </w:t>
      </w:r>
      <w:r w:rsidRPr="00C30BD5">
        <w:rPr>
          <w:rFonts w:cstheme="minorHAnsi"/>
          <w:sz w:val="24"/>
          <w:szCs w:val="24"/>
        </w:rPr>
        <w:fldChar w:fldCharType="begin"/>
      </w:r>
      <w:r w:rsidRPr="00C30BD5">
        <w:rPr>
          <w:rFonts w:cstheme="minorHAnsi"/>
          <w:sz w:val="24"/>
          <w:szCs w:val="24"/>
        </w:rPr>
        <w:instrText xml:space="preserve"> SEQ Figure \* ARABIC </w:instrText>
      </w:r>
      <w:r w:rsidRPr="00C30BD5">
        <w:rPr>
          <w:rFonts w:cstheme="minorHAnsi"/>
          <w:sz w:val="24"/>
          <w:szCs w:val="24"/>
        </w:rPr>
        <w:fldChar w:fldCharType="separate"/>
      </w:r>
      <w:r w:rsidR="005A22AF">
        <w:rPr>
          <w:rFonts w:cstheme="minorHAnsi"/>
          <w:noProof/>
          <w:sz w:val="24"/>
          <w:szCs w:val="24"/>
        </w:rPr>
        <w:t>11</w:t>
      </w:r>
      <w:r w:rsidRPr="00C30BD5">
        <w:rPr>
          <w:rFonts w:cstheme="minorHAnsi"/>
          <w:sz w:val="24"/>
          <w:szCs w:val="24"/>
        </w:rPr>
        <w:fldChar w:fldCharType="end"/>
      </w:r>
      <w:bookmarkEnd w:id="29"/>
      <w:r w:rsidRPr="00C30BD5">
        <w:rPr>
          <w:rFonts w:cstheme="minorHAnsi"/>
          <w:sz w:val="24"/>
          <w:szCs w:val="24"/>
        </w:rPr>
        <w:t>: Developer CEM</w:t>
      </w:r>
    </w:p>
    <w:p w14:paraId="2A520FA4" w14:textId="1F651B49" w:rsidR="00591638" w:rsidRPr="002B18FF" w:rsidRDefault="00EF3C9B" w:rsidP="00B50F9B">
      <w:pPr>
        <w:keepNext/>
        <w:keepLines/>
        <w:ind w:right="-141"/>
        <w:jc w:val="both"/>
        <w:rPr>
          <w:rFonts w:cstheme="minorHAnsi"/>
        </w:rPr>
      </w:pPr>
      <w:r>
        <w:rPr>
          <w:rFonts w:cstheme="minorHAnsi"/>
          <w:noProof/>
        </w:rPr>
        <w:drawing>
          <wp:inline distT="0" distB="0" distL="0" distR="0" wp14:anchorId="6C6F2F97" wp14:editId="275267CE">
            <wp:extent cx="6315710" cy="2438400"/>
            <wp:effectExtent l="0" t="0" r="8890" b="0"/>
            <wp:docPr id="898898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5710" cy="2438400"/>
                    </a:xfrm>
                    <a:prstGeom prst="rect">
                      <a:avLst/>
                    </a:prstGeom>
                    <a:noFill/>
                  </pic:spPr>
                </pic:pic>
              </a:graphicData>
            </a:graphic>
          </wp:inline>
        </w:drawing>
      </w:r>
    </w:p>
    <w:p w14:paraId="5ED8C695" w14:textId="77777777" w:rsidR="00085D07" w:rsidRPr="00997DEB" w:rsidRDefault="00085D07" w:rsidP="0059583E">
      <w:pPr>
        <w:pStyle w:val="Heading30"/>
        <w:jc w:val="both"/>
      </w:pPr>
      <w:r w:rsidRPr="00997DEB">
        <w:t>Outcome Performance Assessment</w:t>
      </w:r>
    </w:p>
    <w:p w14:paraId="3D4719DF" w14:textId="77777777" w:rsidR="00085D07" w:rsidRPr="002B18FF" w:rsidRDefault="00085D07" w:rsidP="0059583E">
      <w:pPr>
        <w:ind w:right="-141"/>
        <w:jc w:val="both"/>
        <w:rPr>
          <w:rFonts w:cstheme="minorHAnsi"/>
        </w:rPr>
      </w:pPr>
      <w:r w:rsidRPr="002B18FF">
        <w:rPr>
          <w:rFonts w:cstheme="minorHAnsi"/>
        </w:rPr>
        <w:t xml:space="preserve">Scottish Water measures its overall performance through an Outcome Performance Assessment (OPA) which </w:t>
      </w:r>
      <w:r>
        <w:rPr>
          <w:rFonts w:cstheme="minorHAnsi"/>
        </w:rPr>
        <w:t>is a weighted index of</w:t>
      </w:r>
      <w:r w:rsidRPr="002B18FF">
        <w:rPr>
          <w:rFonts w:cstheme="minorHAnsi"/>
        </w:rPr>
        <w:t xml:space="preserve"> nine measures </w:t>
      </w:r>
      <w:r>
        <w:rPr>
          <w:rFonts w:cstheme="minorHAnsi"/>
        </w:rPr>
        <w:t>covering the water service, wastewater service and the impact of services on the environment</w:t>
      </w:r>
      <w:r w:rsidRPr="002B18FF">
        <w:rPr>
          <w:rFonts w:cstheme="minorHAnsi"/>
        </w:rPr>
        <w:t xml:space="preserve">. </w:t>
      </w:r>
    </w:p>
    <w:p w14:paraId="6BB84E62" w14:textId="77777777" w:rsidR="00085D07" w:rsidRPr="002B18FF" w:rsidRDefault="00085D07" w:rsidP="0059583E">
      <w:pPr>
        <w:ind w:right="-141"/>
        <w:jc w:val="both"/>
        <w:rPr>
          <w:rFonts w:cstheme="minorHAnsi"/>
        </w:rPr>
      </w:pPr>
    </w:p>
    <w:p w14:paraId="18A405A8" w14:textId="7B19CC09" w:rsidR="00085D07" w:rsidRPr="002B18FF" w:rsidRDefault="00085D07" w:rsidP="0059583E">
      <w:pPr>
        <w:ind w:right="-141"/>
        <w:jc w:val="both"/>
        <w:rPr>
          <w:rFonts w:cstheme="minorHAnsi"/>
        </w:rPr>
      </w:pPr>
      <w:r w:rsidRPr="002B18FF">
        <w:rPr>
          <w:rFonts w:cstheme="minorHAnsi"/>
        </w:rPr>
        <w:t xml:space="preserve">In 2023-24, Scottish Water reported a score of 402 (89% of points available) against a target range of 395 – 410 points. This is similar to scores in 2021-22 and 2022-23, </w:t>
      </w:r>
      <w:r w:rsidR="000C1C91">
        <w:rPr>
          <w:rFonts w:cstheme="minorHAnsi"/>
        </w:rPr>
        <w:t>as shown</w:t>
      </w:r>
      <w:r w:rsidRPr="002B18FF">
        <w:rPr>
          <w:rFonts w:cstheme="minorHAnsi"/>
        </w:rPr>
        <w:t xml:space="preserve"> in </w:t>
      </w:r>
      <w:r w:rsidRPr="002B18FF">
        <w:rPr>
          <w:rFonts w:cstheme="minorHAnsi"/>
        </w:rPr>
        <w:fldChar w:fldCharType="begin"/>
      </w:r>
      <w:r w:rsidRPr="002B18FF">
        <w:rPr>
          <w:rFonts w:cstheme="minorHAnsi"/>
        </w:rPr>
        <w:instrText xml:space="preserve"> REF _Ref176965602 \h </w:instrText>
      </w:r>
      <w:r>
        <w:rPr>
          <w:rFonts w:cstheme="minorHAnsi"/>
        </w:rPr>
        <w:instrText xml:space="preserve"> \* MERGEFORMAT </w:instrText>
      </w:r>
      <w:r w:rsidRPr="002B18FF">
        <w:rPr>
          <w:rFonts w:cstheme="minorHAnsi"/>
        </w:rPr>
      </w:r>
      <w:r w:rsidRPr="002B18FF">
        <w:rPr>
          <w:rFonts w:cstheme="minorHAnsi"/>
        </w:rPr>
        <w:fldChar w:fldCharType="separate"/>
      </w:r>
      <w:r w:rsidR="005A22AF" w:rsidRPr="005A22AF">
        <w:rPr>
          <w:rFonts w:cstheme="minorHAnsi"/>
        </w:rPr>
        <w:t xml:space="preserve">Figure </w:t>
      </w:r>
      <w:r w:rsidR="005A22AF" w:rsidRPr="005A22AF">
        <w:rPr>
          <w:rFonts w:cstheme="minorHAnsi"/>
          <w:noProof/>
        </w:rPr>
        <w:t>12</w:t>
      </w:r>
      <w:r w:rsidRPr="002B18FF">
        <w:rPr>
          <w:rFonts w:cstheme="minorHAnsi"/>
        </w:rPr>
        <w:fldChar w:fldCharType="end"/>
      </w:r>
      <w:r w:rsidRPr="002B18FF">
        <w:rPr>
          <w:rFonts w:cstheme="minorHAnsi"/>
        </w:rPr>
        <w:t xml:space="preserve">. </w:t>
      </w:r>
    </w:p>
    <w:p w14:paraId="6779C1D7" w14:textId="77777777" w:rsidR="00085D07" w:rsidRPr="002B18FF" w:rsidRDefault="00085D07" w:rsidP="0059583E">
      <w:pPr>
        <w:ind w:right="-141"/>
        <w:jc w:val="both"/>
        <w:rPr>
          <w:rFonts w:cstheme="minorHAnsi"/>
        </w:rPr>
      </w:pPr>
    </w:p>
    <w:p w14:paraId="450E3DB5" w14:textId="27B56A29" w:rsidR="00085D07" w:rsidRDefault="00085D07" w:rsidP="0059583E">
      <w:pPr>
        <w:pStyle w:val="Caption"/>
        <w:keepNext/>
        <w:jc w:val="both"/>
        <w:rPr>
          <w:rFonts w:cstheme="minorHAnsi"/>
          <w:sz w:val="24"/>
          <w:szCs w:val="24"/>
        </w:rPr>
      </w:pPr>
      <w:bookmarkStart w:id="30" w:name="_Ref176965602"/>
      <w:r w:rsidRPr="00B94A5F">
        <w:rPr>
          <w:rFonts w:cstheme="minorHAnsi"/>
          <w:sz w:val="24"/>
          <w:szCs w:val="24"/>
        </w:rPr>
        <w:t xml:space="preserve">Figure </w:t>
      </w:r>
      <w:r w:rsidRPr="00B94A5F">
        <w:rPr>
          <w:rFonts w:cstheme="minorHAnsi"/>
          <w:sz w:val="24"/>
          <w:szCs w:val="24"/>
        </w:rPr>
        <w:fldChar w:fldCharType="begin"/>
      </w:r>
      <w:r w:rsidRPr="00B94A5F">
        <w:rPr>
          <w:rFonts w:cstheme="minorHAnsi"/>
          <w:sz w:val="24"/>
          <w:szCs w:val="24"/>
        </w:rPr>
        <w:instrText xml:space="preserve"> SEQ Figure \* ARABIC </w:instrText>
      </w:r>
      <w:r w:rsidRPr="00B94A5F">
        <w:rPr>
          <w:rFonts w:cstheme="minorHAnsi"/>
          <w:sz w:val="24"/>
          <w:szCs w:val="24"/>
        </w:rPr>
        <w:fldChar w:fldCharType="separate"/>
      </w:r>
      <w:r w:rsidR="005A22AF">
        <w:rPr>
          <w:rFonts w:cstheme="minorHAnsi"/>
          <w:noProof/>
          <w:sz w:val="24"/>
          <w:szCs w:val="24"/>
        </w:rPr>
        <w:t>12</w:t>
      </w:r>
      <w:r w:rsidRPr="00B94A5F">
        <w:rPr>
          <w:rFonts w:cstheme="minorHAnsi"/>
          <w:sz w:val="24"/>
          <w:szCs w:val="24"/>
        </w:rPr>
        <w:fldChar w:fldCharType="end"/>
      </w:r>
      <w:bookmarkEnd w:id="30"/>
      <w:r w:rsidRPr="00B94A5F">
        <w:rPr>
          <w:rFonts w:cstheme="minorHAnsi"/>
          <w:sz w:val="24"/>
          <w:szCs w:val="24"/>
        </w:rPr>
        <w:t>: OPA</w:t>
      </w:r>
    </w:p>
    <w:p w14:paraId="496549EC" w14:textId="1A1942B6" w:rsidR="00F66076" w:rsidRPr="00F66076" w:rsidRDefault="00F66076" w:rsidP="00F66076">
      <w:r>
        <w:rPr>
          <w:noProof/>
        </w:rPr>
        <w:drawing>
          <wp:inline distT="0" distB="0" distL="0" distR="0" wp14:anchorId="48E8086B" wp14:editId="7EB8FEF0">
            <wp:extent cx="6285230" cy="2755900"/>
            <wp:effectExtent l="0" t="0" r="1270" b="6350"/>
            <wp:docPr id="19750111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5230" cy="2755900"/>
                    </a:xfrm>
                    <a:prstGeom prst="rect">
                      <a:avLst/>
                    </a:prstGeom>
                    <a:noFill/>
                  </pic:spPr>
                </pic:pic>
              </a:graphicData>
            </a:graphic>
          </wp:inline>
        </w:drawing>
      </w:r>
    </w:p>
    <w:p w14:paraId="235D8F58" w14:textId="77777777" w:rsidR="00085D07" w:rsidRPr="002B18FF" w:rsidRDefault="00085D07" w:rsidP="0059583E">
      <w:pPr>
        <w:ind w:right="-141"/>
        <w:jc w:val="both"/>
        <w:rPr>
          <w:rFonts w:cstheme="minorHAnsi"/>
        </w:rPr>
      </w:pPr>
    </w:p>
    <w:p w14:paraId="5750EE45" w14:textId="1D109817" w:rsidR="00085D07" w:rsidRPr="002B18FF" w:rsidRDefault="00085D07" w:rsidP="0059583E">
      <w:pPr>
        <w:ind w:right="-141"/>
        <w:jc w:val="both"/>
        <w:rPr>
          <w:rFonts w:cstheme="minorHAnsi"/>
        </w:rPr>
      </w:pPr>
      <w:r>
        <w:rPr>
          <w:rFonts w:cstheme="minorHAnsi"/>
        </w:rPr>
        <w:lastRenderedPageBreak/>
        <w:t>Scottish Water has maintained its</w:t>
      </w:r>
      <w:r w:rsidRPr="002B18FF">
        <w:rPr>
          <w:rFonts w:cstheme="minorHAnsi"/>
        </w:rPr>
        <w:t xml:space="preserve"> performance across all measures. Performance against environmental pollution incidents (EPIs) category 1 &amp; 2 has slightly improved, but this was offset by slight decrease</w:t>
      </w:r>
      <w:r w:rsidR="00D76191">
        <w:rPr>
          <w:rFonts w:cstheme="minorHAnsi"/>
        </w:rPr>
        <w:t>s</w:t>
      </w:r>
      <w:r w:rsidRPr="002B18FF">
        <w:rPr>
          <w:rFonts w:cstheme="minorHAnsi"/>
        </w:rPr>
        <w:t xml:space="preserve"> in drinking water quality, interruptions to supply and leakage. Drinking water quality remains </w:t>
      </w:r>
      <w:r>
        <w:rPr>
          <w:rFonts w:cstheme="minorHAnsi"/>
        </w:rPr>
        <w:t>high</w:t>
      </w:r>
      <w:r w:rsidRPr="002B18FF">
        <w:rPr>
          <w:rFonts w:cstheme="minorHAnsi"/>
        </w:rPr>
        <w:t xml:space="preserve">, with 99.9% of samples complying with </w:t>
      </w:r>
      <w:r w:rsidR="00244813">
        <w:rPr>
          <w:rFonts w:cstheme="minorHAnsi"/>
        </w:rPr>
        <w:t>regulations</w:t>
      </w:r>
      <w:r w:rsidRPr="002B18FF">
        <w:rPr>
          <w:rFonts w:cstheme="minorHAnsi"/>
        </w:rPr>
        <w:t xml:space="preserve">. </w:t>
      </w:r>
    </w:p>
    <w:p w14:paraId="56D1BBF6" w14:textId="77777777" w:rsidR="00085D07" w:rsidRPr="002B18FF" w:rsidRDefault="00085D07" w:rsidP="0059583E">
      <w:pPr>
        <w:ind w:right="-141"/>
        <w:jc w:val="both"/>
        <w:rPr>
          <w:rFonts w:cstheme="minorHAnsi"/>
        </w:rPr>
      </w:pPr>
    </w:p>
    <w:p w14:paraId="47249F9D" w14:textId="0F0E3BB7" w:rsidR="00085D07" w:rsidRPr="002B18FF" w:rsidRDefault="00085D07" w:rsidP="0059583E">
      <w:pPr>
        <w:ind w:right="-141"/>
        <w:jc w:val="both"/>
        <w:rPr>
          <w:rFonts w:cstheme="minorHAnsi"/>
        </w:rPr>
      </w:pPr>
      <w:r w:rsidRPr="002B18FF">
        <w:rPr>
          <w:rFonts w:cstheme="minorHAnsi"/>
        </w:rPr>
        <w:t xml:space="preserve">Scottish </w:t>
      </w:r>
      <w:bookmarkStart w:id="31" w:name="_Hlk178159223"/>
      <w:r w:rsidRPr="002B18FF">
        <w:rPr>
          <w:rFonts w:cstheme="minorHAnsi"/>
        </w:rPr>
        <w:t>Water reported leakage of 462 Ml per day</w:t>
      </w:r>
      <w:r>
        <w:rPr>
          <w:rFonts w:cstheme="minorHAnsi"/>
        </w:rPr>
        <w:t xml:space="preserve">, an increase of </w:t>
      </w:r>
      <w:r w:rsidRPr="002B18FF">
        <w:rPr>
          <w:rFonts w:cstheme="minorHAnsi"/>
        </w:rPr>
        <w:t xml:space="preserve">8Ml/d compared to the previous year and </w:t>
      </w:r>
      <w:r>
        <w:rPr>
          <w:rFonts w:cstheme="minorHAnsi"/>
        </w:rPr>
        <w:t>higher than</w:t>
      </w:r>
      <w:r w:rsidRPr="002B18FF">
        <w:rPr>
          <w:rFonts w:cstheme="minorHAnsi"/>
        </w:rPr>
        <w:t xml:space="preserve"> the target range of 438 – 453. This is the first time leakage has increased since </w:t>
      </w:r>
      <w:bookmarkEnd w:id="31"/>
      <w:r w:rsidRPr="002B18FF">
        <w:rPr>
          <w:rFonts w:cstheme="minorHAnsi"/>
        </w:rPr>
        <w:t>2007.</w:t>
      </w:r>
      <w:r w:rsidR="005E5352">
        <w:rPr>
          <w:rStyle w:val="FootnoteReference"/>
          <w:rFonts w:cstheme="minorHAnsi"/>
        </w:rPr>
        <w:footnoteReference w:id="17"/>
      </w:r>
    </w:p>
    <w:p w14:paraId="630C1C4E" w14:textId="77777777" w:rsidR="00085D07" w:rsidRPr="002B18FF" w:rsidRDefault="00085D07" w:rsidP="0059583E">
      <w:pPr>
        <w:ind w:right="-141"/>
        <w:jc w:val="both"/>
        <w:rPr>
          <w:rFonts w:cstheme="minorHAnsi"/>
        </w:rPr>
      </w:pPr>
    </w:p>
    <w:p w14:paraId="62A6C71B" w14:textId="40DE2DE1" w:rsidR="00085D07" w:rsidRPr="002B18FF" w:rsidRDefault="00085D07" w:rsidP="0059583E">
      <w:pPr>
        <w:ind w:right="-141"/>
        <w:jc w:val="both"/>
        <w:rPr>
          <w:rFonts w:cstheme="minorHAnsi"/>
        </w:rPr>
      </w:pPr>
      <w:r w:rsidRPr="002B18FF">
        <w:rPr>
          <w:rFonts w:cstheme="minorHAnsi"/>
        </w:rPr>
        <w:fldChar w:fldCharType="begin"/>
      </w:r>
      <w:r w:rsidRPr="002B18FF">
        <w:rPr>
          <w:rFonts w:cstheme="minorHAnsi"/>
        </w:rPr>
        <w:instrText xml:space="preserve"> REF _Ref176946563 \h </w:instrText>
      </w:r>
      <w:r>
        <w:rPr>
          <w:rFonts w:cstheme="minorHAnsi"/>
        </w:rPr>
        <w:instrText xml:space="preserve"> \* MERGEFORMAT </w:instrText>
      </w:r>
      <w:r w:rsidRPr="002B18FF">
        <w:rPr>
          <w:rFonts w:cstheme="minorHAnsi"/>
        </w:rPr>
      </w:r>
      <w:r w:rsidRPr="002B18FF">
        <w:rPr>
          <w:rFonts w:cstheme="minorHAnsi"/>
        </w:rPr>
        <w:fldChar w:fldCharType="separate"/>
      </w:r>
      <w:r w:rsidR="004871B0" w:rsidRPr="004871B0">
        <w:rPr>
          <w:rFonts w:cstheme="minorHAnsi"/>
        </w:rPr>
        <w:t xml:space="preserve">Table </w:t>
      </w:r>
      <w:r w:rsidR="004871B0" w:rsidRPr="004871B0">
        <w:rPr>
          <w:rFonts w:cstheme="minorHAnsi"/>
          <w:noProof/>
        </w:rPr>
        <w:t>2</w:t>
      </w:r>
      <w:r w:rsidRPr="002B18FF">
        <w:rPr>
          <w:rFonts w:cstheme="minorHAnsi"/>
        </w:rPr>
        <w:fldChar w:fldCharType="end"/>
      </w:r>
      <w:r w:rsidRPr="002B18FF">
        <w:rPr>
          <w:rFonts w:cstheme="minorHAnsi"/>
        </w:rPr>
        <w:t xml:space="preserve"> shows performance across all measures.</w:t>
      </w:r>
    </w:p>
    <w:p w14:paraId="333150CB" w14:textId="640B7BD1" w:rsidR="00085D07" w:rsidRPr="000A1A16" w:rsidRDefault="00085D07" w:rsidP="0059583E">
      <w:pPr>
        <w:pStyle w:val="Caption"/>
        <w:keepNext/>
        <w:jc w:val="both"/>
        <w:rPr>
          <w:rFonts w:cstheme="minorHAnsi"/>
          <w:sz w:val="24"/>
          <w:szCs w:val="24"/>
        </w:rPr>
      </w:pPr>
      <w:bookmarkStart w:id="32" w:name="_Ref176946563"/>
      <w:r w:rsidRPr="000A1A16">
        <w:rPr>
          <w:rFonts w:cstheme="minorHAnsi"/>
          <w:sz w:val="24"/>
          <w:szCs w:val="24"/>
        </w:rPr>
        <w:lastRenderedPageBreak/>
        <w:t xml:space="preserve">Table </w:t>
      </w:r>
      <w:r w:rsidRPr="000A1A16">
        <w:rPr>
          <w:rFonts w:cstheme="minorHAnsi"/>
          <w:sz w:val="24"/>
          <w:szCs w:val="24"/>
        </w:rPr>
        <w:fldChar w:fldCharType="begin"/>
      </w:r>
      <w:r w:rsidRPr="000A1A16">
        <w:rPr>
          <w:rFonts w:cstheme="minorHAnsi"/>
          <w:sz w:val="24"/>
          <w:szCs w:val="24"/>
        </w:rPr>
        <w:instrText xml:space="preserve"> SEQ Table \* ARABIC </w:instrText>
      </w:r>
      <w:r w:rsidRPr="000A1A16">
        <w:rPr>
          <w:rFonts w:cstheme="minorHAnsi"/>
          <w:sz w:val="24"/>
          <w:szCs w:val="24"/>
        </w:rPr>
        <w:fldChar w:fldCharType="separate"/>
      </w:r>
      <w:r w:rsidR="004871B0">
        <w:rPr>
          <w:rFonts w:cstheme="minorHAnsi"/>
          <w:noProof/>
          <w:sz w:val="24"/>
          <w:szCs w:val="24"/>
        </w:rPr>
        <w:t>2</w:t>
      </w:r>
      <w:r w:rsidRPr="000A1A16">
        <w:rPr>
          <w:rFonts w:cstheme="minorHAnsi"/>
          <w:sz w:val="24"/>
          <w:szCs w:val="24"/>
        </w:rPr>
        <w:fldChar w:fldCharType="end"/>
      </w:r>
      <w:bookmarkEnd w:id="32"/>
      <w:r w:rsidRPr="000A1A16">
        <w:rPr>
          <w:rFonts w:cstheme="minorHAnsi"/>
          <w:sz w:val="24"/>
          <w:szCs w:val="24"/>
        </w:rPr>
        <w:t>: OPA measures performance</w:t>
      </w:r>
    </w:p>
    <w:tbl>
      <w:tblPr>
        <w:tblStyle w:val="GridTable1Light-Accent5"/>
        <w:tblW w:w="5000" w:type="pct"/>
        <w:tblLayout w:type="fixed"/>
        <w:tblLook w:val="04A0" w:firstRow="1" w:lastRow="0" w:firstColumn="1" w:lastColumn="0" w:noHBand="0" w:noVBand="1"/>
      </w:tblPr>
      <w:tblGrid>
        <w:gridCol w:w="1697"/>
        <w:gridCol w:w="2505"/>
        <w:gridCol w:w="2241"/>
        <w:gridCol w:w="1063"/>
        <w:gridCol w:w="1061"/>
        <w:gridCol w:w="1061"/>
      </w:tblGrid>
      <w:tr w:rsidR="00085D07" w:rsidRPr="007C0561" w14:paraId="6D412D2F" w14:textId="77777777" w:rsidTr="000F2FF5">
        <w:trPr>
          <w:cnfStyle w:val="100000000000" w:firstRow="1" w:lastRow="0" w:firstColumn="0" w:lastColumn="0" w:oddVBand="0" w:evenVBand="0" w:oddHBand="0"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881" w:type="pct"/>
            <w:vAlign w:val="center"/>
          </w:tcPr>
          <w:p w14:paraId="05F54A80" w14:textId="77777777" w:rsidR="00085D07" w:rsidRDefault="00085D07" w:rsidP="0059583E">
            <w:pPr>
              <w:keepNext/>
              <w:keepLines/>
              <w:jc w:val="both"/>
              <w:rPr>
                <w:rFonts w:asciiTheme="minorHAnsi" w:hAnsiTheme="minorHAnsi" w:cstheme="minorHAnsi"/>
                <w:sz w:val="20"/>
              </w:rPr>
            </w:pPr>
            <w:r>
              <w:rPr>
                <w:rFonts w:asciiTheme="minorHAnsi" w:hAnsiTheme="minorHAnsi" w:cstheme="minorHAnsi"/>
                <w:sz w:val="20"/>
              </w:rPr>
              <w:t>Indicator</w:t>
            </w:r>
          </w:p>
        </w:tc>
        <w:tc>
          <w:tcPr>
            <w:tcW w:w="1301" w:type="pct"/>
            <w:noWrap/>
            <w:vAlign w:val="center"/>
            <w:hideMark/>
          </w:tcPr>
          <w:p w14:paraId="2E37C04E" w14:textId="77777777" w:rsidR="00085D07" w:rsidRPr="000B7565" w:rsidRDefault="00085D07" w:rsidP="0059583E">
            <w:pPr>
              <w:keepNext/>
              <w:keepLine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Definition</w:t>
            </w:r>
          </w:p>
        </w:tc>
        <w:tc>
          <w:tcPr>
            <w:tcW w:w="1164" w:type="pct"/>
            <w:vAlign w:val="center"/>
          </w:tcPr>
          <w:p w14:paraId="2BD945D5" w14:textId="77777777" w:rsidR="00085D07" w:rsidRPr="00D917D8" w:rsidRDefault="00085D07" w:rsidP="0059583E">
            <w:pPr>
              <w:keepNext/>
              <w:keepLine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D917D8">
              <w:rPr>
                <w:rFonts w:asciiTheme="minorHAnsi" w:hAnsiTheme="minorHAnsi" w:cstheme="minorHAnsi"/>
                <w:sz w:val="20"/>
              </w:rPr>
              <w:t>Performance range to achieve minimum and maximum score</w:t>
            </w:r>
          </w:p>
        </w:tc>
        <w:tc>
          <w:tcPr>
            <w:tcW w:w="552" w:type="pct"/>
            <w:vAlign w:val="center"/>
            <w:hideMark/>
          </w:tcPr>
          <w:p w14:paraId="4958B985" w14:textId="77777777" w:rsidR="00085D07" w:rsidRPr="005D1164" w:rsidRDefault="00085D07" w:rsidP="0059583E">
            <w:pPr>
              <w:keepNext/>
              <w:keepLine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D1164">
              <w:rPr>
                <w:rFonts w:asciiTheme="minorHAnsi" w:hAnsiTheme="minorHAnsi" w:cstheme="minorHAnsi"/>
                <w:sz w:val="20"/>
              </w:rPr>
              <w:t>2021-22</w:t>
            </w:r>
          </w:p>
        </w:tc>
        <w:tc>
          <w:tcPr>
            <w:tcW w:w="551" w:type="pct"/>
            <w:vAlign w:val="center"/>
            <w:hideMark/>
          </w:tcPr>
          <w:p w14:paraId="6BD2058C" w14:textId="77777777" w:rsidR="00085D07" w:rsidRPr="005D1164" w:rsidRDefault="00085D07" w:rsidP="0059583E">
            <w:pPr>
              <w:keepNext/>
              <w:keepLine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D1164">
              <w:rPr>
                <w:rFonts w:asciiTheme="minorHAnsi" w:hAnsiTheme="minorHAnsi" w:cstheme="minorHAnsi"/>
                <w:sz w:val="20"/>
              </w:rPr>
              <w:t>2022-23</w:t>
            </w:r>
          </w:p>
        </w:tc>
        <w:tc>
          <w:tcPr>
            <w:tcW w:w="551" w:type="pct"/>
            <w:vAlign w:val="center"/>
            <w:hideMark/>
          </w:tcPr>
          <w:p w14:paraId="732BAAB7" w14:textId="77777777" w:rsidR="00085D07" w:rsidRPr="005D1164" w:rsidRDefault="00085D07" w:rsidP="0059583E">
            <w:pPr>
              <w:keepNext/>
              <w:keepLine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D1164">
              <w:rPr>
                <w:rFonts w:asciiTheme="minorHAnsi" w:hAnsiTheme="minorHAnsi" w:cstheme="minorHAnsi"/>
                <w:sz w:val="20"/>
              </w:rPr>
              <w:t>2023-24</w:t>
            </w:r>
          </w:p>
        </w:tc>
      </w:tr>
      <w:tr w:rsidR="00085D07" w:rsidRPr="007C0561" w14:paraId="39135ABB" w14:textId="77777777" w:rsidTr="000F2FF5">
        <w:trPr>
          <w:trHeight w:val="292"/>
        </w:trPr>
        <w:tc>
          <w:tcPr>
            <w:cnfStyle w:val="001000000000" w:firstRow="0" w:lastRow="0" w:firstColumn="1" w:lastColumn="0" w:oddVBand="0" w:evenVBand="0" w:oddHBand="0" w:evenHBand="0" w:firstRowFirstColumn="0" w:firstRowLastColumn="0" w:lastRowFirstColumn="0" w:lastRowLastColumn="0"/>
            <w:tcW w:w="881" w:type="pct"/>
            <w:vAlign w:val="center"/>
          </w:tcPr>
          <w:p w14:paraId="786F43E8" w14:textId="77777777" w:rsidR="00085D07" w:rsidRPr="00B311A1" w:rsidRDefault="00085D07" w:rsidP="000F2FF5">
            <w:pPr>
              <w:keepNext/>
              <w:keepLines/>
              <w:rPr>
                <w:rFonts w:asciiTheme="minorHAnsi" w:hAnsiTheme="minorHAnsi" w:cstheme="minorHAnsi"/>
                <w:sz w:val="20"/>
              </w:rPr>
            </w:pPr>
            <w:r w:rsidRPr="00B311A1">
              <w:rPr>
                <w:rFonts w:asciiTheme="minorHAnsi" w:hAnsiTheme="minorHAnsi" w:cstheme="minorHAnsi"/>
                <w:b w:val="0"/>
                <w:bCs w:val="0"/>
                <w:sz w:val="20"/>
              </w:rPr>
              <w:t>Total Drinking Water Quality</w:t>
            </w:r>
          </w:p>
        </w:tc>
        <w:tc>
          <w:tcPr>
            <w:tcW w:w="1301" w:type="pct"/>
            <w:vAlign w:val="center"/>
            <w:hideMark/>
          </w:tcPr>
          <w:p w14:paraId="5F8D0168" w14:textId="77777777" w:rsidR="00085D07" w:rsidRPr="009650CA" w:rsidRDefault="00085D07" w:rsidP="000F2FF5">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rPr>
            </w:pPr>
            <w:r w:rsidRPr="009650CA">
              <w:rPr>
                <w:rFonts w:asciiTheme="minorHAnsi" w:hAnsiTheme="minorHAnsi" w:cstheme="minorHAnsi"/>
                <w:color w:val="000000"/>
                <w:sz w:val="20"/>
              </w:rPr>
              <w:t>Percentage of water samples that comply with parameters</w:t>
            </w:r>
          </w:p>
        </w:tc>
        <w:tc>
          <w:tcPr>
            <w:tcW w:w="1164" w:type="pct"/>
            <w:vAlign w:val="center"/>
          </w:tcPr>
          <w:p w14:paraId="3F7BE2CD" w14:textId="77777777" w:rsidR="00085D07" w:rsidRPr="00D917D8" w:rsidRDefault="00085D07" w:rsidP="0059583E">
            <w:pPr>
              <w:keepNext/>
              <w:keepLine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917D8">
              <w:rPr>
                <w:rFonts w:asciiTheme="minorHAnsi" w:hAnsiTheme="minorHAnsi" w:cstheme="minorHAnsi"/>
                <w:sz w:val="20"/>
              </w:rPr>
              <w:t>99.522% - 99.978%</w:t>
            </w:r>
          </w:p>
        </w:tc>
        <w:tc>
          <w:tcPr>
            <w:tcW w:w="552" w:type="pct"/>
            <w:noWrap/>
            <w:vAlign w:val="center"/>
            <w:hideMark/>
          </w:tcPr>
          <w:p w14:paraId="0EB89B28"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650CA">
              <w:rPr>
                <w:rFonts w:asciiTheme="minorHAnsi" w:hAnsiTheme="minorHAnsi" w:cstheme="minorHAnsi"/>
                <w:sz w:val="20"/>
              </w:rPr>
              <w:t>99.</w:t>
            </w:r>
            <w:r w:rsidRPr="00EA52B5">
              <w:rPr>
                <w:rFonts w:asciiTheme="minorHAnsi" w:hAnsiTheme="minorHAnsi" w:cstheme="minorHAnsi"/>
                <w:sz w:val="20"/>
              </w:rPr>
              <w:t>936</w:t>
            </w:r>
            <w:r w:rsidRPr="009650CA">
              <w:rPr>
                <w:rFonts w:asciiTheme="minorHAnsi" w:hAnsiTheme="minorHAnsi" w:cstheme="minorHAnsi"/>
                <w:sz w:val="20"/>
              </w:rPr>
              <w:t>%</w:t>
            </w:r>
          </w:p>
        </w:tc>
        <w:tc>
          <w:tcPr>
            <w:tcW w:w="551" w:type="pct"/>
            <w:noWrap/>
            <w:vAlign w:val="center"/>
            <w:hideMark/>
          </w:tcPr>
          <w:p w14:paraId="5B250859"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650CA">
              <w:rPr>
                <w:rFonts w:asciiTheme="minorHAnsi" w:hAnsiTheme="minorHAnsi" w:cstheme="minorHAnsi"/>
                <w:sz w:val="20"/>
              </w:rPr>
              <w:t>99.</w:t>
            </w:r>
            <w:r w:rsidRPr="00EA52B5">
              <w:rPr>
                <w:rFonts w:asciiTheme="minorHAnsi" w:hAnsiTheme="minorHAnsi" w:cstheme="minorHAnsi"/>
                <w:sz w:val="20"/>
              </w:rPr>
              <w:t>929</w:t>
            </w:r>
            <w:r w:rsidRPr="009650CA">
              <w:rPr>
                <w:rFonts w:asciiTheme="minorHAnsi" w:hAnsiTheme="minorHAnsi" w:cstheme="minorHAnsi"/>
                <w:sz w:val="20"/>
              </w:rPr>
              <w:t>%</w:t>
            </w:r>
          </w:p>
        </w:tc>
        <w:tc>
          <w:tcPr>
            <w:tcW w:w="551" w:type="pct"/>
            <w:noWrap/>
            <w:vAlign w:val="center"/>
            <w:hideMark/>
          </w:tcPr>
          <w:p w14:paraId="36BE2EBA"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650CA">
              <w:rPr>
                <w:rFonts w:asciiTheme="minorHAnsi" w:hAnsiTheme="minorHAnsi" w:cstheme="minorHAnsi"/>
                <w:sz w:val="20"/>
              </w:rPr>
              <w:t>99.</w:t>
            </w:r>
            <w:r w:rsidRPr="00EA52B5">
              <w:rPr>
                <w:rFonts w:asciiTheme="minorHAnsi" w:hAnsiTheme="minorHAnsi" w:cstheme="minorHAnsi"/>
                <w:sz w:val="20"/>
              </w:rPr>
              <w:t>923</w:t>
            </w:r>
            <w:r w:rsidRPr="009650CA">
              <w:rPr>
                <w:rFonts w:asciiTheme="minorHAnsi" w:hAnsiTheme="minorHAnsi" w:cstheme="minorHAnsi"/>
                <w:sz w:val="20"/>
              </w:rPr>
              <w:t>%</w:t>
            </w:r>
          </w:p>
        </w:tc>
      </w:tr>
      <w:tr w:rsidR="00085D07" w:rsidRPr="007C0561" w14:paraId="2083493F" w14:textId="77777777" w:rsidTr="000F2FF5">
        <w:trPr>
          <w:trHeight w:val="292"/>
        </w:trPr>
        <w:tc>
          <w:tcPr>
            <w:cnfStyle w:val="001000000000" w:firstRow="0" w:lastRow="0" w:firstColumn="1" w:lastColumn="0" w:oddVBand="0" w:evenVBand="0" w:oddHBand="0" w:evenHBand="0" w:firstRowFirstColumn="0" w:firstRowLastColumn="0" w:lastRowFirstColumn="0" w:lastRowLastColumn="0"/>
            <w:tcW w:w="881" w:type="pct"/>
            <w:vAlign w:val="center"/>
          </w:tcPr>
          <w:p w14:paraId="368C8483" w14:textId="77777777" w:rsidR="00085D07" w:rsidRPr="00B311A1" w:rsidRDefault="00085D07" w:rsidP="000F2FF5">
            <w:pPr>
              <w:keepNext/>
              <w:keepLines/>
              <w:rPr>
                <w:rFonts w:asciiTheme="minorHAnsi" w:hAnsiTheme="minorHAnsi" w:cstheme="minorHAnsi"/>
                <w:sz w:val="20"/>
              </w:rPr>
            </w:pPr>
            <w:r w:rsidRPr="00B311A1">
              <w:rPr>
                <w:rFonts w:asciiTheme="minorHAnsi" w:hAnsiTheme="minorHAnsi" w:cstheme="minorHAnsi"/>
                <w:b w:val="0"/>
                <w:bCs w:val="0"/>
                <w:sz w:val="20"/>
              </w:rPr>
              <w:t>Interruptions To Supply</w:t>
            </w:r>
          </w:p>
        </w:tc>
        <w:tc>
          <w:tcPr>
            <w:tcW w:w="1301" w:type="pct"/>
            <w:vAlign w:val="center"/>
            <w:hideMark/>
          </w:tcPr>
          <w:p w14:paraId="47C4617E" w14:textId="77777777" w:rsidR="00085D07" w:rsidRPr="009650CA" w:rsidRDefault="00085D07" w:rsidP="000F2FF5">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rPr>
            </w:pPr>
            <w:r w:rsidRPr="009650CA">
              <w:rPr>
                <w:rFonts w:asciiTheme="minorHAnsi" w:hAnsiTheme="minorHAnsi" w:cstheme="minorHAnsi"/>
                <w:color w:val="000000"/>
                <w:sz w:val="20"/>
              </w:rPr>
              <w:t>Percentage of connected properties experiencing unplanned interruptions</w:t>
            </w:r>
          </w:p>
        </w:tc>
        <w:tc>
          <w:tcPr>
            <w:tcW w:w="1164" w:type="pct"/>
            <w:vAlign w:val="center"/>
          </w:tcPr>
          <w:p w14:paraId="53DCF8B0" w14:textId="77777777" w:rsidR="00085D07" w:rsidRPr="00D917D8" w:rsidRDefault="00085D07" w:rsidP="0059583E">
            <w:pPr>
              <w:keepNext/>
              <w:keepLine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917D8">
              <w:rPr>
                <w:rFonts w:asciiTheme="minorHAnsi" w:hAnsiTheme="minorHAnsi" w:cstheme="minorHAnsi"/>
                <w:sz w:val="20"/>
              </w:rPr>
              <w:t>1.768% - 0.057%</w:t>
            </w:r>
          </w:p>
        </w:tc>
        <w:tc>
          <w:tcPr>
            <w:tcW w:w="552" w:type="pct"/>
            <w:noWrap/>
            <w:vAlign w:val="center"/>
            <w:hideMark/>
          </w:tcPr>
          <w:p w14:paraId="5F3D5093"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650CA">
              <w:rPr>
                <w:rFonts w:asciiTheme="minorHAnsi" w:hAnsiTheme="minorHAnsi" w:cstheme="minorHAnsi"/>
                <w:sz w:val="20"/>
              </w:rPr>
              <w:t>0.34%</w:t>
            </w:r>
          </w:p>
        </w:tc>
        <w:tc>
          <w:tcPr>
            <w:tcW w:w="551" w:type="pct"/>
            <w:noWrap/>
            <w:vAlign w:val="center"/>
            <w:hideMark/>
          </w:tcPr>
          <w:p w14:paraId="4E491309"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650CA">
              <w:rPr>
                <w:rFonts w:asciiTheme="minorHAnsi" w:hAnsiTheme="minorHAnsi" w:cstheme="minorHAnsi"/>
                <w:sz w:val="20"/>
              </w:rPr>
              <w:t>0.20%</w:t>
            </w:r>
          </w:p>
        </w:tc>
        <w:tc>
          <w:tcPr>
            <w:tcW w:w="551" w:type="pct"/>
            <w:noWrap/>
            <w:vAlign w:val="center"/>
            <w:hideMark/>
          </w:tcPr>
          <w:p w14:paraId="646C0EDE"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650CA">
              <w:rPr>
                <w:rFonts w:asciiTheme="minorHAnsi" w:hAnsiTheme="minorHAnsi" w:cstheme="minorHAnsi"/>
                <w:sz w:val="20"/>
              </w:rPr>
              <w:t>0.23%</w:t>
            </w:r>
          </w:p>
        </w:tc>
      </w:tr>
      <w:tr w:rsidR="00085D07" w:rsidRPr="007C0561" w14:paraId="7D5C2A5B" w14:textId="77777777" w:rsidTr="000F2FF5">
        <w:trPr>
          <w:trHeight w:val="292"/>
        </w:trPr>
        <w:tc>
          <w:tcPr>
            <w:cnfStyle w:val="001000000000" w:firstRow="0" w:lastRow="0" w:firstColumn="1" w:lastColumn="0" w:oddVBand="0" w:evenVBand="0" w:oddHBand="0" w:evenHBand="0" w:firstRowFirstColumn="0" w:firstRowLastColumn="0" w:lastRowFirstColumn="0" w:lastRowLastColumn="0"/>
            <w:tcW w:w="881" w:type="pct"/>
            <w:vAlign w:val="center"/>
          </w:tcPr>
          <w:p w14:paraId="679DAD42" w14:textId="77777777" w:rsidR="00085D07" w:rsidRPr="00B311A1" w:rsidRDefault="00085D07" w:rsidP="000F2FF5">
            <w:pPr>
              <w:keepNext/>
              <w:keepLines/>
              <w:rPr>
                <w:rFonts w:asciiTheme="minorHAnsi" w:hAnsiTheme="minorHAnsi" w:cstheme="minorHAnsi"/>
                <w:sz w:val="20"/>
              </w:rPr>
            </w:pPr>
            <w:r w:rsidRPr="00B311A1">
              <w:rPr>
                <w:rFonts w:asciiTheme="minorHAnsi" w:hAnsiTheme="minorHAnsi" w:cstheme="minorHAnsi"/>
                <w:b w:val="0"/>
                <w:bCs w:val="0"/>
                <w:sz w:val="20"/>
              </w:rPr>
              <w:t>Poor Pressure</w:t>
            </w:r>
          </w:p>
        </w:tc>
        <w:tc>
          <w:tcPr>
            <w:tcW w:w="1301" w:type="pct"/>
            <w:noWrap/>
            <w:vAlign w:val="center"/>
            <w:hideMark/>
          </w:tcPr>
          <w:p w14:paraId="270C9FBC" w14:textId="77777777" w:rsidR="00085D07" w:rsidRPr="009650CA" w:rsidRDefault="00085D07" w:rsidP="000F2FF5">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rPr>
            </w:pPr>
            <w:r w:rsidRPr="009650CA">
              <w:rPr>
                <w:rFonts w:asciiTheme="minorHAnsi" w:hAnsiTheme="minorHAnsi" w:cstheme="minorHAnsi"/>
                <w:color w:val="000000"/>
                <w:sz w:val="20"/>
              </w:rPr>
              <w:t>Properties per 10,000 water connections subject to inadequate water pressure</w:t>
            </w:r>
          </w:p>
        </w:tc>
        <w:tc>
          <w:tcPr>
            <w:tcW w:w="1164" w:type="pct"/>
            <w:vAlign w:val="center"/>
          </w:tcPr>
          <w:p w14:paraId="2A58B236" w14:textId="77777777" w:rsidR="00085D07" w:rsidRPr="00D917D8" w:rsidRDefault="00085D07" w:rsidP="0059583E">
            <w:pPr>
              <w:keepNext/>
              <w:keepLine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917D8">
              <w:rPr>
                <w:rFonts w:asciiTheme="minorHAnsi" w:hAnsiTheme="minorHAnsi" w:cstheme="minorHAnsi"/>
                <w:sz w:val="20"/>
              </w:rPr>
              <w:t>11.947 - 0.165</w:t>
            </w:r>
          </w:p>
        </w:tc>
        <w:tc>
          <w:tcPr>
            <w:tcW w:w="552" w:type="pct"/>
            <w:noWrap/>
            <w:vAlign w:val="center"/>
            <w:hideMark/>
          </w:tcPr>
          <w:p w14:paraId="27B97CF6"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0.</w:t>
            </w:r>
            <w:r w:rsidRPr="00EA52B5">
              <w:rPr>
                <w:rFonts w:asciiTheme="minorHAnsi" w:hAnsiTheme="minorHAnsi" w:cstheme="minorHAnsi"/>
                <w:sz w:val="20"/>
              </w:rPr>
              <w:t>163</w:t>
            </w:r>
          </w:p>
        </w:tc>
        <w:tc>
          <w:tcPr>
            <w:tcW w:w="551" w:type="pct"/>
            <w:noWrap/>
            <w:vAlign w:val="center"/>
            <w:hideMark/>
          </w:tcPr>
          <w:p w14:paraId="11FBBDD1"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0.</w:t>
            </w:r>
            <w:r w:rsidRPr="00EA52B5">
              <w:rPr>
                <w:rFonts w:asciiTheme="minorHAnsi" w:hAnsiTheme="minorHAnsi" w:cstheme="minorHAnsi"/>
                <w:sz w:val="20"/>
              </w:rPr>
              <w:t>169</w:t>
            </w:r>
          </w:p>
        </w:tc>
        <w:tc>
          <w:tcPr>
            <w:tcW w:w="551" w:type="pct"/>
            <w:noWrap/>
            <w:vAlign w:val="center"/>
            <w:hideMark/>
          </w:tcPr>
          <w:p w14:paraId="01ADA33E"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0.</w:t>
            </w:r>
            <w:r w:rsidRPr="00EA52B5">
              <w:rPr>
                <w:rFonts w:asciiTheme="minorHAnsi" w:hAnsiTheme="minorHAnsi" w:cstheme="minorHAnsi"/>
                <w:sz w:val="20"/>
              </w:rPr>
              <w:t>139</w:t>
            </w:r>
          </w:p>
        </w:tc>
      </w:tr>
      <w:tr w:rsidR="00085D07" w:rsidRPr="007C0561" w14:paraId="0F321A96" w14:textId="77777777" w:rsidTr="000F2FF5">
        <w:trPr>
          <w:trHeight w:val="292"/>
        </w:trPr>
        <w:tc>
          <w:tcPr>
            <w:cnfStyle w:val="001000000000" w:firstRow="0" w:lastRow="0" w:firstColumn="1" w:lastColumn="0" w:oddVBand="0" w:evenVBand="0" w:oddHBand="0" w:evenHBand="0" w:firstRowFirstColumn="0" w:firstRowLastColumn="0" w:lastRowFirstColumn="0" w:lastRowLastColumn="0"/>
            <w:tcW w:w="881" w:type="pct"/>
            <w:vAlign w:val="center"/>
          </w:tcPr>
          <w:p w14:paraId="53D1E50A" w14:textId="77777777" w:rsidR="00085D07" w:rsidRPr="00B311A1" w:rsidRDefault="00085D07" w:rsidP="000F2FF5">
            <w:pPr>
              <w:keepNext/>
              <w:keepLines/>
              <w:rPr>
                <w:rFonts w:asciiTheme="minorHAnsi" w:hAnsiTheme="minorHAnsi" w:cstheme="minorHAnsi"/>
                <w:sz w:val="20"/>
              </w:rPr>
            </w:pPr>
            <w:r w:rsidRPr="00B311A1">
              <w:rPr>
                <w:rFonts w:asciiTheme="minorHAnsi" w:hAnsiTheme="minorHAnsi" w:cstheme="minorHAnsi"/>
                <w:b w:val="0"/>
                <w:bCs w:val="0"/>
                <w:sz w:val="20"/>
              </w:rPr>
              <w:t>Leakage</w:t>
            </w:r>
          </w:p>
        </w:tc>
        <w:tc>
          <w:tcPr>
            <w:tcW w:w="1301" w:type="pct"/>
            <w:vAlign w:val="center"/>
            <w:hideMark/>
          </w:tcPr>
          <w:p w14:paraId="364C847A" w14:textId="77777777" w:rsidR="00085D07" w:rsidRPr="009650CA" w:rsidRDefault="00085D07" w:rsidP="000F2FF5">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rPr>
            </w:pPr>
            <w:r w:rsidRPr="009650CA">
              <w:rPr>
                <w:rFonts w:asciiTheme="minorHAnsi" w:hAnsiTheme="minorHAnsi" w:cstheme="minorHAnsi"/>
                <w:color w:val="000000"/>
                <w:sz w:val="20"/>
              </w:rPr>
              <w:t>Actual leakage (Ml/d)</w:t>
            </w:r>
          </w:p>
        </w:tc>
        <w:tc>
          <w:tcPr>
            <w:tcW w:w="1164" w:type="pct"/>
            <w:vAlign w:val="center"/>
          </w:tcPr>
          <w:p w14:paraId="30831FFA" w14:textId="77777777" w:rsidR="00085D07" w:rsidRPr="00D917D8" w:rsidRDefault="00085D07" w:rsidP="0059583E">
            <w:pPr>
              <w:keepNext/>
              <w:keepLine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917D8">
              <w:rPr>
                <w:rFonts w:asciiTheme="minorHAnsi" w:hAnsiTheme="minorHAnsi" w:cstheme="minorHAnsi"/>
                <w:sz w:val="20"/>
              </w:rPr>
              <w:t>1046.16 - 400</w:t>
            </w:r>
          </w:p>
        </w:tc>
        <w:tc>
          <w:tcPr>
            <w:tcW w:w="552" w:type="pct"/>
            <w:noWrap/>
            <w:vAlign w:val="center"/>
            <w:hideMark/>
          </w:tcPr>
          <w:p w14:paraId="316E83A0"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EA52B5">
              <w:rPr>
                <w:rFonts w:asciiTheme="minorHAnsi" w:hAnsiTheme="minorHAnsi" w:cstheme="minorHAnsi"/>
                <w:sz w:val="20"/>
              </w:rPr>
              <w:t>458.39</w:t>
            </w:r>
          </w:p>
        </w:tc>
        <w:tc>
          <w:tcPr>
            <w:tcW w:w="551" w:type="pct"/>
            <w:noWrap/>
            <w:vAlign w:val="center"/>
            <w:hideMark/>
          </w:tcPr>
          <w:p w14:paraId="77BC67BD"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EA52B5">
              <w:rPr>
                <w:rFonts w:asciiTheme="minorHAnsi" w:hAnsiTheme="minorHAnsi" w:cstheme="minorHAnsi"/>
                <w:sz w:val="20"/>
              </w:rPr>
              <w:t>453.71</w:t>
            </w:r>
          </w:p>
        </w:tc>
        <w:tc>
          <w:tcPr>
            <w:tcW w:w="551" w:type="pct"/>
            <w:noWrap/>
            <w:vAlign w:val="center"/>
            <w:hideMark/>
          </w:tcPr>
          <w:p w14:paraId="11E4BCF7"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EA52B5">
              <w:rPr>
                <w:rFonts w:asciiTheme="minorHAnsi" w:hAnsiTheme="minorHAnsi" w:cstheme="minorHAnsi"/>
                <w:sz w:val="20"/>
              </w:rPr>
              <w:t>461.84</w:t>
            </w:r>
          </w:p>
        </w:tc>
      </w:tr>
      <w:tr w:rsidR="00085D07" w:rsidRPr="007C0561" w14:paraId="1AA28BC4" w14:textId="77777777" w:rsidTr="000F2FF5">
        <w:trPr>
          <w:trHeight w:val="585"/>
        </w:trPr>
        <w:tc>
          <w:tcPr>
            <w:cnfStyle w:val="001000000000" w:firstRow="0" w:lastRow="0" w:firstColumn="1" w:lastColumn="0" w:oddVBand="0" w:evenVBand="0" w:oddHBand="0" w:evenHBand="0" w:firstRowFirstColumn="0" w:firstRowLastColumn="0" w:lastRowFirstColumn="0" w:lastRowLastColumn="0"/>
            <w:tcW w:w="881" w:type="pct"/>
            <w:vAlign w:val="center"/>
          </w:tcPr>
          <w:p w14:paraId="1032B194" w14:textId="77777777" w:rsidR="00085D07" w:rsidRPr="00B311A1" w:rsidRDefault="00085D07" w:rsidP="000F2FF5">
            <w:pPr>
              <w:keepNext/>
              <w:keepLines/>
              <w:rPr>
                <w:rFonts w:asciiTheme="minorHAnsi" w:hAnsiTheme="minorHAnsi" w:cstheme="minorHAnsi"/>
                <w:sz w:val="20"/>
              </w:rPr>
            </w:pPr>
            <w:r w:rsidRPr="00B311A1">
              <w:rPr>
                <w:rFonts w:asciiTheme="minorHAnsi" w:hAnsiTheme="minorHAnsi" w:cstheme="minorHAnsi"/>
                <w:b w:val="0"/>
                <w:bCs w:val="0"/>
                <w:sz w:val="20"/>
              </w:rPr>
              <w:t>Internal Sewer Flooding</w:t>
            </w:r>
          </w:p>
        </w:tc>
        <w:tc>
          <w:tcPr>
            <w:tcW w:w="1301" w:type="pct"/>
            <w:vAlign w:val="center"/>
            <w:hideMark/>
          </w:tcPr>
          <w:p w14:paraId="03D34061" w14:textId="77777777" w:rsidR="00085D07" w:rsidRPr="009650CA" w:rsidRDefault="00085D07" w:rsidP="000F2FF5">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rPr>
            </w:pPr>
            <w:r w:rsidRPr="009650CA">
              <w:rPr>
                <w:rFonts w:asciiTheme="minorHAnsi" w:hAnsiTheme="minorHAnsi" w:cstheme="minorHAnsi"/>
                <w:color w:val="000000"/>
                <w:sz w:val="20"/>
              </w:rPr>
              <w:t>Number per 10,000 connected wastewater properties suffering internal sewer flooding caused by overloading and other causes</w:t>
            </w:r>
          </w:p>
        </w:tc>
        <w:tc>
          <w:tcPr>
            <w:tcW w:w="1164" w:type="pct"/>
            <w:vAlign w:val="center"/>
          </w:tcPr>
          <w:p w14:paraId="5A5972E6" w14:textId="77777777" w:rsidR="00085D07" w:rsidRPr="00D917D8" w:rsidRDefault="00085D07" w:rsidP="0059583E">
            <w:pPr>
              <w:keepNext/>
              <w:keepLine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917D8">
              <w:rPr>
                <w:rFonts w:asciiTheme="minorHAnsi" w:hAnsiTheme="minorHAnsi" w:cstheme="minorHAnsi"/>
                <w:sz w:val="20"/>
              </w:rPr>
              <w:t>16.72 - 0.4</w:t>
            </w:r>
          </w:p>
        </w:tc>
        <w:tc>
          <w:tcPr>
            <w:tcW w:w="552" w:type="pct"/>
            <w:noWrap/>
            <w:vAlign w:val="center"/>
            <w:hideMark/>
          </w:tcPr>
          <w:p w14:paraId="3499BB18"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1.</w:t>
            </w:r>
            <w:r w:rsidRPr="00EA52B5">
              <w:rPr>
                <w:rFonts w:asciiTheme="minorHAnsi" w:hAnsiTheme="minorHAnsi" w:cstheme="minorHAnsi"/>
                <w:sz w:val="20"/>
              </w:rPr>
              <w:t>55</w:t>
            </w:r>
          </w:p>
        </w:tc>
        <w:tc>
          <w:tcPr>
            <w:tcW w:w="551" w:type="pct"/>
            <w:noWrap/>
            <w:vAlign w:val="center"/>
            <w:hideMark/>
          </w:tcPr>
          <w:p w14:paraId="08AB63E2"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1.</w:t>
            </w:r>
            <w:r w:rsidRPr="00EA52B5">
              <w:rPr>
                <w:rFonts w:asciiTheme="minorHAnsi" w:hAnsiTheme="minorHAnsi" w:cstheme="minorHAnsi"/>
                <w:sz w:val="20"/>
              </w:rPr>
              <w:t>37</w:t>
            </w:r>
          </w:p>
        </w:tc>
        <w:tc>
          <w:tcPr>
            <w:tcW w:w="551" w:type="pct"/>
            <w:noWrap/>
            <w:vAlign w:val="center"/>
            <w:hideMark/>
          </w:tcPr>
          <w:p w14:paraId="3223989D"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1.</w:t>
            </w:r>
            <w:r w:rsidRPr="00EA52B5">
              <w:rPr>
                <w:rFonts w:asciiTheme="minorHAnsi" w:hAnsiTheme="minorHAnsi" w:cstheme="minorHAnsi"/>
                <w:sz w:val="20"/>
              </w:rPr>
              <w:t>43</w:t>
            </w:r>
          </w:p>
        </w:tc>
      </w:tr>
      <w:tr w:rsidR="00085D07" w:rsidRPr="007C0561" w14:paraId="36BCA23D" w14:textId="77777777" w:rsidTr="000F2FF5">
        <w:trPr>
          <w:trHeight w:val="585"/>
        </w:trPr>
        <w:tc>
          <w:tcPr>
            <w:cnfStyle w:val="001000000000" w:firstRow="0" w:lastRow="0" w:firstColumn="1" w:lastColumn="0" w:oddVBand="0" w:evenVBand="0" w:oddHBand="0" w:evenHBand="0" w:firstRowFirstColumn="0" w:firstRowLastColumn="0" w:lastRowFirstColumn="0" w:lastRowLastColumn="0"/>
            <w:tcW w:w="881" w:type="pct"/>
            <w:vAlign w:val="center"/>
          </w:tcPr>
          <w:p w14:paraId="68D891AD" w14:textId="77777777" w:rsidR="00085D07" w:rsidRPr="00B311A1" w:rsidRDefault="00085D07" w:rsidP="000F2FF5">
            <w:pPr>
              <w:keepNext/>
              <w:keepLines/>
              <w:rPr>
                <w:rFonts w:asciiTheme="minorHAnsi" w:hAnsiTheme="minorHAnsi" w:cstheme="minorHAnsi"/>
                <w:sz w:val="20"/>
              </w:rPr>
            </w:pPr>
            <w:r w:rsidRPr="00B311A1">
              <w:rPr>
                <w:rFonts w:asciiTheme="minorHAnsi" w:hAnsiTheme="minorHAnsi" w:cstheme="minorHAnsi"/>
                <w:b w:val="0"/>
                <w:bCs w:val="0"/>
                <w:sz w:val="20"/>
              </w:rPr>
              <w:t xml:space="preserve">EPIs (Category </w:t>
            </w:r>
            <w:r>
              <w:rPr>
                <w:rFonts w:asciiTheme="minorHAnsi" w:hAnsiTheme="minorHAnsi" w:cstheme="minorHAnsi"/>
                <w:b w:val="0"/>
                <w:bCs w:val="0"/>
                <w:sz w:val="20"/>
              </w:rPr>
              <w:t>1</w:t>
            </w:r>
            <w:r w:rsidRPr="00B311A1">
              <w:rPr>
                <w:rFonts w:asciiTheme="minorHAnsi" w:hAnsiTheme="minorHAnsi" w:cstheme="minorHAnsi"/>
                <w:b w:val="0"/>
                <w:bCs w:val="0"/>
                <w:sz w:val="20"/>
              </w:rPr>
              <w:t xml:space="preserve"> &amp; </w:t>
            </w:r>
            <w:r>
              <w:rPr>
                <w:rFonts w:asciiTheme="minorHAnsi" w:hAnsiTheme="minorHAnsi" w:cstheme="minorHAnsi"/>
                <w:b w:val="0"/>
                <w:bCs w:val="0"/>
                <w:sz w:val="20"/>
              </w:rPr>
              <w:t>2</w:t>
            </w:r>
            <w:r w:rsidRPr="00B311A1">
              <w:rPr>
                <w:rFonts w:asciiTheme="minorHAnsi" w:hAnsiTheme="minorHAnsi" w:cstheme="minorHAnsi"/>
                <w:b w:val="0"/>
                <w:bCs w:val="0"/>
                <w:sz w:val="20"/>
              </w:rPr>
              <w:t>)</w:t>
            </w:r>
          </w:p>
        </w:tc>
        <w:tc>
          <w:tcPr>
            <w:tcW w:w="1301" w:type="pct"/>
            <w:vAlign w:val="center"/>
            <w:hideMark/>
          </w:tcPr>
          <w:p w14:paraId="575991E2" w14:textId="77777777" w:rsidR="00085D07" w:rsidRPr="009650CA" w:rsidRDefault="00085D07" w:rsidP="000F2FF5">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rPr>
            </w:pPr>
            <w:r w:rsidRPr="009650CA">
              <w:rPr>
                <w:rFonts w:asciiTheme="minorHAnsi" w:hAnsiTheme="minorHAnsi" w:cstheme="minorHAnsi"/>
                <w:color w:val="000000"/>
                <w:sz w:val="20"/>
              </w:rPr>
              <w:t>Weighted number of water and wastewater environmental pollution incidents (category 1 and 2) incidents per 10,000km of sewer network</w:t>
            </w:r>
            <w:r>
              <w:rPr>
                <w:rStyle w:val="FootnoteReference"/>
                <w:rFonts w:asciiTheme="minorHAnsi" w:hAnsiTheme="minorHAnsi" w:cstheme="minorHAnsi"/>
                <w:color w:val="000000"/>
                <w:sz w:val="20"/>
              </w:rPr>
              <w:footnoteReference w:id="18"/>
            </w:r>
          </w:p>
        </w:tc>
        <w:tc>
          <w:tcPr>
            <w:tcW w:w="1164" w:type="pct"/>
            <w:vAlign w:val="center"/>
          </w:tcPr>
          <w:p w14:paraId="223E647E" w14:textId="77777777" w:rsidR="00085D07" w:rsidRPr="00D917D8" w:rsidRDefault="00085D07" w:rsidP="0059583E">
            <w:pPr>
              <w:keepNext/>
              <w:keepLine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917D8">
              <w:rPr>
                <w:rFonts w:asciiTheme="minorHAnsi" w:hAnsiTheme="minorHAnsi" w:cstheme="minorHAnsi"/>
                <w:sz w:val="20"/>
              </w:rPr>
              <w:t>4.226 - 0.149</w:t>
            </w:r>
          </w:p>
        </w:tc>
        <w:tc>
          <w:tcPr>
            <w:tcW w:w="552" w:type="pct"/>
            <w:noWrap/>
            <w:vAlign w:val="center"/>
            <w:hideMark/>
          </w:tcPr>
          <w:p w14:paraId="4EA203FF"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1.</w:t>
            </w:r>
            <w:r w:rsidRPr="00EA52B5">
              <w:rPr>
                <w:rFonts w:asciiTheme="minorHAnsi" w:hAnsiTheme="minorHAnsi" w:cstheme="minorHAnsi"/>
                <w:sz w:val="20"/>
              </w:rPr>
              <w:t>119</w:t>
            </w:r>
          </w:p>
        </w:tc>
        <w:tc>
          <w:tcPr>
            <w:tcW w:w="551" w:type="pct"/>
            <w:noWrap/>
            <w:vAlign w:val="center"/>
            <w:hideMark/>
          </w:tcPr>
          <w:p w14:paraId="38803FC1"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1.</w:t>
            </w:r>
            <w:r w:rsidRPr="00EA52B5">
              <w:rPr>
                <w:rFonts w:asciiTheme="minorHAnsi" w:hAnsiTheme="minorHAnsi" w:cstheme="minorHAnsi"/>
                <w:sz w:val="20"/>
              </w:rPr>
              <w:t>291</w:t>
            </w:r>
          </w:p>
        </w:tc>
        <w:tc>
          <w:tcPr>
            <w:tcW w:w="551" w:type="pct"/>
            <w:noWrap/>
            <w:vAlign w:val="center"/>
            <w:hideMark/>
          </w:tcPr>
          <w:p w14:paraId="2B1A9B18"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1.</w:t>
            </w:r>
            <w:r w:rsidRPr="00EA52B5">
              <w:rPr>
                <w:rFonts w:asciiTheme="minorHAnsi" w:hAnsiTheme="minorHAnsi" w:cstheme="minorHAnsi"/>
                <w:sz w:val="20"/>
              </w:rPr>
              <w:t>006</w:t>
            </w:r>
          </w:p>
        </w:tc>
      </w:tr>
      <w:tr w:rsidR="00085D07" w:rsidRPr="007C0561" w14:paraId="3CAFACA6" w14:textId="77777777" w:rsidTr="000F2FF5">
        <w:trPr>
          <w:trHeight w:val="585"/>
        </w:trPr>
        <w:tc>
          <w:tcPr>
            <w:cnfStyle w:val="001000000000" w:firstRow="0" w:lastRow="0" w:firstColumn="1" w:lastColumn="0" w:oddVBand="0" w:evenVBand="0" w:oddHBand="0" w:evenHBand="0" w:firstRowFirstColumn="0" w:firstRowLastColumn="0" w:lastRowFirstColumn="0" w:lastRowLastColumn="0"/>
            <w:tcW w:w="881" w:type="pct"/>
            <w:vAlign w:val="center"/>
          </w:tcPr>
          <w:p w14:paraId="7DA8D2AD" w14:textId="77777777" w:rsidR="00085D07" w:rsidRPr="00B311A1" w:rsidRDefault="00085D07" w:rsidP="000F2FF5">
            <w:pPr>
              <w:keepNext/>
              <w:keepLines/>
              <w:rPr>
                <w:rFonts w:asciiTheme="minorHAnsi" w:hAnsiTheme="minorHAnsi" w:cstheme="minorHAnsi"/>
                <w:sz w:val="20"/>
              </w:rPr>
            </w:pPr>
            <w:r w:rsidRPr="00B311A1">
              <w:rPr>
                <w:rFonts w:asciiTheme="minorHAnsi" w:hAnsiTheme="minorHAnsi" w:cstheme="minorHAnsi"/>
                <w:b w:val="0"/>
                <w:bCs w:val="0"/>
                <w:sz w:val="20"/>
              </w:rPr>
              <w:t xml:space="preserve">EPIs (Category </w:t>
            </w:r>
            <w:r>
              <w:rPr>
                <w:rFonts w:asciiTheme="minorHAnsi" w:hAnsiTheme="minorHAnsi" w:cstheme="minorHAnsi"/>
                <w:b w:val="0"/>
                <w:bCs w:val="0"/>
                <w:sz w:val="20"/>
              </w:rPr>
              <w:t>3</w:t>
            </w:r>
            <w:r w:rsidRPr="00B311A1">
              <w:rPr>
                <w:rFonts w:asciiTheme="minorHAnsi" w:hAnsiTheme="minorHAnsi" w:cstheme="minorHAnsi"/>
                <w:b w:val="0"/>
                <w:bCs w:val="0"/>
                <w:sz w:val="20"/>
              </w:rPr>
              <w:t>)</w:t>
            </w:r>
          </w:p>
        </w:tc>
        <w:tc>
          <w:tcPr>
            <w:tcW w:w="1301" w:type="pct"/>
            <w:vAlign w:val="center"/>
            <w:hideMark/>
          </w:tcPr>
          <w:p w14:paraId="50A732DA" w14:textId="77777777" w:rsidR="00085D07" w:rsidRPr="009650CA" w:rsidRDefault="00085D07" w:rsidP="000F2FF5">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rPr>
            </w:pPr>
            <w:r w:rsidRPr="009650CA">
              <w:rPr>
                <w:rFonts w:asciiTheme="minorHAnsi" w:hAnsiTheme="minorHAnsi" w:cstheme="minorHAnsi"/>
                <w:color w:val="000000"/>
                <w:sz w:val="20"/>
              </w:rPr>
              <w:t xml:space="preserve">Weighted number of water and wastewater environmental pollution incidents (category 3) incidents per 10,000km of sewer network </w:t>
            </w:r>
            <w:r>
              <w:rPr>
                <w:rStyle w:val="FootnoteReference"/>
                <w:rFonts w:asciiTheme="minorHAnsi" w:hAnsiTheme="minorHAnsi" w:cstheme="minorHAnsi"/>
                <w:color w:val="000000"/>
                <w:sz w:val="20"/>
              </w:rPr>
              <w:footnoteReference w:id="19"/>
            </w:r>
          </w:p>
        </w:tc>
        <w:tc>
          <w:tcPr>
            <w:tcW w:w="1164" w:type="pct"/>
            <w:vAlign w:val="center"/>
          </w:tcPr>
          <w:p w14:paraId="3956C6B6" w14:textId="77777777" w:rsidR="00085D07" w:rsidRPr="00D917D8" w:rsidRDefault="00085D07" w:rsidP="0059583E">
            <w:pPr>
              <w:keepNext/>
              <w:keepLine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917D8">
              <w:rPr>
                <w:rFonts w:asciiTheme="minorHAnsi" w:hAnsiTheme="minorHAnsi" w:cstheme="minorHAnsi"/>
                <w:sz w:val="20"/>
              </w:rPr>
              <w:t>1.225 - 0.1013</w:t>
            </w:r>
          </w:p>
        </w:tc>
        <w:tc>
          <w:tcPr>
            <w:tcW w:w="552" w:type="pct"/>
            <w:noWrap/>
            <w:vAlign w:val="center"/>
            <w:hideMark/>
          </w:tcPr>
          <w:p w14:paraId="51121513"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0.</w:t>
            </w:r>
            <w:r w:rsidRPr="00EA52B5">
              <w:rPr>
                <w:rFonts w:asciiTheme="minorHAnsi" w:hAnsiTheme="minorHAnsi" w:cstheme="minorHAnsi"/>
                <w:sz w:val="20"/>
              </w:rPr>
              <w:t>5205</w:t>
            </w:r>
          </w:p>
        </w:tc>
        <w:tc>
          <w:tcPr>
            <w:tcW w:w="551" w:type="pct"/>
            <w:noWrap/>
            <w:vAlign w:val="center"/>
            <w:hideMark/>
          </w:tcPr>
          <w:p w14:paraId="3DBF5564"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0.</w:t>
            </w:r>
            <w:r w:rsidRPr="00EA52B5">
              <w:rPr>
                <w:rFonts w:asciiTheme="minorHAnsi" w:hAnsiTheme="minorHAnsi" w:cstheme="minorHAnsi"/>
                <w:sz w:val="20"/>
              </w:rPr>
              <w:t>3781</w:t>
            </w:r>
          </w:p>
        </w:tc>
        <w:tc>
          <w:tcPr>
            <w:tcW w:w="551" w:type="pct"/>
            <w:noWrap/>
            <w:vAlign w:val="center"/>
            <w:hideMark/>
          </w:tcPr>
          <w:p w14:paraId="703BAED9"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0.</w:t>
            </w:r>
            <w:r w:rsidRPr="00EA52B5">
              <w:rPr>
                <w:rFonts w:asciiTheme="minorHAnsi" w:hAnsiTheme="minorHAnsi" w:cstheme="minorHAnsi"/>
                <w:sz w:val="20"/>
              </w:rPr>
              <w:t>3620</w:t>
            </w:r>
          </w:p>
        </w:tc>
      </w:tr>
      <w:tr w:rsidR="00085D07" w:rsidRPr="007C0561" w14:paraId="33E55B10" w14:textId="77777777" w:rsidTr="000F2FF5">
        <w:trPr>
          <w:trHeight w:val="292"/>
        </w:trPr>
        <w:tc>
          <w:tcPr>
            <w:cnfStyle w:val="001000000000" w:firstRow="0" w:lastRow="0" w:firstColumn="1" w:lastColumn="0" w:oddVBand="0" w:evenVBand="0" w:oddHBand="0" w:evenHBand="0" w:firstRowFirstColumn="0" w:firstRowLastColumn="0" w:lastRowFirstColumn="0" w:lastRowLastColumn="0"/>
            <w:tcW w:w="881" w:type="pct"/>
            <w:vAlign w:val="center"/>
          </w:tcPr>
          <w:p w14:paraId="3A7F32D9" w14:textId="77777777" w:rsidR="00085D07" w:rsidRPr="00B311A1" w:rsidRDefault="00085D07" w:rsidP="000F2FF5">
            <w:pPr>
              <w:keepNext/>
              <w:keepLines/>
              <w:rPr>
                <w:rFonts w:asciiTheme="minorHAnsi" w:hAnsiTheme="minorHAnsi" w:cstheme="minorHAnsi"/>
                <w:sz w:val="20"/>
              </w:rPr>
            </w:pPr>
            <w:r w:rsidRPr="00B311A1">
              <w:rPr>
                <w:rFonts w:asciiTheme="minorHAnsi" w:hAnsiTheme="minorHAnsi" w:cstheme="minorHAnsi"/>
                <w:b w:val="0"/>
                <w:bCs w:val="0"/>
                <w:sz w:val="20"/>
              </w:rPr>
              <w:t>Wastewater Compliance</w:t>
            </w:r>
          </w:p>
        </w:tc>
        <w:tc>
          <w:tcPr>
            <w:tcW w:w="1301" w:type="pct"/>
            <w:vAlign w:val="center"/>
            <w:hideMark/>
          </w:tcPr>
          <w:p w14:paraId="3CCE80CE" w14:textId="77777777" w:rsidR="00085D07" w:rsidRPr="009650CA" w:rsidRDefault="00085D07" w:rsidP="000F2FF5">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rPr>
            </w:pPr>
            <w:r w:rsidRPr="009650CA">
              <w:rPr>
                <w:rFonts w:asciiTheme="minorHAnsi" w:hAnsiTheme="minorHAnsi" w:cstheme="minorHAnsi"/>
                <w:color w:val="000000"/>
                <w:sz w:val="20"/>
              </w:rPr>
              <w:t>Number of non-compliant wastewater treatment works</w:t>
            </w:r>
            <w:r>
              <w:rPr>
                <w:rFonts w:asciiTheme="minorHAnsi" w:hAnsiTheme="minorHAnsi" w:cstheme="minorHAnsi"/>
                <w:color w:val="000000"/>
                <w:sz w:val="20"/>
              </w:rPr>
              <w:t xml:space="preserve"> out of 1428 treatment works</w:t>
            </w:r>
          </w:p>
        </w:tc>
        <w:tc>
          <w:tcPr>
            <w:tcW w:w="1164" w:type="pct"/>
            <w:vAlign w:val="center"/>
          </w:tcPr>
          <w:p w14:paraId="59302DBC" w14:textId="77777777" w:rsidR="00085D07" w:rsidRPr="00D917D8" w:rsidRDefault="00085D07" w:rsidP="0059583E">
            <w:pPr>
              <w:keepNext/>
              <w:keepLine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917D8">
              <w:rPr>
                <w:rFonts w:asciiTheme="minorHAnsi" w:hAnsiTheme="minorHAnsi" w:cstheme="minorHAnsi"/>
                <w:sz w:val="20"/>
              </w:rPr>
              <w:t>131.3 - 6.5</w:t>
            </w:r>
          </w:p>
        </w:tc>
        <w:tc>
          <w:tcPr>
            <w:tcW w:w="552" w:type="pct"/>
            <w:noWrap/>
            <w:vAlign w:val="center"/>
            <w:hideMark/>
          </w:tcPr>
          <w:p w14:paraId="28576967"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EA52B5">
              <w:rPr>
                <w:rFonts w:asciiTheme="minorHAnsi" w:hAnsiTheme="minorHAnsi" w:cstheme="minorHAnsi"/>
                <w:sz w:val="20"/>
              </w:rPr>
              <w:t>20</w:t>
            </w:r>
          </w:p>
        </w:tc>
        <w:tc>
          <w:tcPr>
            <w:tcW w:w="551" w:type="pct"/>
            <w:noWrap/>
            <w:vAlign w:val="center"/>
            <w:hideMark/>
          </w:tcPr>
          <w:p w14:paraId="3C7361AB"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22</w:t>
            </w:r>
          </w:p>
        </w:tc>
        <w:tc>
          <w:tcPr>
            <w:tcW w:w="551" w:type="pct"/>
            <w:noWrap/>
            <w:vAlign w:val="center"/>
            <w:hideMark/>
          </w:tcPr>
          <w:p w14:paraId="3176C160"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EA52B5">
              <w:rPr>
                <w:rFonts w:asciiTheme="minorHAnsi" w:hAnsiTheme="minorHAnsi" w:cstheme="minorHAnsi"/>
                <w:sz w:val="20"/>
              </w:rPr>
              <w:t>22</w:t>
            </w:r>
          </w:p>
        </w:tc>
      </w:tr>
      <w:tr w:rsidR="00085D07" w:rsidRPr="007C0561" w14:paraId="456F771A" w14:textId="77777777" w:rsidTr="000F2FF5">
        <w:trPr>
          <w:trHeight w:val="292"/>
        </w:trPr>
        <w:tc>
          <w:tcPr>
            <w:cnfStyle w:val="001000000000" w:firstRow="0" w:lastRow="0" w:firstColumn="1" w:lastColumn="0" w:oddVBand="0" w:evenVBand="0" w:oddHBand="0" w:evenHBand="0" w:firstRowFirstColumn="0" w:firstRowLastColumn="0" w:lastRowFirstColumn="0" w:lastRowLastColumn="0"/>
            <w:tcW w:w="881" w:type="pct"/>
            <w:vAlign w:val="center"/>
          </w:tcPr>
          <w:p w14:paraId="00E350D4" w14:textId="77777777" w:rsidR="00085D07" w:rsidRPr="00B311A1" w:rsidRDefault="00085D07" w:rsidP="000F2FF5">
            <w:pPr>
              <w:keepNext/>
              <w:keepLines/>
              <w:rPr>
                <w:rFonts w:asciiTheme="minorHAnsi" w:hAnsiTheme="minorHAnsi" w:cstheme="minorHAnsi"/>
                <w:sz w:val="20"/>
              </w:rPr>
            </w:pPr>
            <w:r w:rsidRPr="00B311A1">
              <w:rPr>
                <w:rFonts w:asciiTheme="minorHAnsi" w:hAnsiTheme="minorHAnsi" w:cstheme="minorHAnsi"/>
                <w:b w:val="0"/>
                <w:bCs w:val="0"/>
                <w:sz w:val="20"/>
              </w:rPr>
              <w:t>Sludge Compliance</w:t>
            </w:r>
          </w:p>
        </w:tc>
        <w:tc>
          <w:tcPr>
            <w:tcW w:w="1301" w:type="pct"/>
            <w:vAlign w:val="center"/>
            <w:hideMark/>
          </w:tcPr>
          <w:p w14:paraId="2BA08A97" w14:textId="77777777" w:rsidR="00085D07" w:rsidRPr="009650CA" w:rsidRDefault="00085D07" w:rsidP="000F2FF5">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rPr>
            </w:pPr>
            <w:r w:rsidRPr="009650CA">
              <w:rPr>
                <w:rFonts w:asciiTheme="minorHAnsi" w:hAnsiTheme="minorHAnsi" w:cstheme="minorHAnsi"/>
                <w:color w:val="000000"/>
                <w:sz w:val="20"/>
              </w:rPr>
              <w:t xml:space="preserve"> % of sludge disposed of satisfactorily</w:t>
            </w:r>
          </w:p>
        </w:tc>
        <w:tc>
          <w:tcPr>
            <w:tcW w:w="1164" w:type="pct"/>
            <w:vAlign w:val="center"/>
          </w:tcPr>
          <w:p w14:paraId="48F197D3" w14:textId="77777777" w:rsidR="00085D07" w:rsidRPr="00D917D8" w:rsidRDefault="00085D07" w:rsidP="0059583E">
            <w:pPr>
              <w:keepNext/>
              <w:keepLine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917D8">
              <w:rPr>
                <w:rFonts w:asciiTheme="minorHAnsi" w:hAnsiTheme="minorHAnsi" w:cstheme="minorHAnsi"/>
                <w:sz w:val="20"/>
              </w:rPr>
              <w:t>98.22% - 100%</w:t>
            </w:r>
          </w:p>
        </w:tc>
        <w:tc>
          <w:tcPr>
            <w:tcW w:w="552" w:type="pct"/>
            <w:noWrap/>
            <w:vAlign w:val="center"/>
            <w:hideMark/>
          </w:tcPr>
          <w:p w14:paraId="775A5E3E"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100%</w:t>
            </w:r>
          </w:p>
        </w:tc>
        <w:tc>
          <w:tcPr>
            <w:tcW w:w="551" w:type="pct"/>
            <w:noWrap/>
            <w:vAlign w:val="center"/>
            <w:hideMark/>
          </w:tcPr>
          <w:p w14:paraId="60DE57EC"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100%</w:t>
            </w:r>
          </w:p>
        </w:tc>
        <w:tc>
          <w:tcPr>
            <w:tcW w:w="551" w:type="pct"/>
            <w:noWrap/>
            <w:vAlign w:val="center"/>
            <w:hideMark/>
          </w:tcPr>
          <w:p w14:paraId="4CDFEC0C" w14:textId="77777777" w:rsidR="00085D07" w:rsidRPr="009650CA" w:rsidRDefault="00085D07" w:rsidP="000F2FF5">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549DB">
              <w:rPr>
                <w:rFonts w:asciiTheme="minorHAnsi" w:hAnsiTheme="minorHAnsi" w:cstheme="minorHAnsi"/>
                <w:sz w:val="20"/>
              </w:rPr>
              <w:t>100%</w:t>
            </w:r>
          </w:p>
        </w:tc>
      </w:tr>
    </w:tbl>
    <w:p w14:paraId="60390C1E" w14:textId="77777777" w:rsidR="00085D07" w:rsidRPr="002B18FF" w:rsidRDefault="00085D07" w:rsidP="0059583E">
      <w:pPr>
        <w:ind w:right="-141"/>
        <w:jc w:val="both"/>
        <w:rPr>
          <w:rFonts w:cstheme="minorHAnsi"/>
        </w:rPr>
      </w:pPr>
    </w:p>
    <w:p w14:paraId="0186EF25" w14:textId="3EF0E2F0" w:rsidR="00B676F0" w:rsidRPr="00997DEB" w:rsidRDefault="000822FE" w:rsidP="0059583E">
      <w:pPr>
        <w:pStyle w:val="Heading30"/>
        <w:jc w:val="both"/>
      </w:pPr>
      <w:r>
        <w:lastRenderedPageBreak/>
        <w:t>horizon scanning on scottish water’s performance</w:t>
      </w:r>
    </w:p>
    <w:p w14:paraId="6D57DE80" w14:textId="48882C7B" w:rsidR="00043266" w:rsidRDefault="009A0E53" w:rsidP="0059583E">
      <w:pPr>
        <w:spacing w:after="160" w:line="259" w:lineRule="auto"/>
        <w:jc w:val="both"/>
      </w:pPr>
      <w:r>
        <w:t xml:space="preserve">The Drinking Water Quality Regulator </w:t>
      </w:r>
      <w:r w:rsidR="00923FC3">
        <w:t xml:space="preserve">(DWQR) </w:t>
      </w:r>
      <w:r w:rsidR="00304DF8">
        <w:t xml:space="preserve">publishes its </w:t>
      </w:r>
      <w:r w:rsidR="00923FC3">
        <w:t>report on Scottish Water’s performance covering each calendar year</w:t>
      </w:r>
      <w:r>
        <w:t xml:space="preserve">. </w:t>
      </w:r>
      <w:r w:rsidR="002330E8">
        <w:t xml:space="preserve">The most recent report </w:t>
      </w:r>
      <w:r w:rsidR="009A4C0C">
        <w:t>covering calendar year 2023</w:t>
      </w:r>
      <w:r w:rsidR="00885BCC">
        <w:t xml:space="preserve"> was published in October 2024. </w:t>
      </w:r>
      <w:r>
        <w:t>The</w:t>
      </w:r>
      <w:r w:rsidR="00655A53">
        <w:t xml:space="preserve"> report confirms that </w:t>
      </w:r>
      <w:r w:rsidR="00223AC9">
        <w:t>“</w:t>
      </w:r>
      <w:r w:rsidR="00582F69">
        <w:t>data shows a continued high level of compliance with standards</w:t>
      </w:r>
      <w:r w:rsidR="00223AC9">
        <w:t>”.</w:t>
      </w:r>
      <w:r w:rsidR="000872F0">
        <w:rPr>
          <w:rStyle w:val="FootnoteReference"/>
        </w:rPr>
        <w:footnoteReference w:id="20"/>
      </w:r>
      <w:r w:rsidR="00BA2644">
        <w:t xml:space="preserve"> </w:t>
      </w:r>
    </w:p>
    <w:p w14:paraId="3E50E327" w14:textId="22A1DBBC" w:rsidR="00C31AED" w:rsidRDefault="00923FC3" w:rsidP="0059583E">
      <w:pPr>
        <w:spacing w:after="160" w:line="259" w:lineRule="auto"/>
        <w:jc w:val="both"/>
      </w:pPr>
      <w:r>
        <w:t xml:space="preserve">In September 2024, Environmental Standards Scotland published an assessment of spills </w:t>
      </w:r>
      <w:r w:rsidR="004C5F84">
        <w:t xml:space="preserve">from </w:t>
      </w:r>
      <w:r w:rsidR="00886731">
        <w:t>storm over</w:t>
      </w:r>
      <w:r w:rsidR="00802C0A">
        <w:t>f</w:t>
      </w:r>
      <w:r w:rsidR="00886731">
        <w:t>lows</w:t>
      </w:r>
      <w:r w:rsidR="004C5F84">
        <w:t xml:space="preserve"> </w:t>
      </w:r>
      <w:r>
        <w:t xml:space="preserve">and their impact on </w:t>
      </w:r>
      <w:r w:rsidR="001F2594">
        <w:t>the </w:t>
      </w:r>
      <w:r>
        <w:t>water environment.</w:t>
      </w:r>
      <w:r>
        <w:rPr>
          <w:rStyle w:val="FootnoteReference"/>
        </w:rPr>
        <w:footnoteReference w:id="21"/>
      </w:r>
      <w:r w:rsidR="008C7A50">
        <w:t xml:space="preserve"> </w:t>
      </w:r>
      <w:r w:rsidR="000B2A9F">
        <w:t>The</w:t>
      </w:r>
      <w:r w:rsidR="008C7A50">
        <w:t>se relate to spills from</w:t>
      </w:r>
      <w:r w:rsidR="000B2A9F">
        <w:t xml:space="preserve"> about </w:t>
      </w:r>
      <w:r w:rsidR="00316FA0">
        <w:t>4</w:t>
      </w:r>
      <w:r w:rsidR="00FA192C">
        <w:t>,</w:t>
      </w:r>
      <w:r w:rsidR="00316FA0">
        <w:t>0</w:t>
      </w:r>
      <w:r w:rsidR="00FA192C">
        <w:t>8</w:t>
      </w:r>
      <w:r w:rsidR="00316FA0">
        <w:t>0 intermittent discharges</w:t>
      </w:r>
      <w:r w:rsidR="000F738E">
        <w:t>, including</w:t>
      </w:r>
      <w:r w:rsidR="00316FA0">
        <w:t xml:space="preserve"> c</w:t>
      </w:r>
      <w:r w:rsidR="00C31AED">
        <w:t xml:space="preserve">ombined sewer overflows </w:t>
      </w:r>
      <w:r w:rsidR="007D535D">
        <w:t>and emergency overflows</w:t>
      </w:r>
      <w:r w:rsidR="001F2594">
        <w:t xml:space="preserve">, </w:t>
      </w:r>
      <w:r w:rsidR="006B6AA9">
        <w:t xml:space="preserve">designed </w:t>
      </w:r>
      <w:r w:rsidR="00A30293">
        <w:t xml:space="preserve">to prevent </w:t>
      </w:r>
      <w:r w:rsidR="00FC57C7">
        <w:t xml:space="preserve">property </w:t>
      </w:r>
      <w:r w:rsidR="00C25F1F">
        <w:t xml:space="preserve">sewer flooding </w:t>
      </w:r>
      <w:r w:rsidR="00632F97">
        <w:t xml:space="preserve">during </w:t>
      </w:r>
      <w:r w:rsidR="00175B1A">
        <w:t>heavy rain</w:t>
      </w:r>
      <w:r w:rsidR="00632F97">
        <w:t>fall</w:t>
      </w:r>
      <w:r w:rsidR="006129B5">
        <w:t xml:space="preserve">. </w:t>
      </w:r>
    </w:p>
    <w:p w14:paraId="64A47F7F" w14:textId="76025B2D" w:rsidR="00516FBA" w:rsidRDefault="007F1655" w:rsidP="00646493">
      <w:pPr>
        <w:spacing w:after="160" w:line="259" w:lineRule="auto"/>
        <w:jc w:val="both"/>
      </w:pPr>
      <w:r>
        <w:t xml:space="preserve">As part of its Improving </w:t>
      </w:r>
      <w:r w:rsidR="002D7F52">
        <w:t>Urban Waters Routemap,</w:t>
      </w:r>
      <w:r w:rsidR="00130936">
        <w:rPr>
          <w:rStyle w:val="FootnoteReference"/>
        </w:rPr>
        <w:footnoteReference w:id="22"/>
      </w:r>
      <w:r w:rsidR="002D7F52">
        <w:t xml:space="preserve"> </w:t>
      </w:r>
      <w:r w:rsidR="003965CC">
        <w:t>Scottish Water has made commitments to</w:t>
      </w:r>
      <w:r w:rsidR="00516FBA">
        <w:t>:</w:t>
      </w:r>
    </w:p>
    <w:p w14:paraId="361768BC" w14:textId="3BC86E49" w:rsidR="007F1655" w:rsidRDefault="003C07E2" w:rsidP="003A13A8">
      <w:pPr>
        <w:pStyle w:val="ListParagraph"/>
        <w:numPr>
          <w:ilvl w:val="0"/>
          <w:numId w:val="12"/>
        </w:numPr>
        <w:spacing w:after="160" w:line="259" w:lineRule="auto"/>
        <w:jc w:val="both"/>
      </w:pPr>
      <w:r>
        <w:t xml:space="preserve">improve water </w:t>
      </w:r>
      <w:r w:rsidR="00516FBA">
        <w:t>quality</w:t>
      </w:r>
      <w:r w:rsidR="003965CC">
        <w:t xml:space="preserve"> </w:t>
      </w:r>
      <w:r w:rsidR="00516FBA">
        <w:t>by addressing the high</w:t>
      </w:r>
      <w:r w:rsidR="00AE301C">
        <w:t xml:space="preserve"> </w:t>
      </w:r>
      <w:r w:rsidR="00516FBA">
        <w:t>priority discharges</w:t>
      </w:r>
      <w:r w:rsidR="007F1655">
        <w:t xml:space="preserve"> impacting water quality and causing sew</w:t>
      </w:r>
      <w:r w:rsidR="00130936">
        <w:t>age</w:t>
      </w:r>
      <w:r w:rsidR="002D7F52">
        <w:t xml:space="preserve"> related debris</w:t>
      </w:r>
      <w:r w:rsidR="00AE301C">
        <w:t xml:space="preserve"> in support of Scotland’s River Basin Management Planning Objectives</w:t>
      </w:r>
      <w:r w:rsidR="002D7F52">
        <w:t>;</w:t>
      </w:r>
    </w:p>
    <w:p w14:paraId="015F8071" w14:textId="2F041F55" w:rsidR="00AE301C" w:rsidRDefault="005B6204" w:rsidP="003A13A8">
      <w:pPr>
        <w:pStyle w:val="ListParagraph"/>
        <w:numPr>
          <w:ilvl w:val="0"/>
          <w:numId w:val="12"/>
        </w:numPr>
        <w:spacing w:after="160" w:line="259" w:lineRule="auto"/>
        <w:jc w:val="both"/>
      </w:pPr>
      <w:r>
        <w:t xml:space="preserve">increase monitoring by installing 1,000 spill monitors by 2024; </w:t>
      </w:r>
    </w:p>
    <w:p w14:paraId="10CCE2F1" w14:textId="5FA4FF06" w:rsidR="000A5891" w:rsidRDefault="000A5891" w:rsidP="003A13A8">
      <w:pPr>
        <w:pStyle w:val="ListParagraph"/>
        <w:numPr>
          <w:ilvl w:val="0"/>
          <w:numId w:val="12"/>
        </w:numPr>
        <w:spacing w:after="160" w:line="259" w:lineRule="auto"/>
        <w:jc w:val="both"/>
      </w:pPr>
      <w:r>
        <w:t>reduce wastewater debris; and</w:t>
      </w:r>
    </w:p>
    <w:p w14:paraId="3D692CC4" w14:textId="2D3D777A" w:rsidR="000A5891" w:rsidRDefault="000A5891" w:rsidP="003A13A8">
      <w:pPr>
        <w:pStyle w:val="ListParagraph"/>
        <w:numPr>
          <w:ilvl w:val="0"/>
          <w:numId w:val="12"/>
        </w:numPr>
        <w:spacing w:after="160" w:line="259" w:lineRule="auto"/>
        <w:jc w:val="both"/>
      </w:pPr>
      <w:r>
        <w:t>reduce spills</w:t>
      </w:r>
      <w:r w:rsidR="00333CEE">
        <w:t>.</w:t>
      </w:r>
    </w:p>
    <w:p w14:paraId="3A7FDE06" w14:textId="27A67457" w:rsidR="009E5A35" w:rsidRDefault="002F16A3" w:rsidP="00C67BBF">
      <w:pPr>
        <w:spacing w:line="259" w:lineRule="auto"/>
        <w:jc w:val="both"/>
      </w:pPr>
      <w:r>
        <w:t>Through SGIG</w:t>
      </w:r>
      <w:r w:rsidR="00C37922">
        <w:t>,</w:t>
      </w:r>
      <w:r>
        <w:t xml:space="preserve"> we</w:t>
      </w:r>
      <w:r w:rsidR="0014044F">
        <w:t xml:space="preserve"> will monitor Scottish Water’s progress </w:t>
      </w:r>
      <w:r w:rsidR="00FC57C7">
        <w:t>in</w:t>
      </w:r>
      <w:r w:rsidR="00A75527">
        <w:t xml:space="preserve"> delivering this</w:t>
      </w:r>
      <w:r w:rsidR="0014044F">
        <w:t xml:space="preserve"> part of the programme</w:t>
      </w:r>
      <w:r>
        <w:t xml:space="preserve">. </w:t>
      </w:r>
      <w:r w:rsidR="00130936">
        <w:t xml:space="preserve">We are </w:t>
      </w:r>
      <w:r w:rsidR="0014044F">
        <w:t>working with Scottish Water and stakeholders to develop</w:t>
      </w:r>
      <w:r w:rsidR="00364C02">
        <w:t xml:space="preserve"> </w:t>
      </w:r>
      <w:r>
        <w:t xml:space="preserve">outcome </w:t>
      </w:r>
      <w:r w:rsidR="0014044F">
        <w:t xml:space="preserve">measures </w:t>
      </w:r>
      <w:r w:rsidR="00364C02">
        <w:t xml:space="preserve">in this area </w:t>
      </w:r>
      <w:r w:rsidR="00C37922">
        <w:t>that cover</w:t>
      </w:r>
      <w:r>
        <w:t xml:space="preserve"> Scottish Water’s commitments under the </w:t>
      </w:r>
      <w:r w:rsidR="00A75527">
        <w:t>Improving Urban Waters</w:t>
      </w:r>
      <w:r>
        <w:t xml:space="preserve"> </w:t>
      </w:r>
      <w:r w:rsidR="00A75527">
        <w:t>R</w:t>
      </w:r>
      <w:r>
        <w:t>outemap</w:t>
      </w:r>
      <w:r w:rsidR="003965CC">
        <w:t>.</w:t>
      </w:r>
    </w:p>
    <w:p w14:paraId="60DD4226" w14:textId="77777777" w:rsidR="00D80456" w:rsidRDefault="00D80456" w:rsidP="00FF23D9">
      <w:pPr>
        <w:spacing w:line="259" w:lineRule="auto"/>
        <w:jc w:val="both"/>
      </w:pPr>
    </w:p>
    <w:p w14:paraId="56754D84" w14:textId="03A1CB39" w:rsidR="009E5A35" w:rsidRDefault="00504E52" w:rsidP="0059583E">
      <w:pPr>
        <w:pStyle w:val="Heading2"/>
        <w:ind w:left="709" w:hanging="709"/>
        <w:jc w:val="both"/>
        <w:outlineLvl w:val="1"/>
      </w:pPr>
      <w:bookmarkStart w:id="33" w:name="_Toc183593911"/>
      <w:r>
        <w:t>Progress to net zero</w:t>
      </w:r>
      <w:bookmarkEnd w:id="33"/>
    </w:p>
    <w:p w14:paraId="766D94C6" w14:textId="6D962758" w:rsidR="00D76191" w:rsidRDefault="00217E6E" w:rsidP="6EC24997">
      <w:pPr>
        <w:ind w:right="-141"/>
        <w:jc w:val="both"/>
      </w:pPr>
      <w:r w:rsidRPr="6EC24997">
        <w:t xml:space="preserve">Scottish Water has a target to achieve overall net zero emissions by 2040. This target of net zero emissions by 2040 applies to operational emissions and all emissions associated with the capital investment programme. As a stepping stone on its journey towards net zero, </w:t>
      </w:r>
      <w:r w:rsidR="00AA310B" w:rsidRPr="6EC24997">
        <w:t>Scottish Water's Net Zero Routemap established interim milestones to reduce operational emissions by at least 60% (from the 2007 baseline) by 2025 and by at least 75% by 2030.</w:t>
      </w:r>
      <w:r w:rsidR="00AA310B" w:rsidRPr="002B18FF">
        <w:rPr>
          <w:rStyle w:val="FootnoteReference"/>
          <w:rFonts w:cstheme="minorHAnsi"/>
        </w:rPr>
        <w:footnoteReference w:id="23"/>
      </w:r>
      <w:r w:rsidR="0019017F" w:rsidRPr="6EC24997">
        <w:t xml:space="preserve"> </w:t>
      </w:r>
      <w:r w:rsidR="00443D95" w:rsidRPr="6EC24997">
        <w:t xml:space="preserve">The 2030 milestone was set to align with </w:t>
      </w:r>
      <w:r w:rsidR="6FE8E133" w:rsidRPr="6EC24997">
        <w:t xml:space="preserve">the previous </w:t>
      </w:r>
      <w:r w:rsidR="00443D95" w:rsidRPr="6EC24997">
        <w:t>S</w:t>
      </w:r>
      <w:r w:rsidR="0554C106" w:rsidRPr="6EC24997">
        <w:t xml:space="preserve">cotland-wide target, which </w:t>
      </w:r>
      <w:r w:rsidR="005327F2">
        <w:t xml:space="preserve">has </w:t>
      </w:r>
      <w:r w:rsidR="002048A1">
        <w:t xml:space="preserve">been </w:t>
      </w:r>
      <w:r w:rsidR="001D1354">
        <w:t>superseded</w:t>
      </w:r>
      <w:r w:rsidR="005327F2">
        <w:t xml:space="preserve"> by a carbon budget approach to setting </w:t>
      </w:r>
      <w:r w:rsidR="00D91211">
        <w:t>climate targets</w:t>
      </w:r>
      <w:r w:rsidR="00B350EA" w:rsidRPr="6EC24997">
        <w:t>.</w:t>
      </w:r>
      <w:r w:rsidR="00D91211">
        <w:rPr>
          <w:rStyle w:val="FootnoteReference"/>
        </w:rPr>
        <w:footnoteReference w:id="24"/>
      </w:r>
      <w:r w:rsidR="00AA310B" w:rsidRPr="6EC24997">
        <w:t xml:space="preserve"> </w:t>
      </w:r>
    </w:p>
    <w:p w14:paraId="59823FEB" w14:textId="77777777" w:rsidR="00D76191" w:rsidRDefault="00D76191" w:rsidP="6EC24997">
      <w:pPr>
        <w:ind w:right="-141"/>
        <w:jc w:val="both"/>
      </w:pPr>
    </w:p>
    <w:p w14:paraId="28F17713" w14:textId="2B8CF43B" w:rsidR="00AA310B" w:rsidRPr="002B18FF" w:rsidRDefault="00217E6E" w:rsidP="6EC24997">
      <w:pPr>
        <w:ind w:right="-141"/>
        <w:jc w:val="both"/>
      </w:pPr>
      <w:r w:rsidRPr="6EC24997">
        <w:fldChar w:fldCharType="begin"/>
      </w:r>
      <w:r w:rsidRPr="6EC24997">
        <w:instrText xml:space="preserve"> REF _Ref177484222 \h  \* MERGEFORMAT </w:instrText>
      </w:r>
      <w:r w:rsidRPr="6EC24997">
        <w:fldChar w:fldCharType="separate"/>
      </w:r>
      <w:r w:rsidR="00AA310B" w:rsidRPr="6EC24997">
        <w:t xml:space="preserve">Figure </w:t>
      </w:r>
      <w:r w:rsidR="00AA310B" w:rsidRPr="6EC24997">
        <w:rPr>
          <w:noProof/>
        </w:rPr>
        <w:t>13</w:t>
      </w:r>
      <w:r w:rsidRPr="6EC24997">
        <w:fldChar w:fldCharType="end"/>
      </w:r>
      <w:r w:rsidR="00AA310B" w:rsidRPr="6EC24997">
        <w:t xml:space="preserve"> shows Scottish Water’s progress in reducing its operational carbon emissions compared to the 2006-07 baseline. In 2023-24, Scottish Water has reduced its operational carbon emissions by around 50% compared to the 2006-07 baseline. </w:t>
      </w:r>
    </w:p>
    <w:p w14:paraId="2ABCAC0E" w14:textId="5271CF9F" w:rsidR="00E11BF6" w:rsidRDefault="00E11BF6" w:rsidP="0059583E">
      <w:pPr>
        <w:ind w:right="-141"/>
        <w:jc w:val="both"/>
        <w:rPr>
          <w:rFonts w:cstheme="minorHAnsi"/>
        </w:rPr>
      </w:pPr>
    </w:p>
    <w:p w14:paraId="690E981B" w14:textId="6E26AF07" w:rsidR="00997DEB" w:rsidRDefault="00997DEB" w:rsidP="0059583E">
      <w:pPr>
        <w:pStyle w:val="Caption"/>
        <w:keepNext/>
        <w:jc w:val="both"/>
        <w:rPr>
          <w:rFonts w:cstheme="minorHAnsi"/>
          <w:sz w:val="24"/>
          <w:szCs w:val="24"/>
        </w:rPr>
      </w:pPr>
      <w:bookmarkStart w:id="34" w:name="_Ref177484222"/>
      <w:r w:rsidRPr="00F55636">
        <w:rPr>
          <w:rFonts w:cstheme="minorHAnsi"/>
          <w:sz w:val="24"/>
          <w:szCs w:val="24"/>
        </w:rPr>
        <w:lastRenderedPageBreak/>
        <w:t xml:space="preserve">Figure </w:t>
      </w:r>
      <w:r w:rsidRPr="00F55636">
        <w:rPr>
          <w:rFonts w:cstheme="minorHAnsi"/>
          <w:sz w:val="24"/>
          <w:szCs w:val="24"/>
        </w:rPr>
        <w:fldChar w:fldCharType="begin"/>
      </w:r>
      <w:r w:rsidRPr="00F55636">
        <w:rPr>
          <w:rFonts w:cstheme="minorHAnsi"/>
          <w:sz w:val="24"/>
          <w:szCs w:val="24"/>
        </w:rPr>
        <w:instrText xml:space="preserve"> SEQ Figure \* ARABIC </w:instrText>
      </w:r>
      <w:r w:rsidRPr="00F55636">
        <w:rPr>
          <w:rFonts w:cstheme="minorHAnsi"/>
          <w:sz w:val="24"/>
          <w:szCs w:val="24"/>
        </w:rPr>
        <w:fldChar w:fldCharType="separate"/>
      </w:r>
      <w:r w:rsidR="005A22AF">
        <w:rPr>
          <w:rFonts w:cstheme="minorHAnsi"/>
          <w:noProof/>
          <w:sz w:val="24"/>
          <w:szCs w:val="24"/>
        </w:rPr>
        <w:t>13</w:t>
      </w:r>
      <w:r w:rsidRPr="00F55636">
        <w:rPr>
          <w:rFonts w:cstheme="minorHAnsi"/>
          <w:sz w:val="24"/>
          <w:szCs w:val="24"/>
        </w:rPr>
        <w:fldChar w:fldCharType="end"/>
      </w:r>
      <w:bookmarkEnd w:id="34"/>
      <w:r w:rsidRPr="00F55636">
        <w:rPr>
          <w:rFonts w:cstheme="minorHAnsi"/>
          <w:sz w:val="24"/>
          <w:szCs w:val="24"/>
        </w:rPr>
        <w:t>: Reduction in operational emissions from 2007 baseline</w:t>
      </w:r>
    </w:p>
    <w:p w14:paraId="14D72F86" w14:textId="5B58A8EE" w:rsidR="006506CD" w:rsidRPr="006506CD" w:rsidRDefault="006506CD" w:rsidP="006506CD">
      <w:r>
        <w:rPr>
          <w:noProof/>
        </w:rPr>
        <w:drawing>
          <wp:inline distT="0" distB="0" distL="0" distR="0" wp14:anchorId="2D3FEECB" wp14:editId="2AC4CF7D">
            <wp:extent cx="6200140" cy="3225165"/>
            <wp:effectExtent l="0" t="0" r="0" b="0"/>
            <wp:docPr id="1991870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0140" cy="3225165"/>
                    </a:xfrm>
                    <a:prstGeom prst="rect">
                      <a:avLst/>
                    </a:prstGeom>
                    <a:noFill/>
                  </pic:spPr>
                </pic:pic>
              </a:graphicData>
            </a:graphic>
          </wp:inline>
        </w:drawing>
      </w:r>
    </w:p>
    <w:p w14:paraId="193D9A3D" w14:textId="5B3C851C" w:rsidR="00846605" w:rsidRPr="00846605" w:rsidRDefault="00846605" w:rsidP="00B50F9B"/>
    <w:p w14:paraId="6EA492FC" w14:textId="53AC89CE" w:rsidR="00134C38" w:rsidRDefault="005648B6" w:rsidP="0059583E">
      <w:pPr>
        <w:ind w:right="-141"/>
        <w:jc w:val="both"/>
        <w:rPr>
          <w:rFonts w:cstheme="minorHAnsi"/>
        </w:rPr>
      </w:pPr>
      <w:r w:rsidRPr="005648B6">
        <w:rPr>
          <w:rFonts w:cstheme="minorHAnsi"/>
        </w:rPr>
        <w:t>S</w:t>
      </w:r>
      <w:r>
        <w:rPr>
          <w:rFonts w:cstheme="minorHAnsi"/>
        </w:rPr>
        <w:t xml:space="preserve">cottish </w:t>
      </w:r>
      <w:r w:rsidRPr="005648B6">
        <w:rPr>
          <w:rFonts w:cstheme="minorHAnsi"/>
        </w:rPr>
        <w:t>W</w:t>
      </w:r>
      <w:r>
        <w:rPr>
          <w:rFonts w:cstheme="minorHAnsi"/>
        </w:rPr>
        <w:t>ater</w:t>
      </w:r>
      <w:r w:rsidRPr="005648B6">
        <w:rPr>
          <w:rFonts w:cstheme="minorHAnsi"/>
        </w:rPr>
        <w:t xml:space="preserve"> </w:t>
      </w:r>
      <w:r w:rsidR="003F0E8A">
        <w:rPr>
          <w:rFonts w:cstheme="minorHAnsi"/>
        </w:rPr>
        <w:t xml:space="preserve">has explained that it </w:t>
      </w:r>
      <w:r w:rsidRPr="005648B6">
        <w:rPr>
          <w:rFonts w:cstheme="minorHAnsi"/>
        </w:rPr>
        <w:t>continu</w:t>
      </w:r>
      <w:r w:rsidR="00D83192">
        <w:rPr>
          <w:rFonts w:cstheme="minorHAnsi"/>
        </w:rPr>
        <w:t>es</w:t>
      </w:r>
      <w:r w:rsidRPr="005648B6">
        <w:rPr>
          <w:rFonts w:cstheme="minorHAnsi"/>
        </w:rPr>
        <w:t xml:space="preserve"> to work towards </w:t>
      </w:r>
      <w:r w:rsidR="00047751">
        <w:rPr>
          <w:rFonts w:cstheme="minorHAnsi"/>
        </w:rPr>
        <w:t>a</w:t>
      </w:r>
      <w:r w:rsidRPr="005648B6">
        <w:rPr>
          <w:rFonts w:cstheme="minorHAnsi"/>
        </w:rPr>
        <w:t xml:space="preserve"> 60% </w:t>
      </w:r>
      <w:r w:rsidR="00047751" w:rsidRPr="005648B6">
        <w:rPr>
          <w:rFonts w:cstheme="minorHAnsi"/>
        </w:rPr>
        <w:t>reduction</w:t>
      </w:r>
      <w:r w:rsidR="00047751">
        <w:rPr>
          <w:rFonts w:cstheme="minorHAnsi"/>
        </w:rPr>
        <w:t xml:space="preserve"> in</w:t>
      </w:r>
      <w:r w:rsidRPr="005648B6">
        <w:rPr>
          <w:rFonts w:cstheme="minorHAnsi"/>
        </w:rPr>
        <w:t xml:space="preserve"> </w:t>
      </w:r>
      <w:r w:rsidR="00CB1708">
        <w:rPr>
          <w:rFonts w:cstheme="minorHAnsi"/>
        </w:rPr>
        <w:t>operational</w:t>
      </w:r>
      <w:r w:rsidR="008E0E43">
        <w:rPr>
          <w:rFonts w:cstheme="minorHAnsi"/>
        </w:rPr>
        <w:t xml:space="preserve"> carbon</w:t>
      </w:r>
      <w:r w:rsidR="00CB1708">
        <w:rPr>
          <w:rFonts w:cstheme="minorHAnsi"/>
        </w:rPr>
        <w:t xml:space="preserve"> emissions </w:t>
      </w:r>
      <w:r w:rsidR="00CB1708" w:rsidDel="00F00A33">
        <w:rPr>
          <w:rFonts w:cstheme="minorHAnsi"/>
        </w:rPr>
        <w:t xml:space="preserve">and </w:t>
      </w:r>
      <w:r w:rsidR="00047751">
        <w:rPr>
          <w:rFonts w:cstheme="minorHAnsi"/>
        </w:rPr>
        <w:t>achieving</w:t>
      </w:r>
      <w:r w:rsidR="00CB1708" w:rsidDel="00F00A33">
        <w:rPr>
          <w:rFonts w:cstheme="minorHAnsi"/>
        </w:rPr>
        <w:t xml:space="preserve"> net zero by 2040</w:t>
      </w:r>
      <w:r w:rsidR="00BB3E17" w:rsidDel="00F00A33">
        <w:rPr>
          <w:rFonts w:cstheme="minorHAnsi"/>
        </w:rPr>
        <w:t xml:space="preserve"> </w:t>
      </w:r>
      <w:r w:rsidR="00C37C55" w:rsidDel="00F00A33">
        <w:rPr>
          <w:rFonts w:cstheme="minorHAnsi"/>
        </w:rPr>
        <w:t>but</w:t>
      </w:r>
      <w:r w:rsidDel="00F00A33">
        <w:rPr>
          <w:rFonts w:cstheme="minorHAnsi"/>
        </w:rPr>
        <w:t xml:space="preserve"> h</w:t>
      </w:r>
      <w:r w:rsidRPr="005648B6" w:rsidDel="00F00A33">
        <w:rPr>
          <w:rFonts w:cstheme="minorHAnsi"/>
        </w:rPr>
        <w:t xml:space="preserve">as </w:t>
      </w:r>
      <w:r w:rsidR="00C37C55">
        <w:rPr>
          <w:rFonts w:cstheme="minorHAnsi"/>
        </w:rPr>
        <w:t xml:space="preserve">made slower progress due </w:t>
      </w:r>
      <w:r w:rsidR="00EA1DC5">
        <w:rPr>
          <w:rFonts w:cstheme="minorHAnsi"/>
        </w:rPr>
        <w:t>to</w:t>
      </w:r>
      <w:r w:rsidR="00D84B5D">
        <w:rPr>
          <w:rFonts w:cstheme="minorHAnsi"/>
        </w:rPr>
        <w:t xml:space="preserve"> factors, including</w:t>
      </w:r>
      <w:r w:rsidR="00134C38">
        <w:rPr>
          <w:rFonts w:cstheme="minorHAnsi"/>
        </w:rPr>
        <w:t>:</w:t>
      </w:r>
    </w:p>
    <w:p w14:paraId="35EF558B" w14:textId="1D485CFA" w:rsidR="00134C38" w:rsidRDefault="00C37C55" w:rsidP="003A13A8">
      <w:pPr>
        <w:pStyle w:val="ListParagraph"/>
        <w:numPr>
          <w:ilvl w:val="0"/>
          <w:numId w:val="11"/>
        </w:numPr>
        <w:ind w:right="-141"/>
        <w:jc w:val="both"/>
        <w:rPr>
          <w:rFonts w:cstheme="minorHAnsi"/>
        </w:rPr>
      </w:pPr>
      <w:r w:rsidRPr="00134C38">
        <w:rPr>
          <w:rFonts w:cstheme="minorHAnsi"/>
        </w:rPr>
        <w:t xml:space="preserve">slower </w:t>
      </w:r>
      <w:r w:rsidR="006E78E6" w:rsidRPr="00134C38">
        <w:rPr>
          <w:rFonts w:cstheme="minorHAnsi"/>
        </w:rPr>
        <w:t>than forecast</w:t>
      </w:r>
      <w:r w:rsidR="006E78E6">
        <w:rPr>
          <w:rFonts w:cstheme="minorHAnsi"/>
        </w:rPr>
        <w:t xml:space="preserve"> </w:t>
      </w:r>
      <w:r w:rsidRPr="00134C38">
        <w:rPr>
          <w:rFonts w:cstheme="minorHAnsi"/>
        </w:rPr>
        <w:t xml:space="preserve">decarbonisation of </w:t>
      </w:r>
      <w:r w:rsidR="008335B8">
        <w:rPr>
          <w:rFonts w:cstheme="minorHAnsi"/>
        </w:rPr>
        <w:t>t</w:t>
      </w:r>
      <w:r w:rsidR="0043762F">
        <w:rPr>
          <w:rFonts w:cstheme="minorHAnsi"/>
        </w:rPr>
        <w:t xml:space="preserve">he </w:t>
      </w:r>
      <w:r w:rsidR="00C1020D">
        <w:rPr>
          <w:rFonts w:cstheme="minorHAnsi"/>
        </w:rPr>
        <w:t xml:space="preserve">electricity </w:t>
      </w:r>
      <w:r w:rsidR="00DC7769" w:rsidRPr="00134C38">
        <w:rPr>
          <w:rFonts w:cstheme="minorHAnsi"/>
        </w:rPr>
        <w:t>grid</w:t>
      </w:r>
      <w:r w:rsidR="00D02B9C">
        <w:rPr>
          <w:rFonts w:cstheme="minorHAnsi"/>
        </w:rPr>
        <w:t>,</w:t>
      </w:r>
      <w:r w:rsidR="006E78E6">
        <w:rPr>
          <w:rFonts w:cstheme="minorHAnsi"/>
        </w:rPr>
        <w:t xml:space="preserve"> which </w:t>
      </w:r>
      <w:r w:rsidR="00961AFC">
        <w:rPr>
          <w:rFonts w:cstheme="minorHAnsi"/>
        </w:rPr>
        <w:t xml:space="preserve">affects </w:t>
      </w:r>
      <w:r w:rsidR="006E78E6">
        <w:rPr>
          <w:rFonts w:cstheme="minorHAnsi"/>
        </w:rPr>
        <w:t xml:space="preserve">the </w:t>
      </w:r>
      <w:r w:rsidR="00F461C9">
        <w:rPr>
          <w:rFonts w:cstheme="minorHAnsi"/>
        </w:rPr>
        <w:t xml:space="preserve">electricity </w:t>
      </w:r>
      <w:r w:rsidR="006E78E6">
        <w:rPr>
          <w:rFonts w:cstheme="minorHAnsi"/>
        </w:rPr>
        <w:t>emissions profile reported by Scottish Water</w:t>
      </w:r>
      <w:r w:rsidR="00134C38">
        <w:rPr>
          <w:rFonts w:cstheme="minorHAnsi"/>
        </w:rPr>
        <w:t>;</w:t>
      </w:r>
      <w:r w:rsidR="004C571B" w:rsidRPr="00134C38">
        <w:rPr>
          <w:rFonts w:cstheme="minorHAnsi"/>
        </w:rPr>
        <w:t xml:space="preserve"> </w:t>
      </w:r>
      <w:r w:rsidR="00D84B5D">
        <w:rPr>
          <w:rFonts w:cstheme="minorHAnsi"/>
        </w:rPr>
        <w:t>and</w:t>
      </w:r>
    </w:p>
    <w:p w14:paraId="5277227D" w14:textId="0E39DE72" w:rsidR="00BC008C" w:rsidRPr="00134C38" w:rsidRDefault="004772DF" w:rsidP="003A13A8">
      <w:pPr>
        <w:pStyle w:val="ListParagraph"/>
        <w:numPr>
          <w:ilvl w:val="0"/>
          <w:numId w:val="11"/>
        </w:numPr>
        <w:ind w:right="-141"/>
        <w:jc w:val="both"/>
        <w:rPr>
          <w:rFonts w:cstheme="minorHAnsi"/>
        </w:rPr>
      </w:pPr>
      <w:r w:rsidRPr="00134C38">
        <w:rPr>
          <w:rFonts w:cstheme="minorHAnsi"/>
        </w:rPr>
        <w:t xml:space="preserve">a moratorium on new solar schemes, </w:t>
      </w:r>
      <w:r w:rsidR="00BC008C">
        <w:rPr>
          <w:rFonts w:cstheme="minorHAnsi"/>
        </w:rPr>
        <w:t xml:space="preserve">until </w:t>
      </w:r>
      <w:r w:rsidR="00B92DBC">
        <w:rPr>
          <w:rFonts w:cstheme="minorHAnsi"/>
        </w:rPr>
        <w:t>Scottish Water</w:t>
      </w:r>
      <w:r w:rsidR="00BC008C">
        <w:rPr>
          <w:rFonts w:cstheme="minorHAnsi"/>
        </w:rPr>
        <w:t xml:space="preserve"> secures </w:t>
      </w:r>
      <w:r w:rsidRPr="00134C38">
        <w:rPr>
          <w:rFonts w:cstheme="minorHAnsi"/>
        </w:rPr>
        <w:t xml:space="preserve">a supplier that can </w:t>
      </w:r>
      <w:r w:rsidR="00BE562A">
        <w:rPr>
          <w:rFonts w:cstheme="minorHAnsi"/>
        </w:rPr>
        <w:t>fully verify</w:t>
      </w:r>
      <w:r w:rsidRPr="00134C38">
        <w:rPr>
          <w:rFonts w:cstheme="minorHAnsi"/>
        </w:rPr>
        <w:t xml:space="preserve"> that materials sourced comply fully with modern slavery expectations</w:t>
      </w:r>
      <w:r w:rsidR="00BC28A9">
        <w:rPr>
          <w:rFonts w:cstheme="minorHAnsi"/>
        </w:rPr>
        <w:t>.</w:t>
      </w:r>
    </w:p>
    <w:p w14:paraId="7E007221" w14:textId="77777777" w:rsidR="00BB3E17" w:rsidRDefault="00BB3E17" w:rsidP="0059583E">
      <w:pPr>
        <w:ind w:right="-141"/>
        <w:jc w:val="both"/>
        <w:rPr>
          <w:rFonts w:cstheme="minorHAnsi"/>
        </w:rPr>
      </w:pPr>
    </w:p>
    <w:p w14:paraId="04C3FBBB" w14:textId="012BAD44" w:rsidR="005D186D" w:rsidRPr="00BB3E17" w:rsidRDefault="00BB3E17" w:rsidP="0059583E">
      <w:pPr>
        <w:ind w:right="-141"/>
        <w:jc w:val="both"/>
        <w:rPr>
          <w:rFonts w:cstheme="minorHAnsi"/>
          <w:strike/>
        </w:rPr>
      </w:pPr>
      <w:r w:rsidRPr="002B18FF">
        <w:rPr>
          <w:rFonts w:cstheme="minorHAnsi"/>
        </w:rPr>
        <w:t xml:space="preserve">We will continue to engage with Scottish Water, </w:t>
      </w:r>
      <w:r w:rsidR="00BE562A">
        <w:rPr>
          <w:rFonts w:cstheme="minorHAnsi"/>
        </w:rPr>
        <w:t xml:space="preserve">the </w:t>
      </w:r>
      <w:r w:rsidRPr="002B18FF">
        <w:rPr>
          <w:rFonts w:cstheme="minorHAnsi"/>
        </w:rPr>
        <w:t xml:space="preserve">Scottish Government and other stakeholders on </w:t>
      </w:r>
      <w:r w:rsidR="009B3F3C">
        <w:rPr>
          <w:rFonts w:cstheme="minorHAnsi"/>
        </w:rPr>
        <w:t>Scottish Water’s</w:t>
      </w:r>
      <w:r w:rsidRPr="002B18FF">
        <w:rPr>
          <w:rFonts w:cstheme="minorHAnsi"/>
        </w:rPr>
        <w:t xml:space="preserve"> milestones for achieving net zero as part of SRC27.</w:t>
      </w:r>
    </w:p>
    <w:p w14:paraId="48B36994" w14:textId="77777777" w:rsidR="005D186D" w:rsidRDefault="005D186D" w:rsidP="0059583E">
      <w:pPr>
        <w:ind w:right="-141"/>
        <w:jc w:val="both"/>
        <w:rPr>
          <w:rFonts w:cstheme="minorHAnsi"/>
        </w:rPr>
      </w:pPr>
    </w:p>
    <w:p w14:paraId="021E190D" w14:textId="77777777" w:rsidR="009E5A35" w:rsidRDefault="009E5A35" w:rsidP="001D1FE2">
      <w:pPr>
        <w:pStyle w:val="Heading1"/>
        <w:keepNext/>
        <w:keepLines/>
        <w:ind w:left="357" w:hanging="357"/>
        <w:jc w:val="both"/>
        <w:outlineLvl w:val="0"/>
      </w:pPr>
      <w:bookmarkStart w:id="35" w:name="_Toc183593912"/>
      <w:r>
        <w:t>Conclusion</w:t>
      </w:r>
      <w:bookmarkEnd w:id="35"/>
    </w:p>
    <w:p w14:paraId="2EC00218" w14:textId="5F624366" w:rsidR="00EE67B2" w:rsidRPr="00EC1068" w:rsidRDefault="007B7283" w:rsidP="00EE67B2">
      <w:pPr>
        <w:keepNext/>
        <w:keepLines/>
        <w:jc w:val="both"/>
        <w:rPr>
          <w:highlight w:val="yellow"/>
        </w:rPr>
      </w:pPr>
      <w:r w:rsidRPr="007B7283">
        <w:t xml:space="preserve">Overall, we </w:t>
      </w:r>
      <w:r>
        <w:t>conclude</w:t>
      </w:r>
      <w:r w:rsidRPr="007B7283">
        <w:t xml:space="preserve"> that Scottish Water is performing in line with the requirements of the Final Determination in 2023-24 while recognising there is likely to be £500m of less investment than was assumed when charge caps were set. </w:t>
      </w:r>
      <w:r>
        <w:t>We welcome that Scottish Water</w:t>
      </w:r>
      <w:r w:rsidR="00027903">
        <w:t xml:space="preserve"> has improved its</w:t>
      </w:r>
      <w:r>
        <w:t xml:space="preserve"> performance on investment delivery </w:t>
      </w:r>
      <w:r w:rsidR="00027903">
        <w:t>to move back into its</w:t>
      </w:r>
      <w:r>
        <w:t xml:space="preserve"> target </w:t>
      </w:r>
      <w:r w:rsidR="00745EAA">
        <w:t>performance</w:t>
      </w:r>
      <w:r w:rsidR="008C4AB1">
        <w:t xml:space="preserve"> range</w:t>
      </w:r>
      <w:r w:rsidR="00745EAA">
        <w:t>.</w:t>
      </w:r>
      <w:r>
        <w:t xml:space="preserve"> </w:t>
      </w:r>
      <w:r w:rsidRPr="007B7283">
        <w:t>We note some areas where Scottish Water is not meeting its own targets, including the delivery of a small number of projects due to be completed in previous regulatory periods, leakage and its new developer Customer Experience Measure. We will continue to monitor Scottish Water’s progress in these areas.</w:t>
      </w:r>
    </w:p>
    <w:p w14:paraId="171D1748" w14:textId="77777777" w:rsidR="00EE67B2" w:rsidRDefault="00EE67B2" w:rsidP="00EE67B2">
      <w:pPr>
        <w:jc w:val="both"/>
      </w:pPr>
    </w:p>
    <w:p w14:paraId="5212E059" w14:textId="77777777" w:rsidR="00EE67B2" w:rsidRDefault="00EE67B2" w:rsidP="00EE67B2">
      <w:pPr>
        <w:jc w:val="both"/>
        <w:sectPr w:rsidR="00EE67B2" w:rsidSect="00EE67B2">
          <w:type w:val="continuous"/>
          <w:pgSz w:w="11906" w:h="16838" w:code="9"/>
          <w:pgMar w:top="1134" w:right="1134" w:bottom="1134" w:left="1134" w:header="567" w:footer="567" w:gutter="0"/>
          <w:cols w:space="708"/>
          <w:docGrid w:linePitch="360"/>
        </w:sectPr>
      </w:pPr>
    </w:p>
    <w:p w14:paraId="3935A334" w14:textId="77777777" w:rsidR="00EE67B2" w:rsidRDefault="00EE67B2" w:rsidP="00EE67B2">
      <w:pPr>
        <w:spacing w:after="160" w:line="259" w:lineRule="auto"/>
        <w:jc w:val="both"/>
      </w:pPr>
      <w:r>
        <w:br w:type="page"/>
      </w:r>
    </w:p>
    <w:p w14:paraId="2058A593" w14:textId="2CEA20B8" w:rsidR="009E5A35" w:rsidRDefault="009E5A35" w:rsidP="00380584">
      <w:pPr>
        <w:jc w:val="both"/>
      </w:pPr>
    </w:p>
    <w:sectPr w:rsidR="009E5A35" w:rsidSect="009E5A35">
      <w:headerReference w:type="default" r:id="rId29"/>
      <w:footerReference w:type="default" r:id="rId30"/>
      <w:type w:val="continuous"/>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CEC93" w14:textId="77777777" w:rsidR="00F86440" w:rsidRDefault="00F86440" w:rsidP="0008752E">
      <w:pPr>
        <w:spacing w:line="240" w:lineRule="auto"/>
      </w:pPr>
      <w:r>
        <w:separator/>
      </w:r>
    </w:p>
  </w:endnote>
  <w:endnote w:type="continuationSeparator" w:id="0">
    <w:p w14:paraId="6B5BC900" w14:textId="77777777" w:rsidR="00F86440" w:rsidRDefault="00F86440" w:rsidP="0008752E">
      <w:pPr>
        <w:spacing w:line="240" w:lineRule="auto"/>
      </w:pPr>
      <w:r>
        <w:continuationSeparator/>
      </w:r>
    </w:p>
  </w:endnote>
  <w:endnote w:type="continuationNotice" w:id="1">
    <w:p w14:paraId="5FCB0A16" w14:textId="77777777" w:rsidR="00F86440" w:rsidRDefault="00F864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87EF" w14:textId="32A50EDC" w:rsidR="0008752E" w:rsidRDefault="0008752E" w:rsidP="00694710">
    <w:pPr>
      <w:pStyle w:val="Footer"/>
    </w:pPr>
  </w:p>
  <w:p w14:paraId="0137ECB6" w14:textId="77777777" w:rsidR="00694710" w:rsidRDefault="00694710" w:rsidP="00694710">
    <w:pPr>
      <w:pStyle w:val="Footer"/>
    </w:pPr>
  </w:p>
  <w:p w14:paraId="4D00E668" w14:textId="36940B2F" w:rsidR="00694710" w:rsidRDefault="00694710" w:rsidP="00694710">
    <w:pPr>
      <w:pStyle w:val="Footer"/>
      <w:pBdr>
        <w:top w:val="single" w:sz="4" w:space="1" w:color="5F7577" w:themeColor="accent2"/>
      </w:pBdr>
    </w:pPr>
  </w:p>
  <w:p w14:paraId="687DD706" w14:textId="60C7FF0A" w:rsidR="00694710" w:rsidRPr="00694710" w:rsidRDefault="00694710" w:rsidP="00694710">
    <w:pPr>
      <w:pStyle w:val="Footer"/>
      <w:rPr>
        <w:color w:val="5F7577" w:themeColor="accent2"/>
        <w:szCs w:val="18"/>
      </w:rPr>
    </w:pPr>
    <w:r w:rsidRPr="00694710">
      <w:rPr>
        <w:color w:val="5F7577" w:themeColor="accent2"/>
        <w:szCs w:val="18"/>
      </w:rPr>
      <w:fldChar w:fldCharType="begin"/>
    </w:r>
    <w:r w:rsidRPr="00694710">
      <w:rPr>
        <w:color w:val="5F7577" w:themeColor="accent2"/>
        <w:szCs w:val="18"/>
      </w:rPr>
      <w:instrText xml:space="preserve"> STYLEREF  "Document title"  \* MERGEFORMAT </w:instrText>
    </w:r>
    <w:r w:rsidRPr="00694710">
      <w:rPr>
        <w:color w:val="5F7577" w:themeColor="accent2"/>
        <w:szCs w:val="18"/>
      </w:rPr>
      <w:fldChar w:fldCharType="separate"/>
    </w:r>
    <w:r w:rsidR="004871B0">
      <w:rPr>
        <w:noProof/>
        <w:color w:val="5F7577" w:themeColor="accent2"/>
        <w:szCs w:val="18"/>
      </w:rPr>
      <w:t>SCOTTISH WATER’S PERFORMANCE 2023-24</w:t>
    </w:r>
    <w:r w:rsidRPr="00694710">
      <w:rPr>
        <w:color w:val="5F7577" w:themeColor="accent2"/>
        <w:szCs w:val="18"/>
      </w:rPr>
      <w:fldChar w:fldCharType="end"/>
    </w:r>
    <w:r>
      <w:rPr>
        <w:color w:val="5F7577" w:themeColor="accent2"/>
        <w:szCs w:val="18"/>
      </w:rPr>
      <w:ptab w:relativeTo="margin" w:alignment="right" w:leader="none"/>
    </w:r>
    <w:r w:rsidRPr="00694710">
      <w:rPr>
        <w:color w:val="5F7577" w:themeColor="accent2"/>
        <w:szCs w:val="18"/>
      </w:rPr>
      <w:fldChar w:fldCharType="begin"/>
    </w:r>
    <w:r w:rsidRPr="00694710">
      <w:rPr>
        <w:color w:val="5F7577" w:themeColor="accent2"/>
        <w:szCs w:val="18"/>
      </w:rPr>
      <w:instrText xml:space="preserve"> PAGE   \* MERGEFORMAT </w:instrText>
    </w:r>
    <w:r w:rsidRPr="00694710">
      <w:rPr>
        <w:color w:val="5F7577" w:themeColor="accent2"/>
        <w:szCs w:val="18"/>
      </w:rPr>
      <w:fldChar w:fldCharType="separate"/>
    </w:r>
    <w:r w:rsidRPr="00694710">
      <w:rPr>
        <w:noProof/>
        <w:color w:val="5F7577" w:themeColor="accent2"/>
        <w:szCs w:val="18"/>
      </w:rPr>
      <w:t>1</w:t>
    </w:r>
    <w:r w:rsidRPr="00694710">
      <w:rPr>
        <w:noProof/>
        <w:color w:val="5F7577" w:themeColor="accent2"/>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3716" w14:textId="759F4A13" w:rsidR="0008752E" w:rsidRDefault="00D723CD">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D723CD" w:rsidRDefault="00DE0535" w:rsidP="00DE0535">
                          <w:pPr>
                            <w:spacing w:line="240" w:lineRule="auto"/>
                            <w:rPr>
                              <w:rFonts w:hAnsi="Calibri"/>
                              <w:color w:val="FFFFFF" w:themeColor="background1"/>
                              <w:kern w:val="24"/>
                              <w:szCs w:val="24"/>
                              <w:lang w:val="es-CL"/>
                            </w:rPr>
                          </w:pPr>
                          <w:r w:rsidRPr="00D723CD">
                            <w:rPr>
                              <w:rFonts w:hAnsi="Calibri"/>
                              <w:color w:val="FFFFFF" w:themeColor="background1"/>
                              <w:kern w:val="24"/>
                              <w:szCs w:val="24"/>
                              <w:lang w:val="es-CL"/>
                            </w:rPr>
                            <w:t>FK8 1QZ</w:t>
                          </w:r>
                        </w:p>
                        <w:p w14:paraId="1726D5DB" w14:textId="77777777" w:rsidR="00DE0535" w:rsidRPr="00D723CD" w:rsidRDefault="00DE0535" w:rsidP="00DE0535">
                          <w:pPr>
                            <w:spacing w:line="240" w:lineRule="auto"/>
                            <w:rPr>
                              <w:rFonts w:hAnsi="Calibri"/>
                              <w:color w:val="FFFFFF" w:themeColor="background1"/>
                              <w:kern w:val="24"/>
                              <w:szCs w:val="24"/>
                              <w:lang w:val="es-CL"/>
                            </w:rPr>
                          </w:pPr>
                        </w:p>
                        <w:p w14:paraId="47E6FDA3" w14:textId="0D5806B8" w:rsidR="00DE0535" w:rsidRPr="00D723CD" w:rsidRDefault="00DE0535" w:rsidP="00DE0535">
                          <w:pPr>
                            <w:spacing w:line="240" w:lineRule="auto"/>
                            <w:rPr>
                              <w:rFonts w:hAnsi="Calibri"/>
                              <w:color w:val="FFFFFF" w:themeColor="background1"/>
                              <w:kern w:val="24"/>
                              <w:szCs w:val="24"/>
                              <w:lang w:val="es-CL"/>
                            </w:rPr>
                          </w:pPr>
                          <w:r w:rsidRPr="00D723CD">
                            <w:rPr>
                              <w:rFonts w:hAnsi="Calibri"/>
                              <w:color w:val="FFFFFF" w:themeColor="background1"/>
                              <w:kern w:val="24"/>
                              <w:szCs w:val="24"/>
                              <w:lang w:val="es-CL"/>
                            </w:rPr>
                            <w:t>T:  01786 430 200</w:t>
                          </w:r>
                        </w:p>
                        <w:p w14:paraId="039D3035" w14:textId="7F66A242" w:rsidR="00DE0535" w:rsidRPr="00D723CD" w:rsidRDefault="00DE0535" w:rsidP="00DE0535">
                          <w:pPr>
                            <w:spacing w:line="240" w:lineRule="auto"/>
                            <w:rPr>
                              <w:rFonts w:hAnsi="Calibri"/>
                              <w:color w:val="FFFFFF" w:themeColor="background1"/>
                              <w:kern w:val="24"/>
                              <w:szCs w:val="24"/>
                              <w:lang w:val="es-CL"/>
                            </w:rPr>
                          </w:pPr>
                          <w:r w:rsidRPr="00D723CD">
                            <w:rPr>
                              <w:rFonts w:hAnsi="Calibri"/>
                              <w:color w:val="FFFFFF" w:themeColor="background1"/>
                              <w:kern w:val="24"/>
                              <w:szCs w:val="24"/>
                              <w:lang w:val="es-CL"/>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Subtitle 1" o:spid="_x0000_s1026"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D723CD" w:rsidRDefault="00DE0535" w:rsidP="00DE0535">
                    <w:pPr>
                      <w:spacing w:line="240" w:lineRule="auto"/>
                      <w:rPr>
                        <w:rFonts w:hAnsi="Calibri"/>
                        <w:color w:val="FFFFFF" w:themeColor="background1"/>
                        <w:kern w:val="24"/>
                        <w:szCs w:val="24"/>
                        <w:lang w:val="es-CL"/>
                      </w:rPr>
                    </w:pPr>
                    <w:r w:rsidRPr="00D723CD">
                      <w:rPr>
                        <w:rFonts w:hAnsi="Calibri"/>
                        <w:color w:val="FFFFFF" w:themeColor="background1"/>
                        <w:kern w:val="24"/>
                        <w:szCs w:val="24"/>
                        <w:lang w:val="es-CL"/>
                      </w:rPr>
                      <w:t>FK8 1QZ</w:t>
                    </w:r>
                  </w:p>
                  <w:p w14:paraId="1726D5DB" w14:textId="77777777" w:rsidR="00DE0535" w:rsidRPr="00D723CD" w:rsidRDefault="00DE0535" w:rsidP="00DE0535">
                    <w:pPr>
                      <w:spacing w:line="240" w:lineRule="auto"/>
                      <w:rPr>
                        <w:rFonts w:hAnsi="Calibri"/>
                        <w:color w:val="FFFFFF" w:themeColor="background1"/>
                        <w:kern w:val="24"/>
                        <w:szCs w:val="24"/>
                        <w:lang w:val="es-CL"/>
                      </w:rPr>
                    </w:pPr>
                  </w:p>
                  <w:p w14:paraId="47E6FDA3" w14:textId="0D5806B8" w:rsidR="00DE0535" w:rsidRPr="00D723CD" w:rsidRDefault="00DE0535" w:rsidP="00DE0535">
                    <w:pPr>
                      <w:spacing w:line="240" w:lineRule="auto"/>
                      <w:rPr>
                        <w:rFonts w:hAnsi="Calibri"/>
                        <w:color w:val="FFFFFF" w:themeColor="background1"/>
                        <w:kern w:val="24"/>
                        <w:szCs w:val="24"/>
                        <w:lang w:val="es-CL"/>
                      </w:rPr>
                    </w:pPr>
                    <w:r w:rsidRPr="00D723CD">
                      <w:rPr>
                        <w:rFonts w:hAnsi="Calibri"/>
                        <w:color w:val="FFFFFF" w:themeColor="background1"/>
                        <w:kern w:val="24"/>
                        <w:szCs w:val="24"/>
                        <w:lang w:val="es-CL"/>
                      </w:rPr>
                      <w:t>T:  01786 430 200</w:t>
                    </w:r>
                  </w:p>
                  <w:p w14:paraId="039D3035" w14:textId="7F66A242" w:rsidR="00DE0535" w:rsidRPr="00D723CD" w:rsidRDefault="00DE0535" w:rsidP="00DE0535">
                    <w:pPr>
                      <w:spacing w:line="240" w:lineRule="auto"/>
                      <w:rPr>
                        <w:rFonts w:hAnsi="Calibri"/>
                        <w:color w:val="FFFFFF" w:themeColor="background1"/>
                        <w:kern w:val="24"/>
                        <w:szCs w:val="24"/>
                        <w:lang w:val="es-CL"/>
                      </w:rPr>
                    </w:pPr>
                    <w:r w:rsidRPr="00D723CD">
                      <w:rPr>
                        <w:rFonts w:hAnsi="Calibri"/>
                        <w:color w:val="FFFFFF" w:themeColor="background1"/>
                        <w:kern w:val="24"/>
                        <w:szCs w:val="24"/>
                        <w:lang w:val="es-CL"/>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BC291" w14:textId="77777777" w:rsidR="00F86440" w:rsidRDefault="00F86440" w:rsidP="0008752E">
      <w:pPr>
        <w:spacing w:line="240" w:lineRule="auto"/>
      </w:pPr>
      <w:r>
        <w:separator/>
      </w:r>
    </w:p>
  </w:footnote>
  <w:footnote w:type="continuationSeparator" w:id="0">
    <w:p w14:paraId="4F963448" w14:textId="77777777" w:rsidR="00F86440" w:rsidRDefault="00F86440" w:rsidP="0008752E">
      <w:pPr>
        <w:spacing w:line="240" w:lineRule="auto"/>
      </w:pPr>
      <w:r>
        <w:continuationSeparator/>
      </w:r>
    </w:p>
  </w:footnote>
  <w:footnote w:type="continuationNotice" w:id="1">
    <w:p w14:paraId="21795CE2" w14:textId="77777777" w:rsidR="00F86440" w:rsidRDefault="00F86440">
      <w:pPr>
        <w:spacing w:line="240" w:lineRule="auto"/>
      </w:pPr>
    </w:p>
  </w:footnote>
  <w:footnote w:id="2">
    <w:p w14:paraId="337481C0" w14:textId="41133E32" w:rsidR="00452A70" w:rsidRDefault="00452A70" w:rsidP="00452A70">
      <w:pPr>
        <w:pStyle w:val="FootnoteText"/>
      </w:pPr>
      <w:r>
        <w:rPr>
          <w:rStyle w:val="FootnoteReference"/>
        </w:rPr>
        <w:footnoteRef/>
      </w:r>
      <w:r>
        <w:t xml:space="preserve"> </w:t>
      </w:r>
      <w:r w:rsidRPr="003B3583">
        <w:t xml:space="preserve">The Water Services etc. Scotland Act 2005, available at </w:t>
      </w:r>
      <w:hyperlink r:id="rId1" w:history="1">
        <w:r w:rsidR="0035769B" w:rsidRPr="000317AF">
          <w:rPr>
            <w:rStyle w:val="Hyperlink"/>
            <w:sz w:val="20"/>
          </w:rPr>
          <w:t>https://www.legislation.gov.uk/asp/2005/3/</w:t>
        </w:r>
      </w:hyperlink>
    </w:p>
  </w:footnote>
  <w:footnote w:id="3">
    <w:p w14:paraId="6B5597B7" w14:textId="71BAC0FC" w:rsidR="008B2697" w:rsidRDefault="008B2697" w:rsidP="008B2697">
      <w:pPr>
        <w:pStyle w:val="FootnoteText"/>
      </w:pPr>
      <w:r>
        <w:rPr>
          <w:rStyle w:val="FootnoteReference"/>
        </w:rPr>
        <w:footnoteRef/>
      </w:r>
      <w:r>
        <w:t xml:space="preserve"> </w:t>
      </w:r>
      <w:r w:rsidRPr="000E2EEB">
        <w:t xml:space="preserve">WICS (2020), ‘2021-27 Final Determination', available at </w:t>
      </w:r>
      <w:hyperlink r:id="rId2" w:history="1">
        <w:r w:rsidRPr="00305230">
          <w:rPr>
            <w:rStyle w:val="Hyperlink"/>
            <w:sz w:val="20"/>
          </w:rPr>
          <w:t>https://wics.scot/publications/price-setting/strategic-review-charges-2021-27/determinations/2021-27-final-determination</w:t>
        </w:r>
      </w:hyperlink>
      <w:r w:rsidRPr="000E2EEB">
        <w:t>.</w:t>
      </w:r>
    </w:p>
  </w:footnote>
  <w:footnote w:id="4">
    <w:p w14:paraId="4DAA266A" w14:textId="51B3DF36" w:rsidR="008B2697" w:rsidRDefault="008B2697" w:rsidP="008B2697">
      <w:pPr>
        <w:pStyle w:val="FootnoteText"/>
      </w:pPr>
      <w:r>
        <w:rPr>
          <w:rStyle w:val="FootnoteReference"/>
        </w:rPr>
        <w:footnoteRef/>
      </w:r>
      <w:r>
        <w:t xml:space="preserve"> </w:t>
      </w:r>
      <w:r w:rsidRPr="004F44E1">
        <w:t xml:space="preserve">Scottish Government (2020), ‘Scottish Water: directions 2020’, December, available at: </w:t>
      </w:r>
      <w:hyperlink r:id="rId3" w:history="1">
        <w:r w:rsidRPr="00305230">
          <w:rPr>
            <w:rStyle w:val="Hyperlink"/>
            <w:sz w:val="20"/>
          </w:rPr>
          <w:t>https://www.gov.scot/publications/scottish-water-directions-2020/</w:t>
        </w:r>
      </w:hyperlink>
    </w:p>
  </w:footnote>
  <w:footnote w:id="5">
    <w:p w14:paraId="13908FBF" w14:textId="77777777" w:rsidR="008B2697" w:rsidRDefault="008B2697" w:rsidP="008B2697">
      <w:pPr>
        <w:pStyle w:val="FootnoteText"/>
      </w:pPr>
      <w:r>
        <w:rPr>
          <w:rStyle w:val="FootnoteReference"/>
        </w:rPr>
        <w:footnoteRef/>
      </w:r>
      <w:r>
        <w:t xml:space="preserve"> </w:t>
      </w:r>
      <w:r w:rsidRPr="004B6B00">
        <w:t>An improvement in efficiency is defined as either a reduction in costs with no deterioration in service; or maintaining costs, while improving service.</w:t>
      </w:r>
    </w:p>
  </w:footnote>
  <w:footnote w:id="6">
    <w:p w14:paraId="2BE740B2" w14:textId="77777777" w:rsidR="008B2697" w:rsidRDefault="008B2697" w:rsidP="008B2697">
      <w:pPr>
        <w:pStyle w:val="FootnoteText"/>
      </w:pPr>
      <w:r>
        <w:rPr>
          <w:rStyle w:val="FootnoteReference"/>
        </w:rPr>
        <w:footnoteRef/>
      </w:r>
      <w:r>
        <w:t xml:space="preserve"> </w:t>
      </w:r>
      <w:r w:rsidRPr="008839C1">
        <w:t>Outputs are tangible deliverables provided by an investment project, driven by legislative or other requirements, which will contribute toward meeting investment drivers or outcomes. Outcomes are higher level objectives that customers and society value – for example, a clean water environment.</w:t>
      </w:r>
    </w:p>
  </w:footnote>
  <w:footnote w:id="7">
    <w:p w14:paraId="61A9A9E1" w14:textId="77777777" w:rsidR="008B2697" w:rsidRDefault="008B2697" w:rsidP="008B2697">
      <w:pPr>
        <w:pStyle w:val="FootnoteText"/>
      </w:pPr>
      <w:r>
        <w:rPr>
          <w:rStyle w:val="FootnoteReference"/>
        </w:rPr>
        <w:footnoteRef/>
      </w:r>
      <w:r>
        <w:t xml:space="preserve"> </w:t>
      </w:r>
      <w:r w:rsidRPr="00B36B95">
        <w:t>SRC21 followed a different approach, with allowances for investment based on top-down allowances rather than bottom-up evidence of forecast expenditure, tangible deliverables and milestones for delivery.</w:t>
      </w:r>
    </w:p>
  </w:footnote>
  <w:footnote w:id="8">
    <w:p w14:paraId="743857D3" w14:textId="01310AED" w:rsidR="00E00B31" w:rsidRDefault="00E00B31">
      <w:pPr>
        <w:pStyle w:val="FootnoteText"/>
      </w:pPr>
      <w:r>
        <w:rPr>
          <w:rStyle w:val="FootnoteReference"/>
        </w:rPr>
        <w:footnoteRef/>
      </w:r>
      <w:r>
        <w:t xml:space="preserve"> </w:t>
      </w:r>
      <w:r w:rsidR="005E77BA">
        <w:t>WICS (2024), ‘</w:t>
      </w:r>
      <w:r w:rsidR="005E77BA" w:rsidRPr="0020303B">
        <w:rPr>
          <w:i/>
          <w:iCs/>
        </w:rPr>
        <w:t xml:space="preserve">Strategic Review </w:t>
      </w:r>
      <w:r w:rsidR="005E77BA">
        <w:rPr>
          <w:i/>
          <w:iCs/>
        </w:rPr>
        <w:t>o</w:t>
      </w:r>
      <w:r w:rsidR="005E77BA" w:rsidRPr="0020303B">
        <w:rPr>
          <w:i/>
          <w:iCs/>
        </w:rPr>
        <w:t>f Charges 2027-2033: Draft Methodology</w:t>
      </w:r>
      <w:r w:rsidR="005E77BA">
        <w:t xml:space="preserve">’, 14 August 2024. Available at </w:t>
      </w:r>
      <w:hyperlink r:id="rId4" w:history="1">
        <w:r w:rsidR="005E77BA" w:rsidRPr="0071736A">
          <w:rPr>
            <w:rStyle w:val="Hyperlink"/>
            <w:sz w:val="20"/>
          </w:rPr>
          <w:t>https://wics.scot/publications/price-setting/strategic-review-charges-2027-33/approach/2027-33-methodology</w:t>
        </w:r>
      </w:hyperlink>
      <w:r w:rsidR="005E77BA">
        <w:rPr>
          <w:rStyle w:val="Hyperlink"/>
          <w:sz w:val="20"/>
        </w:rPr>
        <w:t>.</w:t>
      </w:r>
      <w:r w:rsidR="005E77BA">
        <w:t xml:space="preserve"> </w:t>
      </w:r>
    </w:p>
  </w:footnote>
  <w:footnote w:id="9">
    <w:p w14:paraId="2CB9A28D" w14:textId="0A5416A8" w:rsidR="00AF04E2" w:rsidRDefault="00AF04E2">
      <w:pPr>
        <w:pStyle w:val="FootnoteText"/>
      </w:pPr>
      <w:r>
        <w:rPr>
          <w:rStyle w:val="FootnoteReference"/>
        </w:rPr>
        <w:footnoteRef/>
      </w:r>
      <w:r>
        <w:t xml:space="preserve"> </w:t>
      </w:r>
      <w:r w:rsidR="00466B56">
        <w:t>Both values are expressed in 2023-24 prices.</w:t>
      </w:r>
    </w:p>
  </w:footnote>
  <w:footnote w:id="10">
    <w:p w14:paraId="07567ED2" w14:textId="77777777" w:rsidR="00B007BC" w:rsidRPr="00C95721" w:rsidRDefault="00B007BC" w:rsidP="00B007BC">
      <w:pPr>
        <w:pStyle w:val="FootnoteText"/>
        <w:rPr>
          <w:rFonts w:cstheme="minorHAnsi"/>
        </w:rPr>
      </w:pPr>
      <w:r w:rsidRPr="00174635">
        <w:rPr>
          <w:rFonts w:cstheme="minorHAnsi"/>
          <w:vertAlign w:val="superscript"/>
        </w:rPr>
        <w:footnoteRef/>
      </w:r>
      <w:r w:rsidRPr="00174635">
        <w:rPr>
          <w:rFonts w:cstheme="minorHAnsi"/>
          <w:vertAlign w:val="superscript"/>
        </w:rPr>
        <w:t xml:space="preserve"> </w:t>
      </w:r>
      <w:r w:rsidRPr="005B1B31">
        <w:rPr>
          <w:rFonts w:cstheme="minorHAnsi"/>
        </w:rPr>
        <w:t>Tot</w:t>
      </w:r>
      <w:r w:rsidRPr="00C95721">
        <w:rPr>
          <w:rFonts w:cstheme="minorHAnsi"/>
        </w:rPr>
        <w:t>als may not appear to be the sum of operating costs and PFI costs due to rounding.</w:t>
      </w:r>
    </w:p>
  </w:footnote>
  <w:footnote w:id="11">
    <w:p w14:paraId="3E46F52C" w14:textId="2AF2F59B" w:rsidR="002852E6" w:rsidRDefault="002852E6" w:rsidP="002852E6">
      <w:pPr>
        <w:pStyle w:val="FootnoteText"/>
      </w:pPr>
      <w:r>
        <w:rPr>
          <w:rStyle w:val="FootnoteReference"/>
        </w:rPr>
        <w:footnoteRef/>
      </w:r>
      <w:r>
        <w:t xml:space="preserve"> </w:t>
      </w:r>
      <w:r w:rsidRPr="00567E12">
        <w:t>The Final Determination set assumptions for net new borrowing, which relates to the borrowing raised in the year net of the borrowing repaid in the year.</w:t>
      </w:r>
    </w:p>
  </w:footnote>
  <w:footnote w:id="12">
    <w:p w14:paraId="690A7728" w14:textId="77777777" w:rsidR="002E334E" w:rsidRPr="0030124D" w:rsidRDefault="002E334E" w:rsidP="002E334E">
      <w:pPr>
        <w:pStyle w:val="FootnoteText"/>
      </w:pPr>
      <w:r w:rsidRPr="0030124D">
        <w:rPr>
          <w:rStyle w:val="FootnoteReference"/>
        </w:rPr>
        <w:footnoteRef/>
      </w:r>
      <w:r w:rsidRPr="0030124D">
        <w:t xml:space="preserve"> WICS (2020), </w:t>
      </w:r>
      <w:r w:rsidRPr="0030124D">
        <w:rPr>
          <w:i/>
        </w:rPr>
        <w:t>‘Strategic Review of Charges 2021-27</w:t>
      </w:r>
      <w:r w:rsidRPr="0030124D">
        <w:rPr>
          <w:i/>
          <w:iCs/>
        </w:rPr>
        <w:t>:</w:t>
      </w:r>
      <w:r w:rsidRPr="0030124D">
        <w:rPr>
          <w:i/>
        </w:rPr>
        <w:t xml:space="preserve"> Final Determination’</w:t>
      </w:r>
      <w:r w:rsidRPr="0030124D">
        <w:t xml:space="preserve">, 10 December 2020, </w:t>
      </w:r>
      <w:r>
        <w:t>pp</w:t>
      </w:r>
      <w:r w:rsidRPr="0030124D">
        <w:t>.15-16.</w:t>
      </w:r>
    </w:p>
  </w:footnote>
  <w:footnote w:id="13">
    <w:p w14:paraId="61F23E26" w14:textId="1DD8B569" w:rsidR="00D013AF" w:rsidRDefault="00D013AF">
      <w:pPr>
        <w:pStyle w:val="FootnoteText"/>
      </w:pPr>
      <w:r>
        <w:rPr>
          <w:rStyle w:val="FootnoteReference"/>
        </w:rPr>
        <w:footnoteRef/>
      </w:r>
      <w:r>
        <w:t xml:space="preserve"> WICS (</w:t>
      </w:r>
      <w:r w:rsidR="00953478">
        <w:t>2022), ‘</w:t>
      </w:r>
      <w:r w:rsidR="00260A57" w:rsidRPr="00233A5B">
        <w:rPr>
          <w:i/>
          <w:iCs/>
        </w:rPr>
        <w:t>SRC21 Letter - Information request</w:t>
      </w:r>
      <w:r w:rsidR="00260A57">
        <w:t xml:space="preserve">’, 10 March 2022. Available at </w:t>
      </w:r>
      <w:hyperlink r:id="rId5" w:history="1">
        <w:r w:rsidR="00233A5B" w:rsidRPr="00476770">
          <w:rPr>
            <w:rStyle w:val="Hyperlink"/>
            <w:sz w:val="20"/>
          </w:rPr>
          <w:t>https://wics.scot/publications/price-setting/strategic-review-charges-2021-27/regulatory-information-requests/src21-letter-information-request</w:t>
        </w:r>
      </w:hyperlink>
      <w:r w:rsidR="00233A5B">
        <w:t xml:space="preserve"> </w:t>
      </w:r>
    </w:p>
  </w:footnote>
  <w:footnote w:id="14">
    <w:p w14:paraId="3D886001" w14:textId="664953CA" w:rsidR="008B374C" w:rsidRPr="008B374C" w:rsidRDefault="008B374C">
      <w:pPr>
        <w:pStyle w:val="FootnoteText"/>
        <w:rPr>
          <w:i/>
          <w:iCs/>
        </w:rPr>
      </w:pPr>
      <w:r>
        <w:rPr>
          <w:rStyle w:val="FootnoteReference"/>
        </w:rPr>
        <w:footnoteRef/>
      </w:r>
      <w:r>
        <w:t xml:space="preserve"> WICS (2023), ‘</w:t>
      </w:r>
      <w:r w:rsidRPr="00B07951">
        <w:rPr>
          <w:i/>
        </w:rPr>
        <w:t>SRC21 Letter – Reporting quality improvement plan</w:t>
      </w:r>
      <w:r>
        <w:t xml:space="preserve">’, 21 March 2023. Available at </w:t>
      </w:r>
      <w:hyperlink r:id="rId6" w:history="1">
        <w:r w:rsidRPr="00783854">
          <w:rPr>
            <w:rStyle w:val="Hyperlink"/>
            <w:sz w:val="20"/>
          </w:rPr>
          <w:t>https://wics.scot/publications/price-setting/strategic-review-charges-2021-27/regulatory-information-requests/src21-letter-reporting-quality-improvement-plan</w:t>
        </w:r>
      </w:hyperlink>
      <w:r>
        <w:t xml:space="preserve">  </w:t>
      </w:r>
    </w:p>
  </w:footnote>
  <w:footnote w:id="15">
    <w:p w14:paraId="7A16D426" w14:textId="6314124D" w:rsidR="00A83C5B" w:rsidRPr="00C207DC" w:rsidRDefault="00A83C5B">
      <w:pPr>
        <w:pStyle w:val="FootnoteText"/>
        <w:rPr>
          <w:i/>
          <w:iCs/>
        </w:rPr>
      </w:pPr>
      <w:r>
        <w:rPr>
          <w:rStyle w:val="FootnoteReference"/>
        </w:rPr>
        <w:footnoteRef/>
      </w:r>
      <w:r>
        <w:t xml:space="preserve"> WICS (2024), </w:t>
      </w:r>
      <w:r w:rsidR="00C207DC">
        <w:t>‘</w:t>
      </w:r>
      <w:r w:rsidR="0020303B" w:rsidRPr="0020303B">
        <w:rPr>
          <w:i/>
          <w:iCs/>
        </w:rPr>
        <w:t xml:space="preserve">Strategic Review </w:t>
      </w:r>
      <w:r w:rsidR="0020303B">
        <w:rPr>
          <w:i/>
          <w:iCs/>
        </w:rPr>
        <w:t>o</w:t>
      </w:r>
      <w:r w:rsidR="0020303B" w:rsidRPr="0020303B">
        <w:rPr>
          <w:i/>
          <w:iCs/>
        </w:rPr>
        <w:t>f Charges 2027-2033: Draft Methodology</w:t>
      </w:r>
      <w:r w:rsidR="00C207DC">
        <w:t xml:space="preserve">’, 14 August 2024. Available at </w:t>
      </w:r>
      <w:hyperlink r:id="rId7" w:history="1">
        <w:r w:rsidR="0020303B" w:rsidRPr="0071736A">
          <w:rPr>
            <w:rStyle w:val="Hyperlink"/>
            <w:sz w:val="20"/>
          </w:rPr>
          <w:t>https://wics.scot/publications/price-setting/strategic-review-charges-2027-33/approach/2027-33-methodology</w:t>
        </w:r>
      </w:hyperlink>
      <w:r w:rsidR="00295C95">
        <w:rPr>
          <w:rStyle w:val="Hyperlink"/>
          <w:sz w:val="20"/>
        </w:rPr>
        <w:t>.</w:t>
      </w:r>
      <w:r w:rsidR="0020303B">
        <w:t xml:space="preserve"> </w:t>
      </w:r>
    </w:p>
  </w:footnote>
  <w:footnote w:id="16">
    <w:p w14:paraId="17153317" w14:textId="7EB05799" w:rsidR="00FD2A64" w:rsidRDefault="00FD2A64">
      <w:pPr>
        <w:pStyle w:val="FootnoteText"/>
      </w:pPr>
      <w:r>
        <w:rPr>
          <w:rStyle w:val="FootnoteReference"/>
        </w:rPr>
        <w:footnoteRef/>
      </w:r>
      <w:r>
        <w:t xml:space="preserve"> </w:t>
      </w:r>
      <w:r w:rsidR="00DE3814">
        <w:t xml:space="preserve">Presented at Scottish Government </w:t>
      </w:r>
      <w:r w:rsidR="002D52BB">
        <w:t xml:space="preserve">Investment Group Working Group </w:t>
      </w:r>
      <w:r w:rsidR="00556EFE">
        <w:t>21</w:t>
      </w:r>
      <w:r w:rsidR="00556EFE" w:rsidRPr="001D1FE2">
        <w:rPr>
          <w:vertAlign w:val="superscript"/>
        </w:rPr>
        <w:t>st</w:t>
      </w:r>
      <w:r w:rsidR="00556EFE">
        <w:t xml:space="preserve"> meeting on 21 August </w:t>
      </w:r>
      <w:r w:rsidR="00213EA6">
        <w:t>2024, Item 6</w:t>
      </w:r>
      <w:r w:rsidR="009E3981">
        <w:t>.</w:t>
      </w:r>
    </w:p>
  </w:footnote>
  <w:footnote w:id="17">
    <w:p w14:paraId="67C27A91" w14:textId="3CB5DAEF" w:rsidR="005E5352" w:rsidRDefault="005E5352">
      <w:pPr>
        <w:pStyle w:val="FootnoteText"/>
      </w:pPr>
      <w:r>
        <w:rPr>
          <w:rStyle w:val="FootnoteReference"/>
        </w:rPr>
        <w:footnoteRef/>
      </w:r>
      <w:r>
        <w:t xml:space="preserve"> Scottish Water (2024), ‘</w:t>
      </w:r>
      <w:r w:rsidR="000829E1">
        <w:t>2023-24</w:t>
      </w:r>
      <w:r w:rsidR="00514B00">
        <w:t xml:space="preserve"> </w:t>
      </w:r>
      <w:r>
        <w:t xml:space="preserve">Section </w:t>
      </w:r>
      <w:r w:rsidR="00EE3778">
        <w:t>A</w:t>
      </w:r>
      <w:r>
        <w:t xml:space="preserve"> Commentary’</w:t>
      </w:r>
      <w:r w:rsidR="000829E1">
        <w:t xml:space="preserve">, </w:t>
      </w:r>
      <w:r w:rsidR="00284A4B">
        <w:t>p.</w:t>
      </w:r>
      <w:r w:rsidR="00EE3778">
        <w:t>25</w:t>
      </w:r>
      <w:r w:rsidR="008360EF">
        <w:t>. To be published in December 2024</w:t>
      </w:r>
      <w:r w:rsidR="003B6A87">
        <w:t xml:space="preserve"> on </w:t>
      </w:r>
      <w:hyperlink r:id="rId8" w:history="1">
        <w:r w:rsidR="00CE20C5" w:rsidRPr="008E4696">
          <w:rPr>
            <w:rStyle w:val="Hyperlink"/>
            <w:sz w:val="20"/>
          </w:rPr>
          <w:t>https://wics.scot/publications/scottish-water/annual-return-regulatory-accounts</w:t>
        </w:r>
      </w:hyperlink>
    </w:p>
  </w:footnote>
  <w:footnote w:id="18">
    <w:p w14:paraId="01F0B74A" w14:textId="77777777" w:rsidR="00085D07" w:rsidRPr="006213AC" w:rsidRDefault="00085D07" w:rsidP="00085D07">
      <w:pPr>
        <w:pStyle w:val="FootnoteText"/>
        <w:rPr>
          <w:rFonts w:cstheme="minorHAnsi"/>
        </w:rPr>
      </w:pPr>
      <w:r w:rsidRPr="00174635">
        <w:rPr>
          <w:rStyle w:val="FootnoteReference"/>
          <w:rFonts w:cstheme="minorHAnsi"/>
        </w:rPr>
        <w:footnoteRef/>
      </w:r>
      <w:r w:rsidRPr="006213AC">
        <w:rPr>
          <w:rFonts w:cstheme="minorHAnsi"/>
        </w:rPr>
        <w:t xml:space="preserve"> Pollution incidents are classified according to their impact on the environment and people, from category 1 </w:t>
      </w:r>
    </w:p>
    <w:p w14:paraId="0AB43D1F" w14:textId="77777777" w:rsidR="00085D07" w:rsidRPr="00174635" w:rsidRDefault="00085D07" w:rsidP="00085D07">
      <w:pPr>
        <w:pStyle w:val="FootnoteText"/>
        <w:rPr>
          <w:rFonts w:cstheme="minorHAnsi"/>
        </w:rPr>
      </w:pPr>
      <w:r w:rsidRPr="006213AC">
        <w:rPr>
          <w:rFonts w:cstheme="minorHAnsi"/>
        </w:rPr>
        <w:t xml:space="preserve">(the most serious) to category 4 (little or no impact) and the level of response needed. </w:t>
      </w:r>
    </w:p>
    <w:p w14:paraId="3F997A52" w14:textId="77777777" w:rsidR="00085D07" w:rsidRPr="006213AC" w:rsidRDefault="00085D07" w:rsidP="00085D07">
      <w:pPr>
        <w:pStyle w:val="FootnoteText"/>
        <w:rPr>
          <w:rFonts w:cstheme="minorHAnsi"/>
        </w:rPr>
      </w:pPr>
      <w:r w:rsidRPr="006213AC">
        <w:rPr>
          <w:rFonts w:cstheme="minorHAnsi"/>
        </w:rPr>
        <w:t>Weighted number of water and wastewater environmental pollution incidents (categories 1 and 2) is calculated as 0.5*wastewater incidents + 1*water incidents</w:t>
      </w:r>
      <w:r w:rsidRPr="00174635">
        <w:rPr>
          <w:rFonts w:cstheme="minorHAnsi"/>
        </w:rPr>
        <w:t>.</w:t>
      </w:r>
    </w:p>
  </w:footnote>
  <w:footnote w:id="19">
    <w:p w14:paraId="7DF68520" w14:textId="77777777" w:rsidR="00085D07" w:rsidRPr="0083698F" w:rsidRDefault="00085D07" w:rsidP="00085D07">
      <w:pPr>
        <w:pStyle w:val="FootnoteText"/>
        <w:rPr>
          <w:rFonts w:cstheme="minorHAnsi"/>
        </w:rPr>
      </w:pPr>
      <w:r w:rsidRPr="00F01A3F">
        <w:rPr>
          <w:rStyle w:val="FootnoteReference"/>
          <w:rFonts w:cstheme="minorHAnsi"/>
        </w:rPr>
        <w:footnoteRef/>
      </w:r>
      <w:r w:rsidRPr="00F01A3F">
        <w:rPr>
          <w:rFonts w:cstheme="minorHAnsi"/>
        </w:rPr>
        <w:t xml:space="preserve"> </w:t>
      </w:r>
      <w:r w:rsidRPr="0083698F">
        <w:rPr>
          <w:rFonts w:cstheme="minorHAnsi"/>
        </w:rPr>
        <w:t>Weighted number of water and wastewater environmental pollution incidents (category 3) is calculated as 0.01*wastewater incidents + 0.02*water incidents.</w:t>
      </w:r>
    </w:p>
  </w:footnote>
  <w:footnote w:id="20">
    <w:p w14:paraId="3197213E" w14:textId="3D85EB14" w:rsidR="000872F0" w:rsidRDefault="000872F0">
      <w:pPr>
        <w:pStyle w:val="FootnoteText"/>
      </w:pPr>
      <w:r>
        <w:rPr>
          <w:rStyle w:val="FootnoteReference"/>
        </w:rPr>
        <w:footnoteRef/>
      </w:r>
      <w:r>
        <w:t xml:space="preserve"> </w:t>
      </w:r>
      <w:r w:rsidR="00886731">
        <w:t xml:space="preserve">DWQR (2024), </w:t>
      </w:r>
      <w:r w:rsidR="00886731" w:rsidRPr="001F073B">
        <w:rPr>
          <w:i/>
          <w:iCs/>
        </w:rPr>
        <w:t>‘Drinking Water Quality in Scotland 2023 DWQR Annual Report – Public Supplies’</w:t>
      </w:r>
      <w:r w:rsidR="00886731">
        <w:t>, October</w:t>
      </w:r>
      <w:r w:rsidR="00C76AEA">
        <w:t>, p.6</w:t>
      </w:r>
      <w:r w:rsidR="00886731">
        <w:t xml:space="preserve">. </w:t>
      </w:r>
      <w:r w:rsidR="00043266">
        <w:t xml:space="preserve"> </w:t>
      </w:r>
    </w:p>
  </w:footnote>
  <w:footnote w:id="21">
    <w:p w14:paraId="62C48B82" w14:textId="2B664DFA" w:rsidR="00923FC3" w:rsidRDefault="00923FC3" w:rsidP="00923FC3">
      <w:pPr>
        <w:pStyle w:val="FootnoteText"/>
      </w:pPr>
      <w:r>
        <w:rPr>
          <w:rStyle w:val="FootnoteReference"/>
        </w:rPr>
        <w:footnoteRef/>
      </w:r>
      <w:r>
        <w:t xml:space="preserve"> </w:t>
      </w:r>
      <w:r w:rsidR="00996E12">
        <w:t xml:space="preserve">Environmental Standards Scotland (2024), </w:t>
      </w:r>
      <w:r w:rsidR="00996E12" w:rsidRPr="001F073B">
        <w:rPr>
          <w:i/>
          <w:iCs/>
        </w:rPr>
        <w:t>‘Storm overflows – an assessment of s</w:t>
      </w:r>
      <w:r w:rsidR="0040019E" w:rsidRPr="001F073B">
        <w:rPr>
          <w:i/>
          <w:iCs/>
        </w:rPr>
        <w:t>pills, their impact on the water environment and the effectiveness of legislation and policy’</w:t>
      </w:r>
      <w:r w:rsidR="0040019E">
        <w:t xml:space="preserve">, September. </w:t>
      </w:r>
    </w:p>
  </w:footnote>
  <w:footnote w:id="22">
    <w:p w14:paraId="5F2B703B" w14:textId="55FFBC3E" w:rsidR="00130936" w:rsidRDefault="00130936" w:rsidP="00130936">
      <w:pPr>
        <w:pStyle w:val="FootnoteText"/>
      </w:pPr>
      <w:r>
        <w:rPr>
          <w:rStyle w:val="FootnoteReference"/>
        </w:rPr>
        <w:footnoteRef/>
      </w:r>
      <w:r>
        <w:t xml:space="preserve"> </w:t>
      </w:r>
      <w:r w:rsidR="00A75527">
        <w:t>Scottish Water</w:t>
      </w:r>
      <w:r w:rsidR="00BF56E7">
        <w:t xml:space="preserve">, </w:t>
      </w:r>
      <w:r w:rsidR="00BF56E7" w:rsidRPr="001F073B">
        <w:rPr>
          <w:i/>
          <w:iCs/>
        </w:rPr>
        <w:t>‘Improving Urban Waters Routemap Annual Update’</w:t>
      </w:r>
      <w:r w:rsidR="005E7BB7">
        <w:rPr>
          <w:i/>
          <w:iCs/>
        </w:rPr>
        <w:t>.</w:t>
      </w:r>
    </w:p>
  </w:footnote>
  <w:footnote w:id="23">
    <w:p w14:paraId="7336D7AE" w14:textId="77777777" w:rsidR="00AA310B" w:rsidRDefault="00AA310B" w:rsidP="00AA310B">
      <w:pPr>
        <w:pStyle w:val="FootnoteText"/>
      </w:pPr>
      <w:r w:rsidRPr="0083698F">
        <w:rPr>
          <w:rStyle w:val="FootnoteReference"/>
          <w:rFonts w:cstheme="minorHAnsi"/>
        </w:rPr>
        <w:footnoteRef/>
      </w:r>
      <w:r w:rsidRPr="0083698F">
        <w:rPr>
          <w:rFonts w:cstheme="minorHAnsi"/>
        </w:rPr>
        <w:t xml:space="preserve"> </w:t>
      </w:r>
      <w:r>
        <w:rPr>
          <w:rFonts w:cstheme="minorHAnsi"/>
        </w:rPr>
        <w:t xml:space="preserve">Scottish Water (2020), </w:t>
      </w:r>
      <w:r w:rsidRPr="001F073B">
        <w:rPr>
          <w:rFonts w:cstheme="minorHAnsi"/>
          <w:i/>
          <w:iCs/>
        </w:rPr>
        <w:t>‘Net Zero Emissions Routemap’,</w:t>
      </w:r>
      <w:r>
        <w:rPr>
          <w:rFonts w:cstheme="minorHAnsi"/>
        </w:rPr>
        <w:t xml:space="preserve"> September, p.</w:t>
      </w:r>
      <w:r w:rsidRPr="0083698F">
        <w:rPr>
          <w:rFonts w:cstheme="minorHAnsi"/>
        </w:rPr>
        <w:t>10</w:t>
      </w:r>
      <w:r>
        <w:rPr>
          <w:rFonts w:cstheme="minorHAnsi"/>
        </w:rPr>
        <w:t>.</w:t>
      </w:r>
    </w:p>
  </w:footnote>
  <w:footnote w:id="24">
    <w:p w14:paraId="24122F00" w14:textId="0AA8C769" w:rsidR="00D91211" w:rsidRDefault="00D91211">
      <w:pPr>
        <w:pStyle w:val="FootnoteText"/>
      </w:pPr>
      <w:r>
        <w:rPr>
          <w:rStyle w:val="FootnoteReference"/>
        </w:rPr>
        <w:footnoteRef/>
      </w:r>
      <w:r>
        <w:t xml:space="preserve"> Scottish Government (2024), ‘Climate Change </w:t>
      </w:r>
      <w:r w:rsidR="006E5825">
        <w:t>Bill passed’, November, available at:</w:t>
      </w:r>
      <w:r w:rsidR="008E4696">
        <w:t xml:space="preserve"> </w:t>
      </w:r>
      <w:hyperlink r:id="rId9" w:history="1">
        <w:r w:rsidR="008E4696" w:rsidRPr="008E4696">
          <w:rPr>
            <w:rStyle w:val="Hyperlink"/>
            <w:sz w:val="20"/>
          </w:rPr>
          <w:t>https://www.gov.scot/news/climate-change-bill-passed/</w:t>
        </w:r>
      </w:hyperlink>
      <w:r w:rsidR="006E5825">
        <w:t xml:space="preserve">, last accessed 21 November 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9742" w14:textId="344D5511" w:rsidR="009215D0" w:rsidRDefault="009215D0">
    <w:pPr>
      <w:pStyle w:val="Header"/>
    </w:pPr>
    <w:r>
      <w:rPr>
        <w:noProof/>
      </w:rPr>
      <w:drawing>
        <wp:anchor distT="0" distB="0" distL="114300" distR="114300" simplePos="0" relativeHeight="251658241"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879732259" name="Picture 87973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40BB" w14:textId="011FE00B" w:rsidR="00805421" w:rsidRDefault="00805421">
    <w:pPr>
      <w:pStyle w:val="Header"/>
    </w:pPr>
    <w:r>
      <w:rPr>
        <w:noProof/>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2073694079" name="Picture 207369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2B4A4B9B" w:rsidR="00805421" w:rsidRDefault="00715E7B" w:rsidP="00715E7B">
    <w:pPr>
      <w:pStyle w:val="Header"/>
      <w:tabs>
        <w:tab w:val="clear" w:pos="4513"/>
        <w:tab w:val="clear" w:pos="9026"/>
        <w:tab w:val="left" w:pos="1872"/>
      </w:tabs>
    </w:pPr>
    <w:r>
      <w:tab/>
    </w: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60BE6903" w:rsidR="00805421" w:rsidRDefault="009E5A35" w:rsidP="009E5A35">
    <w:pPr>
      <w:pStyle w:val="Header"/>
      <w:tabs>
        <w:tab w:val="clear" w:pos="4513"/>
        <w:tab w:val="clear" w:pos="9026"/>
        <w:tab w:val="left" w:pos="3540"/>
      </w:tabs>
    </w:pPr>
    <w:r>
      <w:tab/>
    </w: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41694" w14:textId="77777777" w:rsidR="009E5A35" w:rsidRDefault="009E5A35">
    <w:pPr>
      <w:pStyle w:val="Header"/>
    </w:pPr>
  </w:p>
  <w:p w14:paraId="6AF30381" w14:textId="77777777" w:rsidR="009E5A35" w:rsidRDefault="009E5A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ED96" w14:textId="797ED9D7" w:rsidR="0008752E" w:rsidRDefault="00DE0535">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2085192588" name="Picture 208519258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151547"/>
    <w:multiLevelType w:val="hybridMultilevel"/>
    <w:tmpl w:val="DEFE7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5501F8"/>
    <w:multiLevelType w:val="hybridMultilevel"/>
    <w:tmpl w:val="72B0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3325D4"/>
    <w:multiLevelType w:val="hybridMultilevel"/>
    <w:tmpl w:val="CBD2E3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626A72"/>
    <w:multiLevelType w:val="hybridMultilevel"/>
    <w:tmpl w:val="D6A4E8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5E24ED6"/>
    <w:multiLevelType w:val="hybridMultilevel"/>
    <w:tmpl w:val="7BA83D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9E70FF7"/>
    <w:multiLevelType w:val="hybridMultilevel"/>
    <w:tmpl w:val="703E77A2"/>
    <w:lvl w:ilvl="0" w:tplc="6CF2EF1E">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4D4820"/>
    <w:multiLevelType w:val="hybridMultilevel"/>
    <w:tmpl w:val="72023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0037D6"/>
    <w:multiLevelType w:val="hybridMultilevel"/>
    <w:tmpl w:val="B8D2B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E23838"/>
    <w:multiLevelType w:val="hybridMultilevel"/>
    <w:tmpl w:val="18946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2F54375"/>
    <w:multiLevelType w:val="hybridMultilevel"/>
    <w:tmpl w:val="ECFC3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57042"/>
    <w:multiLevelType w:val="hybridMultilevel"/>
    <w:tmpl w:val="ABC43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1C12E4"/>
    <w:multiLevelType w:val="hybridMultilevel"/>
    <w:tmpl w:val="C742D8FC"/>
    <w:lvl w:ilvl="0" w:tplc="A84A96F4">
      <w:start w:val="1"/>
      <w:numFmt w:val="bullet"/>
      <w:lvlText w:val=""/>
      <w:lvlJc w:val="left"/>
      <w:pPr>
        <w:ind w:left="1700" w:hanging="360"/>
      </w:pPr>
      <w:rPr>
        <w:rFonts w:ascii="Symbol" w:hAnsi="Symbol" w:hint="default"/>
        <w:color w:val="000000" w:themeColor="text1"/>
        <w:sz w:val="20"/>
        <w:szCs w:val="14"/>
      </w:rPr>
    </w:lvl>
    <w:lvl w:ilvl="1" w:tplc="08090003">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26"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7" w15:restartNumberingAfterBreak="0">
    <w:nsid w:val="617A4212"/>
    <w:multiLevelType w:val="hybridMultilevel"/>
    <w:tmpl w:val="CFBE55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715613"/>
    <w:multiLevelType w:val="hybridMultilevel"/>
    <w:tmpl w:val="9F621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97F791F"/>
    <w:multiLevelType w:val="hybridMultilevel"/>
    <w:tmpl w:val="F1169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5DC4523"/>
    <w:multiLevelType w:val="hybridMultilevel"/>
    <w:tmpl w:val="0A4C4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F66817"/>
    <w:multiLevelType w:val="hybridMultilevel"/>
    <w:tmpl w:val="F3E40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8C218C"/>
    <w:multiLevelType w:val="hybridMultilevel"/>
    <w:tmpl w:val="45F43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370990">
    <w:abstractNumId w:val="14"/>
  </w:num>
  <w:num w:numId="2" w16cid:durableId="885532873">
    <w:abstractNumId w:val="20"/>
  </w:num>
  <w:num w:numId="3" w16cid:durableId="1815098329">
    <w:abstractNumId w:val="19"/>
  </w:num>
  <w:num w:numId="4" w16cid:durableId="1525165605">
    <w:abstractNumId w:val="28"/>
  </w:num>
  <w:num w:numId="5" w16cid:durableId="1228953050">
    <w:abstractNumId w:val="21"/>
  </w:num>
  <w:num w:numId="6" w16cid:durableId="8684479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5538194">
    <w:abstractNumId w:val="24"/>
  </w:num>
  <w:num w:numId="8" w16cid:durableId="167791003">
    <w:abstractNumId w:val="11"/>
  </w:num>
  <w:num w:numId="9" w16cid:durableId="496119159">
    <w:abstractNumId w:val="30"/>
  </w:num>
  <w:num w:numId="10" w16cid:durableId="797071912">
    <w:abstractNumId w:val="33"/>
  </w:num>
  <w:num w:numId="11" w16cid:durableId="1481193384">
    <w:abstractNumId w:val="31"/>
  </w:num>
  <w:num w:numId="12" w16cid:durableId="625813646">
    <w:abstractNumId w:val="10"/>
  </w:num>
  <w:num w:numId="13" w16cid:durableId="1571379260">
    <w:abstractNumId w:val="22"/>
  </w:num>
  <w:num w:numId="14" w16cid:durableId="864171176">
    <w:abstractNumId w:val="27"/>
  </w:num>
  <w:num w:numId="15" w16cid:durableId="126748132">
    <w:abstractNumId w:val="15"/>
  </w:num>
  <w:num w:numId="16" w16cid:durableId="1482843067">
    <w:abstractNumId w:val="16"/>
  </w:num>
  <w:num w:numId="17" w16cid:durableId="1510020971">
    <w:abstractNumId w:val="13"/>
  </w:num>
  <w:num w:numId="18" w16cid:durableId="863903469">
    <w:abstractNumId w:val="26"/>
  </w:num>
  <w:num w:numId="19" w16cid:durableId="608510469">
    <w:abstractNumId w:val="25"/>
  </w:num>
  <w:num w:numId="20" w16cid:durableId="801119007">
    <w:abstractNumId w:val="12"/>
  </w:num>
  <w:num w:numId="21" w16cid:durableId="922181170">
    <w:abstractNumId w:val="9"/>
  </w:num>
  <w:num w:numId="22" w16cid:durableId="683215175">
    <w:abstractNumId w:val="7"/>
  </w:num>
  <w:num w:numId="23" w16cid:durableId="1817837915">
    <w:abstractNumId w:val="6"/>
  </w:num>
  <w:num w:numId="24" w16cid:durableId="164131010">
    <w:abstractNumId w:val="5"/>
  </w:num>
  <w:num w:numId="25" w16cid:durableId="1248149255">
    <w:abstractNumId w:val="4"/>
  </w:num>
  <w:num w:numId="26" w16cid:durableId="1440635778">
    <w:abstractNumId w:val="8"/>
  </w:num>
  <w:num w:numId="27" w16cid:durableId="2138135552">
    <w:abstractNumId w:val="3"/>
  </w:num>
  <w:num w:numId="28" w16cid:durableId="698775652">
    <w:abstractNumId w:val="2"/>
  </w:num>
  <w:num w:numId="29" w16cid:durableId="2083791589">
    <w:abstractNumId w:val="1"/>
  </w:num>
  <w:num w:numId="30" w16cid:durableId="1800759160">
    <w:abstractNumId w:val="0"/>
  </w:num>
  <w:num w:numId="31" w16cid:durableId="1611889364">
    <w:abstractNumId w:val="29"/>
  </w:num>
  <w:num w:numId="32" w16cid:durableId="870458825">
    <w:abstractNumId w:val="18"/>
  </w:num>
  <w:num w:numId="33" w16cid:durableId="1162308293">
    <w:abstractNumId w:val="23"/>
  </w:num>
  <w:num w:numId="34" w16cid:durableId="1914654306">
    <w:abstractNumId w:val="17"/>
  </w:num>
  <w:num w:numId="35" w16cid:durableId="732118212">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034D"/>
    <w:rsid w:val="000011BB"/>
    <w:rsid w:val="0000264D"/>
    <w:rsid w:val="00003319"/>
    <w:rsid w:val="00003694"/>
    <w:rsid w:val="00004744"/>
    <w:rsid w:val="00005A0F"/>
    <w:rsid w:val="00013C28"/>
    <w:rsid w:val="00013FD3"/>
    <w:rsid w:val="00014EB2"/>
    <w:rsid w:val="00016D98"/>
    <w:rsid w:val="00016F20"/>
    <w:rsid w:val="000174F8"/>
    <w:rsid w:val="00022BCA"/>
    <w:rsid w:val="00022CF0"/>
    <w:rsid w:val="00025D2D"/>
    <w:rsid w:val="000262C9"/>
    <w:rsid w:val="000270D2"/>
    <w:rsid w:val="00027903"/>
    <w:rsid w:val="000309AB"/>
    <w:rsid w:val="000317AF"/>
    <w:rsid w:val="000319EF"/>
    <w:rsid w:val="00033361"/>
    <w:rsid w:val="000333FE"/>
    <w:rsid w:val="00034412"/>
    <w:rsid w:val="000349BA"/>
    <w:rsid w:val="00037E07"/>
    <w:rsid w:val="000408F1"/>
    <w:rsid w:val="00042257"/>
    <w:rsid w:val="00043266"/>
    <w:rsid w:val="00043D55"/>
    <w:rsid w:val="00044F66"/>
    <w:rsid w:val="00047751"/>
    <w:rsid w:val="00051493"/>
    <w:rsid w:val="000531A5"/>
    <w:rsid w:val="00053360"/>
    <w:rsid w:val="000546CF"/>
    <w:rsid w:val="000558E9"/>
    <w:rsid w:val="00055FFF"/>
    <w:rsid w:val="00057E4A"/>
    <w:rsid w:val="00061483"/>
    <w:rsid w:val="00062470"/>
    <w:rsid w:val="00062F22"/>
    <w:rsid w:val="00063408"/>
    <w:rsid w:val="00064CAA"/>
    <w:rsid w:val="00064CE7"/>
    <w:rsid w:val="00065083"/>
    <w:rsid w:val="0006562B"/>
    <w:rsid w:val="00067F7E"/>
    <w:rsid w:val="00070C07"/>
    <w:rsid w:val="00070E77"/>
    <w:rsid w:val="00073F45"/>
    <w:rsid w:val="0007559B"/>
    <w:rsid w:val="00075D5F"/>
    <w:rsid w:val="000766E9"/>
    <w:rsid w:val="0008038D"/>
    <w:rsid w:val="000804C0"/>
    <w:rsid w:val="00080CC4"/>
    <w:rsid w:val="00081BFE"/>
    <w:rsid w:val="00082009"/>
    <w:rsid w:val="000822FE"/>
    <w:rsid w:val="000829E1"/>
    <w:rsid w:val="00082EC9"/>
    <w:rsid w:val="0008301E"/>
    <w:rsid w:val="000842BC"/>
    <w:rsid w:val="0008505C"/>
    <w:rsid w:val="00085BF8"/>
    <w:rsid w:val="00085D07"/>
    <w:rsid w:val="000872F0"/>
    <w:rsid w:val="0008752E"/>
    <w:rsid w:val="00087874"/>
    <w:rsid w:val="000900B5"/>
    <w:rsid w:val="000909C5"/>
    <w:rsid w:val="00097163"/>
    <w:rsid w:val="0009793F"/>
    <w:rsid w:val="00097DFE"/>
    <w:rsid w:val="000A05F1"/>
    <w:rsid w:val="000A31B3"/>
    <w:rsid w:val="000A5891"/>
    <w:rsid w:val="000A5E7C"/>
    <w:rsid w:val="000A7A16"/>
    <w:rsid w:val="000B278A"/>
    <w:rsid w:val="000B2A9F"/>
    <w:rsid w:val="000B2C0F"/>
    <w:rsid w:val="000B7739"/>
    <w:rsid w:val="000C11D9"/>
    <w:rsid w:val="000C1C91"/>
    <w:rsid w:val="000C501A"/>
    <w:rsid w:val="000C52E6"/>
    <w:rsid w:val="000C6867"/>
    <w:rsid w:val="000C7CDA"/>
    <w:rsid w:val="000D04AC"/>
    <w:rsid w:val="000D21FE"/>
    <w:rsid w:val="000D268F"/>
    <w:rsid w:val="000D3478"/>
    <w:rsid w:val="000D6FC3"/>
    <w:rsid w:val="000D74D6"/>
    <w:rsid w:val="000D7E66"/>
    <w:rsid w:val="000E2D6A"/>
    <w:rsid w:val="000E55C6"/>
    <w:rsid w:val="000E6507"/>
    <w:rsid w:val="000E6958"/>
    <w:rsid w:val="000E7D4D"/>
    <w:rsid w:val="000F0D71"/>
    <w:rsid w:val="000F2FF5"/>
    <w:rsid w:val="000F5C4F"/>
    <w:rsid w:val="000F5DA0"/>
    <w:rsid w:val="000F738E"/>
    <w:rsid w:val="00100852"/>
    <w:rsid w:val="00100CC0"/>
    <w:rsid w:val="001011AB"/>
    <w:rsid w:val="00101D35"/>
    <w:rsid w:val="00103634"/>
    <w:rsid w:val="001038B4"/>
    <w:rsid w:val="001039A4"/>
    <w:rsid w:val="001039AA"/>
    <w:rsid w:val="00103C25"/>
    <w:rsid w:val="00106D30"/>
    <w:rsid w:val="0011051D"/>
    <w:rsid w:val="0011135D"/>
    <w:rsid w:val="001160A3"/>
    <w:rsid w:val="001171DD"/>
    <w:rsid w:val="001236AF"/>
    <w:rsid w:val="00124A31"/>
    <w:rsid w:val="00124E24"/>
    <w:rsid w:val="001257B0"/>
    <w:rsid w:val="00125F6D"/>
    <w:rsid w:val="001264C7"/>
    <w:rsid w:val="00127460"/>
    <w:rsid w:val="001302E4"/>
    <w:rsid w:val="00130936"/>
    <w:rsid w:val="00133176"/>
    <w:rsid w:val="00133368"/>
    <w:rsid w:val="0013482B"/>
    <w:rsid w:val="00134C38"/>
    <w:rsid w:val="00136B63"/>
    <w:rsid w:val="0013717E"/>
    <w:rsid w:val="0014044F"/>
    <w:rsid w:val="00140F73"/>
    <w:rsid w:val="00142A61"/>
    <w:rsid w:val="00143C4A"/>
    <w:rsid w:val="0014615A"/>
    <w:rsid w:val="00146BDF"/>
    <w:rsid w:val="00147033"/>
    <w:rsid w:val="001471DC"/>
    <w:rsid w:val="00147696"/>
    <w:rsid w:val="00147DFB"/>
    <w:rsid w:val="00150CD4"/>
    <w:rsid w:val="00152AAA"/>
    <w:rsid w:val="00154E8C"/>
    <w:rsid w:val="00155653"/>
    <w:rsid w:val="001570B8"/>
    <w:rsid w:val="001572AD"/>
    <w:rsid w:val="0016357E"/>
    <w:rsid w:val="0016533F"/>
    <w:rsid w:val="001656D6"/>
    <w:rsid w:val="00166BF3"/>
    <w:rsid w:val="00167579"/>
    <w:rsid w:val="00167C47"/>
    <w:rsid w:val="0017159E"/>
    <w:rsid w:val="00171B40"/>
    <w:rsid w:val="00173392"/>
    <w:rsid w:val="001745E5"/>
    <w:rsid w:val="0017579F"/>
    <w:rsid w:val="00175B1A"/>
    <w:rsid w:val="00175E74"/>
    <w:rsid w:val="001766C3"/>
    <w:rsid w:val="00176D7A"/>
    <w:rsid w:val="00181AE1"/>
    <w:rsid w:val="00183F19"/>
    <w:rsid w:val="0019017F"/>
    <w:rsid w:val="00191679"/>
    <w:rsid w:val="001940B4"/>
    <w:rsid w:val="0019587A"/>
    <w:rsid w:val="001976C3"/>
    <w:rsid w:val="00197E37"/>
    <w:rsid w:val="001A1646"/>
    <w:rsid w:val="001A23B7"/>
    <w:rsid w:val="001A2E6B"/>
    <w:rsid w:val="001A3031"/>
    <w:rsid w:val="001A42E8"/>
    <w:rsid w:val="001A5D3B"/>
    <w:rsid w:val="001A7D87"/>
    <w:rsid w:val="001B0F02"/>
    <w:rsid w:val="001B6758"/>
    <w:rsid w:val="001C05DA"/>
    <w:rsid w:val="001C461A"/>
    <w:rsid w:val="001C4A5A"/>
    <w:rsid w:val="001D12B3"/>
    <w:rsid w:val="001D1354"/>
    <w:rsid w:val="001D1781"/>
    <w:rsid w:val="001D1FE2"/>
    <w:rsid w:val="001D3820"/>
    <w:rsid w:val="001D3C41"/>
    <w:rsid w:val="001D51BE"/>
    <w:rsid w:val="001D556C"/>
    <w:rsid w:val="001E1C18"/>
    <w:rsid w:val="001E7BE7"/>
    <w:rsid w:val="001F02FA"/>
    <w:rsid w:val="001F073B"/>
    <w:rsid w:val="001F0FC7"/>
    <w:rsid w:val="001F10AC"/>
    <w:rsid w:val="001F20E5"/>
    <w:rsid w:val="001F22E3"/>
    <w:rsid w:val="001F2594"/>
    <w:rsid w:val="001F47FD"/>
    <w:rsid w:val="001F48C6"/>
    <w:rsid w:val="001F5BFF"/>
    <w:rsid w:val="001F648E"/>
    <w:rsid w:val="001F6726"/>
    <w:rsid w:val="001F7F2D"/>
    <w:rsid w:val="00201A49"/>
    <w:rsid w:val="0020303B"/>
    <w:rsid w:val="002048A1"/>
    <w:rsid w:val="0020625B"/>
    <w:rsid w:val="00206E69"/>
    <w:rsid w:val="00207C0E"/>
    <w:rsid w:val="00213EA6"/>
    <w:rsid w:val="00214976"/>
    <w:rsid w:val="00214F47"/>
    <w:rsid w:val="00215BAE"/>
    <w:rsid w:val="00215DDE"/>
    <w:rsid w:val="002169CD"/>
    <w:rsid w:val="00217129"/>
    <w:rsid w:val="00217E6E"/>
    <w:rsid w:val="00220266"/>
    <w:rsid w:val="00221041"/>
    <w:rsid w:val="00221E6D"/>
    <w:rsid w:val="0022205C"/>
    <w:rsid w:val="00223AC9"/>
    <w:rsid w:val="00225526"/>
    <w:rsid w:val="00227A9E"/>
    <w:rsid w:val="00230DAB"/>
    <w:rsid w:val="002330E8"/>
    <w:rsid w:val="002333AB"/>
    <w:rsid w:val="0023397F"/>
    <w:rsid w:val="00233A5B"/>
    <w:rsid w:val="00234AB8"/>
    <w:rsid w:val="00236816"/>
    <w:rsid w:val="002369A5"/>
    <w:rsid w:val="00236B32"/>
    <w:rsid w:val="00236E73"/>
    <w:rsid w:val="002422E5"/>
    <w:rsid w:val="00242E92"/>
    <w:rsid w:val="00243591"/>
    <w:rsid w:val="00244813"/>
    <w:rsid w:val="00247200"/>
    <w:rsid w:val="00247F3C"/>
    <w:rsid w:val="00251429"/>
    <w:rsid w:val="00257994"/>
    <w:rsid w:val="00257E9A"/>
    <w:rsid w:val="00260A57"/>
    <w:rsid w:val="002618A6"/>
    <w:rsid w:val="0026315D"/>
    <w:rsid w:val="00265570"/>
    <w:rsid w:val="002657EF"/>
    <w:rsid w:val="00271C01"/>
    <w:rsid w:val="00272396"/>
    <w:rsid w:val="00272FDC"/>
    <w:rsid w:val="00273851"/>
    <w:rsid w:val="0027661D"/>
    <w:rsid w:val="002766C0"/>
    <w:rsid w:val="002801A1"/>
    <w:rsid w:val="00283F70"/>
    <w:rsid w:val="00284A4B"/>
    <w:rsid w:val="002852E6"/>
    <w:rsid w:val="00286AFE"/>
    <w:rsid w:val="00290996"/>
    <w:rsid w:val="00291317"/>
    <w:rsid w:val="002913D9"/>
    <w:rsid w:val="00291EF8"/>
    <w:rsid w:val="002945F6"/>
    <w:rsid w:val="00295C95"/>
    <w:rsid w:val="002978E1"/>
    <w:rsid w:val="002A02B7"/>
    <w:rsid w:val="002A77D0"/>
    <w:rsid w:val="002A7CFD"/>
    <w:rsid w:val="002B068E"/>
    <w:rsid w:val="002C046D"/>
    <w:rsid w:val="002C0E25"/>
    <w:rsid w:val="002C1D7F"/>
    <w:rsid w:val="002C2259"/>
    <w:rsid w:val="002C283F"/>
    <w:rsid w:val="002C2E5A"/>
    <w:rsid w:val="002C50FD"/>
    <w:rsid w:val="002C55AF"/>
    <w:rsid w:val="002C5E4D"/>
    <w:rsid w:val="002D0CA3"/>
    <w:rsid w:val="002D0F2D"/>
    <w:rsid w:val="002D39F7"/>
    <w:rsid w:val="002D52BB"/>
    <w:rsid w:val="002D6B19"/>
    <w:rsid w:val="002D6EBC"/>
    <w:rsid w:val="002D7F52"/>
    <w:rsid w:val="002E0649"/>
    <w:rsid w:val="002E1131"/>
    <w:rsid w:val="002E334E"/>
    <w:rsid w:val="002E3A92"/>
    <w:rsid w:val="002E6611"/>
    <w:rsid w:val="002F16A3"/>
    <w:rsid w:val="002F3202"/>
    <w:rsid w:val="002F3D7E"/>
    <w:rsid w:val="002F42CF"/>
    <w:rsid w:val="002F4A56"/>
    <w:rsid w:val="002F4E55"/>
    <w:rsid w:val="002F628E"/>
    <w:rsid w:val="002F62AF"/>
    <w:rsid w:val="002F7156"/>
    <w:rsid w:val="003006C0"/>
    <w:rsid w:val="0030368A"/>
    <w:rsid w:val="00304276"/>
    <w:rsid w:val="00304A27"/>
    <w:rsid w:val="00304DF8"/>
    <w:rsid w:val="00305230"/>
    <w:rsid w:val="00311828"/>
    <w:rsid w:val="00311DE9"/>
    <w:rsid w:val="003149BF"/>
    <w:rsid w:val="00314A2B"/>
    <w:rsid w:val="00315B21"/>
    <w:rsid w:val="00315FCB"/>
    <w:rsid w:val="003165E3"/>
    <w:rsid w:val="00316FA0"/>
    <w:rsid w:val="003176D2"/>
    <w:rsid w:val="00317BCB"/>
    <w:rsid w:val="003216CA"/>
    <w:rsid w:val="00321F78"/>
    <w:rsid w:val="003222ED"/>
    <w:rsid w:val="00322680"/>
    <w:rsid w:val="00323C2D"/>
    <w:rsid w:val="0032434D"/>
    <w:rsid w:val="003278E5"/>
    <w:rsid w:val="00331C5C"/>
    <w:rsid w:val="00333CEE"/>
    <w:rsid w:val="0033409F"/>
    <w:rsid w:val="003344F9"/>
    <w:rsid w:val="00334D52"/>
    <w:rsid w:val="00336C85"/>
    <w:rsid w:val="00341DD1"/>
    <w:rsid w:val="00344FE8"/>
    <w:rsid w:val="0034700E"/>
    <w:rsid w:val="00347B7E"/>
    <w:rsid w:val="00352622"/>
    <w:rsid w:val="003556DD"/>
    <w:rsid w:val="00356420"/>
    <w:rsid w:val="0035717E"/>
    <w:rsid w:val="0035769B"/>
    <w:rsid w:val="00357E31"/>
    <w:rsid w:val="00357E58"/>
    <w:rsid w:val="00360E37"/>
    <w:rsid w:val="00361AEC"/>
    <w:rsid w:val="00361B41"/>
    <w:rsid w:val="00361E2C"/>
    <w:rsid w:val="003633FE"/>
    <w:rsid w:val="003637A7"/>
    <w:rsid w:val="0036395B"/>
    <w:rsid w:val="00364C02"/>
    <w:rsid w:val="003655A2"/>
    <w:rsid w:val="00366ED5"/>
    <w:rsid w:val="00367715"/>
    <w:rsid w:val="00367EDB"/>
    <w:rsid w:val="00370F05"/>
    <w:rsid w:val="00371CB2"/>
    <w:rsid w:val="00372646"/>
    <w:rsid w:val="00374149"/>
    <w:rsid w:val="00374F5F"/>
    <w:rsid w:val="0037527B"/>
    <w:rsid w:val="0037557C"/>
    <w:rsid w:val="00380584"/>
    <w:rsid w:val="003806B6"/>
    <w:rsid w:val="0038088C"/>
    <w:rsid w:val="00381067"/>
    <w:rsid w:val="0038219D"/>
    <w:rsid w:val="003832F1"/>
    <w:rsid w:val="0038365C"/>
    <w:rsid w:val="00384614"/>
    <w:rsid w:val="00385FF3"/>
    <w:rsid w:val="00387FA9"/>
    <w:rsid w:val="003914FE"/>
    <w:rsid w:val="003919E9"/>
    <w:rsid w:val="0039252D"/>
    <w:rsid w:val="00393138"/>
    <w:rsid w:val="003965CC"/>
    <w:rsid w:val="00397930"/>
    <w:rsid w:val="003A13A8"/>
    <w:rsid w:val="003A260D"/>
    <w:rsid w:val="003A3063"/>
    <w:rsid w:val="003A3E6D"/>
    <w:rsid w:val="003A4379"/>
    <w:rsid w:val="003A4ED6"/>
    <w:rsid w:val="003A5972"/>
    <w:rsid w:val="003A6247"/>
    <w:rsid w:val="003A6EED"/>
    <w:rsid w:val="003A79DD"/>
    <w:rsid w:val="003B109F"/>
    <w:rsid w:val="003B3806"/>
    <w:rsid w:val="003B3B44"/>
    <w:rsid w:val="003B4E79"/>
    <w:rsid w:val="003B6A87"/>
    <w:rsid w:val="003C043C"/>
    <w:rsid w:val="003C07E2"/>
    <w:rsid w:val="003C1C62"/>
    <w:rsid w:val="003C6981"/>
    <w:rsid w:val="003C708B"/>
    <w:rsid w:val="003C7D60"/>
    <w:rsid w:val="003D09EF"/>
    <w:rsid w:val="003D2019"/>
    <w:rsid w:val="003D79D8"/>
    <w:rsid w:val="003E02F2"/>
    <w:rsid w:val="003E0365"/>
    <w:rsid w:val="003E2822"/>
    <w:rsid w:val="003E3D56"/>
    <w:rsid w:val="003E541A"/>
    <w:rsid w:val="003E708C"/>
    <w:rsid w:val="003E768C"/>
    <w:rsid w:val="003F0E8A"/>
    <w:rsid w:val="003F1449"/>
    <w:rsid w:val="003F26E7"/>
    <w:rsid w:val="003F2B75"/>
    <w:rsid w:val="003F4626"/>
    <w:rsid w:val="003F5E3A"/>
    <w:rsid w:val="0040019E"/>
    <w:rsid w:val="00401E9B"/>
    <w:rsid w:val="004023DB"/>
    <w:rsid w:val="00402813"/>
    <w:rsid w:val="00402EC6"/>
    <w:rsid w:val="004033D9"/>
    <w:rsid w:val="0040376E"/>
    <w:rsid w:val="0040637D"/>
    <w:rsid w:val="004100DE"/>
    <w:rsid w:val="0041133D"/>
    <w:rsid w:val="00411810"/>
    <w:rsid w:val="00412353"/>
    <w:rsid w:val="00414788"/>
    <w:rsid w:val="00414987"/>
    <w:rsid w:val="004229CC"/>
    <w:rsid w:val="00422BC0"/>
    <w:rsid w:val="00422D2D"/>
    <w:rsid w:val="0042327E"/>
    <w:rsid w:val="0042347D"/>
    <w:rsid w:val="00425FB5"/>
    <w:rsid w:val="00426EFF"/>
    <w:rsid w:val="004278EB"/>
    <w:rsid w:val="00427CBF"/>
    <w:rsid w:val="00427CCE"/>
    <w:rsid w:val="00427E7C"/>
    <w:rsid w:val="00427F82"/>
    <w:rsid w:val="00431559"/>
    <w:rsid w:val="0043344B"/>
    <w:rsid w:val="00434DAB"/>
    <w:rsid w:val="00435BDD"/>
    <w:rsid w:val="0043762F"/>
    <w:rsid w:val="00440697"/>
    <w:rsid w:val="004408D1"/>
    <w:rsid w:val="004415C3"/>
    <w:rsid w:val="00441632"/>
    <w:rsid w:val="00441B49"/>
    <w:rsid w:val="00442724"/>
    <w:rsid w:val="00443D95"/>
    <w:rsid w:val="00444956"/>
    <w:rsid w:val="0044561A"/>
    <w:rsid w:val="00447059"/>
    <w:rsid w:val="00447D32"/>
    <w:rsid w:val="00450C94"/>
    <w:rsid w:val="00451841"/>
    <w:rsid w:val="004518C2"/>
    <w:rsid w:val="00451B5A"/>
    <w:rsid w:val="00451F2C"/>
    <w:rsid w:val="00452724"/>
    <w:rsid w:val="00452A70"/>
    <w:rsid w:val="00453F09"/>
    <w:rsid w:val="004541DC"/>
    <w:rsid w:val="0045568D"/>
    <w:rsid w:val="004603B1"/>
    <w:rsid w:val="004611FA"/>
    <w:rsid w:val="00461C06"/>
    <w:rsid w:val="00465D48"/>
    <w:rsid w:val="00465DAB"/>
    <w:rsid w:val="00466237"/>
    <w:rsid w:val="0046659D"/>
    <w:rsid w:val="0046673F"/>
    <w:rsid w:val="00466B56"/>
    <w:rsid w:val="004677ED"/>
    <w:rsid w:val="00470528"/>
    <w:rsid w:val="00472032"/>
    <w:rsid w:val="0047246C"/>
    <w:rsid w:val="004726A4"/>
    <w:rsid w:val="00472A05"/>
    <w:rsid w:val="004772DF"/>
    <w:rsid w:val="004774FA"/>
    <w:rsid w:val="00480B7A"/>
    <w:rsid w:val="004836C2"/>
    <w:rsid w:val="00483FD3"/>
    <w:rsid w:val="00484867"/>
    <w:rsid w:val="00485DD1"/>
    <w:rsid w:val="004860D1"/>
    <w:rsid w:val="004871B0"/>
    <w:rsid w:val="0049248B"/>
    <w:rsid w:val="00492CC8"/>
    <w:rsid w:val="00493240"/>
    <w:rsid w:val="00493DE5"/>
    <w:rsid w:val="0049700E"/>
    <w:rsid w:val="0049768B"/>
    <w:rsid w:val="004A2CBC"/>
    <w:rsid w:val="004A34E7"/>
    <w:rsid w:val="004A38DF"/>
    <w:rsid w:val="004A3A12"/>
    <w:rsid w:val="004A5182"/>
    <w:rsid w:val="004A5897"/>
    <w:rsid w:val="004A64FA"/>
    <w:rsid w:val="004B224D"/>
    <w:rsid w:val="004B26C9"/>
    <w:rsid w:val="004B2A17"/>
    <w:rsid w:val="004B2A88"/>
    <w:rsid w:val="004B4E56"/>
    <w:rsid w:val="004B6DD3"/>
    <w:rsid w:val="004C30C5"/>
    <w:rsid w:val="004C3F5C"/>
    <w:rsid w:val="004C4829"/>
    <w:rsid w:val="004C571B"/>
    <w:rsid w:val="004C5F84"/>
    <w:rsid w:val="004D0F3A"/>
    <w:rsid w:val="004D1235"/>
    <w:rsid w:val="004D1673"/>
    <w:rsid w:val="004D279C"/>
    <w:rsid w:val="004D698A"/>
    <w:rsid w:val="004D6BF5"/>
    <w:rsid w:val="004D781E"/>
    <w:rsid w:val="004D7D63"/>
    <w:rsid w:val="004E03F1"/>
    <w:rsid w:val="004E04C3"/>
    <w:rsid w:val="004E10C4"/>
    <w:rsid w:val="004E4697"/>
    <w:rsid w:val="004E4D6C"/>
    <w:rsid w:val="004E656B"/>
    <w:rsid w:val="004F3133"/>
    <w:rsid w:val="004F39F9"/>
    <w:rsid w:val="004F7A1C"/>
    <w:rsid w:val="00504E52"/>
    <w:rsid w:val="00507826"/>
    <w:rsid w:val="00507AAF"/>
    <w:rsid w:val="00507F1A"/>
    <w:rsid w:val="00510353"/>
    <w:rsid w:val="00510C30"/>
    <w:rsid w:val="0051219A"/>
    <w:rsid w:val="0051491C"/>
    <w:rsid w:val="00514B00"/>
    <w:rsid w:val="0051547A"/>
    <w:rsid w:val="00516869"/>
    <w:rsid w:val="00516FBA"/>
    <w:rsid w:val="00517561"/>
    <w:rsid w:val="00517AF2"/>
    <w:rsid w:val="00520F5F"/>
    <w:rsid w:val="0052321F"/>
    <w:rsid w:val="0052325B"/>
    <w:rsid w:val="00524917"/>
    <w:rsid w:val="0052553A"/>
    <w:rsid w:val="00527B00"/>
    <w:rsid w:val="005302B7"/>
    <w:rsid w:val="00530862"/>
    <w:rsid w:val="00530D3F"/>
    <w:rsid w:val="005327F2"/>
    <w:rsid w:val="00533354"/>
    <w:rsid w:val="005339B8"/>
    <w:rsid w:val="00533B06"/>
    <w:rsid w:val="00534D67"/>
    <w:rsid w:val="00535862"/>
    <w:rsid w:val="00535B40"/>
    <w:rsid w:val="0053665A"/>
    <w:rsid w:val="005413AD"/>
    <w:rsid w:val="0054238A"/>
    <w:rsid w:val="00542B43"/>
    <w:rsid w:val="00543F8C"/>
    <w:rsid w:val="0054720F"/>
    <w:rsid w:val="00550A55"/>
    <w:rsid w:val="00550D06"/>
    <w:rsid w:val="00553C55"/>
    <w:rsid w:val="00554A53"/>
    <w:rsid w:val="00555075"/>
    <w:rsid w:val="0055688B"/>
    <w:rsid w:val="00556EFE"/>
    <w:rsid w:val="00560308"/>
    <w:rsid w:val="00560809"/>
    <w:rsid w:val="00560C22"/>
    <w:rsid w:val="005648B6"/>
    <w:rsid w:val="005658CA"/>
    <w:rsid w:val="00570732"/>
    <w:rsid w:val="005715EC"/>
    <w:rsid w:val="0057177D"/>
    <w:rsid w:val="005727E8"/>
    <w:rsid w:val="00573526"/>
    <w:rsid w:val="00575C6A"/>
    <w:rsid w:val="00575F7E"/>
    <w:rsid w:val="0057604E"/>
    <w:rsid w:val="005768F6"/>
    <w:rsid w:val="00580060"/>
    <w:rsid w:val="00582F69"/>
    <w:rsid w:val="005830CF"/>
    <w:rsid w:val="0058312D"/>
    <w:rsid w:val="00585510"/>
    <w:rsid w:val="00585C0F"/>
    <w:rsid w:val="00586B01"/>
    <w:rsid w:val="00587B85"/>
    <w:rsid w:val="005915C0"/>
    <w:rsid w:val="00591638"/>
    <w:rsid w:val="00594137"/>
    <w:rsid w:val="00594685"/>
    <w:rsid w:val="0059583E"/>
    <w:rsid w:val="00597371"/>
    <w:rsid w:val="0059750C"/>
    <w:rsid w:val="005A0966"/>
    <w:rsid w:val="005A22AF"/>
    <w:rsid w:val="005A22D7"/>
    <w:rsid w:val="005A3F3D"/>
    <w:rsid w:val="005A40E5"/>
    <w:rsid w:val="005A55D2"/>
    <w:rsid w:val="005A56C6"/>
    <w:rsid w:val="005A5D91"/>
    <w:rsid w:val="005A7AF5"/>
    <w:rsid w:val="005B1DE7"/>
    <w:rsid w:val="005B6204"/>
    <w:rsid w:val="005C0E84"/>
    <w:rsid w:val="005C15B7"/>
    <w:rsid w:val="005C17B8"/>
    <w:rsid w:val="005C19A1"/>
    <w:rsid w:val="005C1ED3"/>
    <w:rsid w:val="005C3144"/>
    <w:rsid w:val="005C33BC"/>
    <w:rsid w:val="005C6B3E"/>
    <w:rsid w:val="005C75EE"/>
    <w:rsid w:val="005C7927"/>
    <w:rsid w:val="005D186D"/>
    <w:rsid w:val="005D18FF"/>
    <w:rsid w:val="005D2D2D"/>
    <w:rsid w:val="005D430D"/>
    <w:rsid w:val="005D782D"/>
    <w:rsid w:val="005E009D"/>
    <w:rsid w:val="005E5266"/>
    <w:rsid w:val="005E5352"/>
    <w:rsid w:val="005E550A"/>
    <w:rsid w:val="005E68E5"/>
    <w:rsid w:val="005E77BA"/>
    <w:rsid w:val="005E7BB7"/>
    <w:rsid w:val="005F08E4"/>
    <w:rsid w:val="005F1D20"/>
    <w:rsid w:val="005F3940"/>
    <w:rsid w:val="0060104C"/>
    <w:rsid w:val="006013C7"/>
    <w:rsid w:val="00601BC7"/>
    <w:rsid w:val="00602103"/>
    <w:rsid w:val="0060249C"/>
    <w:rsid w:val="0060308D"/>
    <w:rsid w:val="0060324E"/>
    <w:rsid w:val="00604269"/>
    <w:rsid w:val="00604BDD"/>
    <w:rsid w:val="00607047"/>
    <w:rsid w:val="00607AA0"/>
    <w:rsid w:val="006129B5"/>
    <w:rsid w:val="0061331A"/>
    <w:rsid w:val="00613380"/>
    <w:rsid w:val="00613DE4"/>
    <w:rsid w:val="0061660E"/>
    <w:rsid w:val="006169CC"/>
    <w:rsid w:val="00617038"/>
    <w:rsid w:val="006217E9"/>
    <w:rsid w:val="0062307C"/>
    <w:rsid w:val="0062399D"/>
    <w:rsid w:val="006250EC"/>
    <w:rsid w:val="006260C1"/>
    <w:rsid w:val="00627BF4"/>
    <w:rsid w:val="0063030C"/>
    <w:rsid w:val="0063062E"/>
    <w:rsid w:val="00630BA9"/>
    <w:rsid w:val="00630E22"/>
    <w:rsid w:val="00631774"/>
    <w:rsid w:val="00632303"/>
    <w:rsid w:val="00632F97"/>
    <w:rsid w:val="006335BC"/>
    <w:rsid w:val="00634277"/>
    <w:rsid w:val="00635458"/>
    <w:rsid w:val="00636356"/>
    <w:rsid w:val="00637580"/>
    <w:rsid w:val="00642115"/>
    <w:rsid w:val="00642356"/>
    <w:rsid w:val="00644640"/>
    <w:rsid w:val="00644B94"/>
    <w:rsid w:val="00644D9A"/>
    <w:rsid w:val="0064607E"/>
    <w:rsid w:val="00646332"/>
    <w:rsid w:val="00646493"/>
    <w:rsid w:val="00646BC9"/>
    <w:rsid w:val="00646D05"/>
    <w:rsid w:val="00647614"/>
    <w:rsid w:val="006506CD"/>
    <w:rsid w:val="006527DB"/>
    <w:rsid w:val="006538CB"/>
    <w:rsid w:val="006553EB"/>
    <w:rsid w:val="006559ED"/>
    <w:rsid w:val="00655A53"/>
    <w:rsid w:val="0065715A"/>
    <w:rsid w:val="006576F3"/>
    <w:rsid w:val="006604C3"/>
    <w:rsid w:val="00661BAE"/>
    <w:rsid w:val="00662269"/>
    <w:rsid w:val="006635F6"/>
    <w:rsid w:val="00666EE6"/>
    <w:rsid w:val="0067296F"/>
    <w:rsid w:val="00673D99"/>
    <w:rsid w:val="00676C25"/>
    <w:rsid w:val="00677D54"/>
    <w:rsid w:val="006802ED"/>
    <w:rsid w:val="006834E7"/>
    <w:rsid w:val="006840F5"/>
    <w:rsid w:val="006909C5"/>
    <w:rsid w:val="00690FE5"/>
    <w:rsid w:val="006923E6"/>
    <w:rsid w:val="0069264E"/>
    <w:rsid w:val="00692AFE"/>
    <w:rsid w:val="00693FFA"/>
    <w:rsid w:val="00694700"/>
    <w:rsid w:val="00694710"/>
    <w:rsid w:val="00694761"/>
    <w:rsid w:val="0069576A"/>
    <w:rsid w:val="00696F4B"/>
    <w:rsid w:val="006A217F"/>
    <w:rsid w:val="006A25AF"/>
    <w:rsid w:val="006A3628"/>
    <w:rsid w:val="006A5BEB"/>
    <w:rsid w:val="006A5E7E"/>
    <w:rsid w:val="006A6949"/>
    <w:rsid w:val="006A6F2B"/>
    <w:rsid w:val="006A75A2"/>
    <w:rsid w:val="006B018F"/>
    <w:rsid w:val="006B0D45"/>
    <w:rsid w:val="006B0F9D"/>
    <w:rsid w:val="006B283D"/>
    <w:rsid w:val="006B2A74"/>
    <w:rsid w:val="006B2FD8"/>
    <w:rsid w:val="006B3585"/>
    <w:rsid w:val="006B4F26"/>
    <w:rsid w:val="006B5489"/>
    <w:rsid w:val="006B6AA9"/>
    <w:rsid w:val="006B7881"/>
    <w:rsid w:val="006C0935"/>
    <w:rsid w:val="006C38E6"/>
    <w:rsid w:val="006C4091"/>
    <w:rsid w:val="006C4FBC"/>
    <w:rsid w:val="006C62AB"/>
    <w:rsid w:val="006C6FCD"/>
    <w:rsid w:val="006D140E"/>
    <w:rsid w:val="006D3059"/>
    <w:rsid w:val="006D43BE"/>
    <w:rsid w:val="006D57EE"/>
    <w:rsid w:val="006E1718"/>
    <w:rsid w:val="006E5825"/>
    <w:rsid w:val="006E78E6"/>
    <w:rsid w:val="006E7F9D"/>
    <w:rsid w:val="006F26C7"/>
    <w:rsid w:val="006F31CB"/>
    <w:rsid w:val="006F62EB"/>
    <w:rsid w:val="00700E92"/>
    <w:rsid w:val="0070150B"/>
    <w:rsid w:val="007028CC"/>
    <w:rsid w:val="00702D46"/>
    <w:rsid w:val="00703ACD"/>
    <w:rsid w:val="00704692"/>
    <w:rsid w:val="00704700"/>
    <w:rsid w:val="00705D03"/>
    <w:rsid w:val="007060CD"/>
    <w:rsid w:val="00710197"/>
    <w:rsid w:val="00710C32"/>
    <w:rsid w:val="00711A19"/>
    <w:rsid w:val="00711B0E"/>
    <w:rsid w:val="007120B8"/>
    <w:rsid w:val="0071294C"/>
    <w:rsid w:val="00713B60"/>
    <w:rsid w:val="00715357"/>
    <w:rsid w:val="00715E7B"/>
    <w:rsid w:val="0072113F"/>
    <w:rsid w:val="00721E54"/>
    <w:rsid w:val="007229C4"/>
    <w:rsid w:val="00722BC5"/>
    <w:rsid w:val="007265BB"/>
    <w:rsid w:val="00727473"/>
    <w:rsid w:val="00727E11"/>
    <w:rsid w:val="00730A21"/>
    <w:rsid w:val="00731FEB"/>
    <w:rsid w:val="007320E4"/>
    <w:rsid w:val="00734006"/>
    <w:rsid w:val="0074190B"/>
    <w:rsid w:val="0074197D"/>
    <w:rsid w:val="00741CE2"/>
    <w:rsid w:val="007422F0"/>
    <w:rsid w:val="0074298E"/>
    <w:rsid w:val="0074340F"/>
    <w:rsid w:val="007434DB"/>
    <w:rsid w:val="00743985"/>
    <w:rsid w:val="00744CA1"/>
    <w:rsid w:val="0074598A"/>
    <w:rsid w:val="00745EAA"/>
    <w:rsid w:val="0074645B"/>
    <w:rsid w:val="00746BFC"/>
    <w:rsid w:val="007503E3"/>
    <w:rsid w:val="00750F1A"/>
    <w:rsid w:val="007514CE"/>
    <w:rsid w:val="00751BD4"/>
    <w:rsid w:val="0075370B"/>
    <w:rsid w:val="00754D0D"/>
    <w:rsid w:val="00760F2F"/>
    <w:rsid w:val="007623FC"/>
    <w:rsid w:val="00762CFF"/>
    <w:rsid w:val="00764463"/>
    <w:rsid w:val="00765DA3"/>
    <w:rsid w:val="007670B0"/>
    <w:rsid w:val="0077168E"/>
    <w:rsid w:val="00771D1B"/>
    <w:rsid w:val="00774A71"/>
    <w:rsid w:val="00774B7D"/>
    <w:rsid w:val="00775D95"/>
    <w:rsid w:val="0078018B"/>
    <w:rsid w:val="00781868"/>
    <w:rsid w:val="0078310C"/>
    <w:rsid w:val="00783D5D"/>
    <w:rsid w:val="00790EE2"/>
    <w:rsid w:val="00791891"/>
    <w:rsid w:val="00792F63"/>
    <w:rsid w:val="00794D2E"/>
    <w:rsid w:val="00795B26"/>
    <w:rsid w:val="00796F39"/>
    <w:rsid w:val="007A070A"/>
    <w:rsid w:val="007A0F4F"/>
    <w:rsid w:val="007A10A1"/>
    <w:rsid w:val="007A2FD6"/>
    <w:rsid w:val="007A5A46"/>
    <w:rsid w:val="007A5AB1"/>
    <w:rsid w:val="007A5FCA"/>
    <w:rsid w:val="007A6AC2"/>
    <w:rsid w:val="007A7348"/>
    <w:rsid w:val="007B00EC"/>
    <w:rsid w:val="007B050E"/>
    <w:rsid w:val="007B1E01"/>
    <w:rsid w:val="007B206E"/>
    <w:rsid w:val="007B263C"/>
    <w:rsid w:val="007B50F3"/>
    <w:rsid w:val="007B59CC"/>
    <w:rsid w:val="007B7283"/>
    <w:rsid w:val="007B7711"/>
    <w:rsid w:val="007B7AEE"/>
    <w:rsid w:val="007C2EE0"/>
    <w:rsid w:val="007C3B9A"/>
    <w:rsid w:val="007C42AE"/>
    <w:rsid w:val="007C49E2"/>
    <w:rsid w:val="007C4A84"/>
    <w:rsid w:val="007C5336"/>
    <w:rsid w:val="007C7ACF"/>
    <w:rsid w:val="007C7B7A"/>
    <w:rsid w:val="007D2100"/>
    <w:rsid w:val="007D3B07"/>
    <w:rsid w:val="007D3D33"/>
    <w:rsid w:val="007D40EE"/>
    <w:rsid w:val="007D4990"/>
    <w:rsid w:val="007D4B5D"/>
    <w:rsid w:val="007D5158"/>
    <w:rsid w:val="007D535D"/>
    <w:rsid w:val="007D5402"/>
    <w:rsid w:val="007D6466"/>
    <w:rsid w:val="007D73E4"/>
    <w:rsid w:val="007D7456"/>
    <w:rsid w:val="007D7F03"/>
    <w:rsid w:val="007E0CB9"/>
    <w:rsid w:val="007E101F"/>
    <w:rsid w:val="007E160B"/>
    <w:rsid w:val="007E1871"/>
    <w:rsid w:val="007E1953"/>
    <w:rsid w:val="007E2324"/>
    <w:rsid w:val="007E2714"/>
    <w:rsid w:val="007E3C14"/>
    <w:rsid w:val="007E4C20"/>
    <w:rsid w:val="007E508D"/>
    <w:rsid w:val="007E71D2"/>
    <w:rsid w:val="007F1655"/>
    <w:rsid w:val="007F25CF"/>
    <w:rsid w:val="007F4179"/>
    <w:rsid w:val="007F6339"/>
    <w:rsid w:val="007F6C45"/>
    <w:rsid w:val="007F6C7A"/>
    <w:rsid w:val="008006B4"/>
    <w:rsid w:val="00802493"/>
    <w:rsid w:val="00802C0A"/>
    <w:rsid w:val="00802F8A"/>
    <w:rsid w:val="00803142"/>
    <w:rsid w:val="00804243"/>
    <w:rsid w:val="00804FFB"/>
    <w:rsid w:val="00805421"/>
    <w:rsid w:val="008102AA"/>
    <w:rsid w:val="008106E9"/>
    <w:rsid w:val="00811FC1"/>
    <w:rsid w:val="008122D9"/>
    <w:rsid w:val="00812DDA"/>
    <w:rsid w:val="00812FBE"/>
    <w:rsid w:val="00813AA7"/>
    <w:rsid w:val="0081654B"/>
    <w:rsid w:val="00816A3E"/>
    <w:rsid w:val="008254EF"/>
    <w:rsid w:val="0082583C"/>
    <w:rsid w:val="00826AE9"/>
    <w:rsid w:val="0083036B"/>
    <w:rsid w:val="0083165F"/>
    <w:rsid w:val="008317C2"/>
    <w:rsid w:val="008335B8"/>
    <w:rsid w:val="00835928"/>
    <w:rsid w:val="008360EF"/>
    <w:rsid w:val="008369A2"/>
    <w:rsid w:val="00836AB4"/>
    <w:rsid w:val="008377AF"/>
    <w:rsid w:val="0084005C"/>
    <w:rsid w:val="00840195"/>
    <w:rsid w:val="00840C78"/>
    <w:rsid w:val="0084131A"/>
    <w:rsid w:val="00843357"/>
    <w:rsid w:val="00843745"/>
    <w:rsid w:val="00845226"/>
    <w:rsid w:val="00846605"/>
    <w:rsid w:val="00846E89"/>
    <w:rsid w:val="008477ED"/>
    <w:rsid w:val="00847E55"/>
    <w:rsid w:val="00852EBF"/>
    <w:rsid w:val="008532A1"/>
    <w:rsid w:val="00853F92"/>
    <w:rsid w:val="00855994"/>
    <w:rsid w:val="008565C6"/>
    <w:rsid w:val="0085688E"/>
    <w:rsid w:val="00857404"/>
    <w:rsid w:val="00857C9C"/>
    <w:rsid w:val="00863DE0"/>
    <w:rsid w:val="0086625B"/>
    <w:rsid w:val="0086667C"/>
    <w:rsid w:val="00867FE5"/>
    <w:rsid w:val="00870055"/>
    <w:rsid w:val="008748A8"/>
    <w:rsid w:val="00874D90"/>
    <w:rsid w:val="008779AF"/>
    <w:rsid w:val="0088059F"/>
    <w:rsid w:val="00881095"/>
    <w:rsid w:val="008859C8"/>
    <w:rsid w:val="00885BCC"/>
    <w:rsid w:val="00886731"/>
    <w:rsid w:val="00886E00"/>
    <w:rsid w:val="0089047B"/>
    <w:rsid w:val="00890B01"/>
    <w:rsid w:val="008927EF"/>
    <w:rsid w:val="008941FA"/>
    <w:rsid w:val="00897FBF"/>
    <w:rsid w:val="008A018C"/>
    <w:rsid w:val="008A2E97"/>
    <w:rsid w:val="008A5531"/>
    <w:rsid w:val="008A6598"/>
    <w:rsid w:val="008A70C3"/>
    <w:rsid w:val="008B2697"/>
    <w:rsid w:val="008B2BE4"/>
    <w:rsid w:val="008B2D3C"/>
    <w:rsid w:val="008B374C"/>
    <w:rsid w:val="008B3CE3"/>
    <w:rsid w:val="008B5E75"/>
    <w:rsid w:val="008B7C08"/>
    <w:rsid w:val="008C3C48"/>
    <w:rsid w:val="008C4AAB"/>
    <w:rsid w:val="008C4AB1"/>
    <w:rsid w:val="008C50BC"/>
    <w:rsid w:val="008C755F"/>
    <w:rsid w:val="008C7A50"/>
    <w:rsid w:val="008D07ED"/>
    <w:rsid w:val="008D3C8D"/>
    <w:rsid w:val="008D43AE"/>
    <w:rsid w:val="008D6515"/>
    <w:rsid w:val="008D68B6"/>
    <w:rsid w:val="008D7CEC"/>
    <w:rsid w:val="008E0E43"/>
    <w:rsid w:val="008E1D9F"/>
    <w:rsid w:val="008E276C"/>
    <w:rsid w:val="008E3500"/>
    <w:rsid w:val="008E3AB7"/>
    <w:rsid w:val="008E4696"/>
    <w:rsid w:val="008E4A3C"/>
    <w:rsid w:val="008E63BE"/>
    <w:rsid w:val="008F2149"/>
    <w:rsid w:val="008F5C3F"/>
    <w:rsid w:val="008F63A2"/>
    <w:rsid w:val="00901659"/>
    <w:rsid w:val="00905214"/>
    <w:rsid w:val="0090566F"/>
    <w:rsid w:val="00905A50"/>
    <w:rsid w:val="0090655C"/>
    <w:rsid w:val="00910EDD"/>
    <w:rsid w:val="009114F4"/>
    <w:rsid w:val="009116F8"/>
    <w:rsid w:val="00913B60"/>
    <w:rsid w:val="009205F6"/>
    <w:rsid w:val="009215D0"/>
    <w:rsid w:val="00921FD8"/>
    <w:rsid w:val="00922068"/>
    <w:rsid w:val="0092350A"/>
    <w:rsid w:val="00923FC3"/>
    <w:rsid w:val="00924957"/>
    <w:rsid w:val="00926827"/>
    <w:rsid w:val="00933389"/>
    <w:rsid w:val="00933609"/>
    <w:rsid w:val="0093437B"/>
    <w:rsid w:val="009359BE"/>
    <w:rsid w:val="00937676"/>
    <w:rsid w:val="00937D81"/>
    <w:rsid w:val="00940E01"/>
    <w:rsid w:val="00945BA3"/>
    <w:rsid w:val="00946CB5"/>
    <w:rsid w:val="00950769"/>
    <w:rsid w:val="00951D74"/>
    <w:rsid w:val="00951F3F"/>
    <w:rsid w:val="0095335C"/>
    <w:rsid w:val="00953478"/>
    <w:rsid w:val="00953B61"/>
    <w:rsid w:val="00953CFE"/>
    <w:rsid w:val="0096011A"/>
    <w:rsid w:val="00961484"/>
    <w:rsid w:val="0096186C"/>
    <w:rsid w:val="00961AA5"/>
    <w:rsid w:val="00961AFC"/>
    <w:rsid w:val="00962244"/>
    <w:rsid w:val="00965D83"/>
    <w:rsid w:val="00967943"/>
    <w:rsid w:val="00967CAC"/>
    <w:rsid w:val="00970700"/>
    <w:rsid w:val="0097255F"/>
    <w:rsid w:val="009737E4"/>
    <w:rsid w:val="00973C57"/>
    <w:rsid w:val="00976DEB"/>
    <w:rsid w:val="0097750D"/>
    <w:rsid w:val="0097762B"/>
    <w:rsid w:val="00977B4A"/>
    <w:rsid w:val="00980A36"/>
    <w:rsid w:val="00983FD9"/>
    <w:rsid w:val="00986609"/>
    <w:rsid w:val="00987336"/>
    <w:rsid w:val="0099020B"/>
    <w:rsid w:val="00992344"/>
    <w:rsid w:val="009932A6"/>
    <w:rsid w:val="00996E12"/>
    <w:rsid w:val="00997463"/>
    <w:rsid w:val="00997DEB"/>
    <w:rsid w:val="009A032B"/>
    <w:rsid w:val="009A05BE"/>
    <w:rsid w:val="009A0E53"/>
    <w:rsid w:val="009A1184"/>
    <w:rsid w:val="009A2A64"/>
    <w:rsid w:val="009A372B"/>
    <w:rsid w:val="009A3C3E"/>
    <w:rsid w:val="009A4C0C"/>
    <w:rsid w:val="009A778C"/>
    <w:rsid w:val="009B0167"/>
    <w:rsid w:val="009B01D6"/>
    <w:rsid w:val="009B253C"/>
    <w:rsid w:val="009B2EB9"/>
    <w:rsid w:val="009B3F3C"/>
    <w:rsid w:val="009B45FF"/>
    <w:rsid w:val="009C00C0"/>
    <w:rsid w:val="009C01AE"/>
    <w:rsid w:val="009C0730"/>
    <w:rsid w:val="009C21F1"/>
    <w:rsid w:val="009C2FD7"/>
    <w:rsid w:val="009C332D"/>
    <w:rsid w:val="009C4FA7"/>
    <w:rsid w:val="009C5C31"/>
    <w:rsid w:val="009D05F8"/>
    <w:rsid w:val="009D0E3C"/>
    <w:rsid w:val="009D0ED1"/>
    <w:rsid w:val="009D16BE"/>
    <w:rsid w:val="009D2D67"/>
    <w:rsid w:val="009D535A"/>
    <w:rsid w:val="009D54C8"/>
    <w:rsid w:val="009D6FE3"/>
    <w:rsid w:val="009D735A"/>
    <w:rsid w:val="009D7769"/>
    <w:rsid w:val="009D7D0E"/>
    <w:rsid w:val="009E0F8A"/>
    <w:rsid w:val="009E25A0"/>
    <w:rsid w:val="009E26A7"/>
    <w:rsid w:val="009E3981"/>
    <w:rsid w:val="009E3F29"/>
    <w:rsid w:val="009E55DA"/>
    <w:rsid w:val="009E5A35"/>
    <w:rsid w:val="009E7264"/>
    <w:rsid w:val="009E78DC"/>
    <w:rsid w:val="009F10F3"/>
    <w:rsid w:val="009F4D29"/>
    <w:rsid w:val="009F5E6E"/>
    <w:rsid w:val="009F79E9"/>
    <w:rsid w:val="009F7B9B"/>
    <w:rsid w:val="00A020E2"/>
    <w:rsid w:val="00A02DB8"/>
    <w:rsid w:val="00A05381"/>
    <w:rsid w:val="00A06192"/>
    <w:rsid w:val="00A06350"/>
    <w:rsid w:val="00A06B06"/>
    <w:rsid w:val="00A10767"/>
    <w:rsid w:val="00A10B93"/>
    <w:rsid w:val="00A10C2E"/>
    <w:rsid w:val="00A13080"/>
    <w:rsid w:val="00A140D7"/>
    <w:rsid w:val="00A16BDC"/>
    <w:rsid w:val="00A16C69"/>
    <w:rsid w:val="00A17C6A"/>
    <w:rsid w:val="00A22C38"/>
    <w:rsid w:val="00A24071"/>
    <w:rsid w:val="00A25DB0"/>
    <w:rsid w:val="00A261AA"/>
    <w:rsid w:val="00A26BEC"/>
    <w:rsid w:val="00A30293"/>
    <w:rsid w:val="00A30F39"/>
    <w:rsid w:val="00A30F71"/>
    <w:rsid w:val="00A32889"/>
    <w:rsid w:val="00A33894"/>
    <w:rsid w:val="00A338C9"/>
    <w:rsid w:val="00A377EF"/>
    <w:rsid w:val="00A37D4F"/>
    <w:rsid w:val="00A41F83"/>
    <w:rsid w:val="00A42BA1"/>
    <w:rsid w:val="00A43E09"/>
    <w:rsid w:val="00A44870"/>
    <w:rsid w:val="00A450D4"/>
    <w:rsid w:val="00A45A26"/>
    <w:rsid w:val="00A46574"/>
    <w:rsid w:val="00A47BB8"/>
    <w:rsid w:val="00A50B8A"/>
    <w:rsid w:val="00A52001"/>
    <w:rsid w:val="00A53447"/>
    <w:rsid w:val="00A539CA"/>
    <w:rsid w:val="00A555E3"/>
    <w:rsid w:val="00A56FE9"/>
    <w:rsid w:val="00A57512"/>
    <w:rsid w:val="00A60503"/>
    <w:rsid w:val="00A62AB8"/>
    <w:rsid w:val="00A63C47"/>
    <w:rsid w:val="00A63D0F"/>
    <w:rsid w:val="00A6576D"/>
    <w:rsid w:val="00A657E2"/>
    <w:rsid w:val="00A66B3D"/>
    <w:rsid w:val="00A67500"/>
    <w:rsid w:val="00A708A9"/>
    <w:rsid w:val="00A70A39"/>
    <w:rsid w:val="00A70ADB"/>
    <w:rsid w:val="00A71C16"/>
    <w:rsid w:val="00A725C9"/>
    <w:rsid w:val="00A744B7"/>
    <w:rsid w:val="00A75527"/>
    <w:rsid w:val="00A762FE"/>
    <w:rsid w:val="00A80C48"/>
    <w:rsid w:val="00A8156C"/>
    <w:rsid w:val="00A81F7E"/>
    <w:rsid w:val="00A83809"/>
    <w:rsid w:val="00A838BE"/>
    <w:rsid w:val="00A839F0"/>
    <w:rsid w:val="00A83C5B"/>
    <w:rsid w:val="00A84614"/>
    <w:rsid w:val="00A862BC"/>
    <w:rsid w:val="00A90742"/>
    <w:rsid w:val="00A90FBC"/>
    <w:rsid w:val="00A92A8C"/>
    <w:rsid w:val="00A932DD"/>
    <w:rsid w:val="00A936C4"/>
    <w:rsid w:val="00A950E7"/>
    <w:rsid w:val="00A97852"/>
    <w:rsid w:val="00AA0DBE"/>
    <w:rsid w:val="00AA0E4A"/>
    <w:rsid w:val="00AA1D21"/>
    <w:rsid w:val="00AA310B"/>
    <w:rsid w:val="00AA5DE7"/>
    <w:rsid w:val="00AA7272"/>
    <w:rsid w:val="00AA797C"/>
    <w:rsid w:val="00AB388A"/>
    <w:rsid w:val="00AB7D97"/>
    <w:rsid w:val="00AB7E30"/>
    <w:rsid w:val="00AB7F9E"/>
    <w:rsid w:val="00AC0A40"/>
    <w:rsid w:val="00AC0D65"/>
    <w:rsid w:val="00AC3846"/>
    <w:rsid w:val="00AC65AC"/>
    <w:rsid w:val="00AC7392"/>
    <w:rsid w:val="00AD1364"/>
    <w:rsid w:val="00AD1465"/>
    <w:rsid w:val="00AD7B3D"/>
    <w:rsid w:val="00AE037A"/>
    <w:rsid w:val="00AE08AA"/>
    <w:rsid w:val="00AE1800"/>
    <w:rsid w:val="00AE18B5"/>
    <w:rsid w:val="00AE2D92"/>
    <w:rsid w:val="00AE301C"/>
    <w:rsid w:val="00AE30E8"/>
    <w:rsid w:val="00AE3B49"/>
    <w:rsid w:val="00AE3B7B"/>
    <w:rsid w:val="00AE3CC8"/>
    <w:rsid w:val="00AE4624"/>
    <w:rsid w:val="00AE63A3"/>
    <w:rsid w:val="00AE7753"/>
    <w:rsid w:val="00AF04E2"/>
    <w:rsid w:val="00AF0F0A"/>
    <w:rsid w:val="00AF2D99"/>
    <w:rsid w:val="00AF320E"/>
    <w:rsid w:val="00AF428E"/>
    <w:rsid w:val="00AF5FFF"/>
    <w:rsid w:val="00AF613C"/>
    <w:rsid w:val="00B007BC"/>
    <w:rsid w:val="00B007D8"/>
    <w:rsid w:val="00B015CA"/>
    <w:rsid w:val="00B01FA1"/>
    <w:rsid w:val="00B02177"/>
    <w:rsid w:val="00B02216"/>
    <w:rsid w:val="00B02287"/>
    <w:rsid w:val="00B02B4C"/>
    <w:rsid w:val="00B02D6C"/>
    <w:rsid w:val="00B03008"/>
    <w:rsid w:val="00B055EA"/>
    <w:rsid w:val="00B05B98"/>
    <w:rsid w:val="00B060AB"/>
    <w:rsid w:val="00B067F3"/>
    <w:rsid w:val="00B07951"/>
    <w:rsid w:val="00B07C3E"/>
    <w:rsid w:val="00B1041B"/>
    <w:rsid w:val="00B1113F"/>
    <w:rsid w:val="00B13FAD"/>
    <w:rsid w:val="00B15B0B"/>
    <w:rsid w:val="00B16E9A"/>
    <w:rsid w:val="00B16F77"/>
    <w:rsid w:val="00B20C39"/>
    <w:rsid w:val="00B23C69"/>
    <w:rsid w:val="00B24135"/>
    <w:rsid w:val="00B2445B"/>
    <w:rsid w:val="00B24A36"/>
    <w:rsid w:val="00B25E4B"/>
    <w:rsid w:val="00B266E9"/>
    <w:rsid w:val="00B2771F"/>
    <w:rsid w:val="00B31F47"/>
    <w:rsid w:val="00B3267D"/>
    <w:rsid w:val="00B350EA"/>
    <w:rsid w:val="00B35815"/>
    <w:rsid w:val="00B35A95"/>
    <w:rsid w:val="00B4056C"/>
    <w:rsid w:val="00B407EF"/>
    <w:rsid w:val="00B4117F"/>
    <w:rsid w:val="00B4172E"/>
    <w:rsid w:val="00B41D59"/>
    <w:rsid w:val="00B425F4"/>
    <w:rsid w:val="00B46879"/>
    <w:rsid w:val="00B50F9B"/>
    <w:rsid w:val="00B533BB"/>
    <w:rsid w:val="00B53A33"/>
    <w:rsid w:val="00B543DF"/>
    <w:rsid w:val="00B55DDE"/>
    <w:rsid w:val="00B57DBD"/>
    <w:rsid w:val="00B6326A"/>
    <w:rsid w:val="00B6352C"/>
    <w:rsid w:val="00B647F4"/>
    <w:rsid w:val="00B64F86"/>
    <w:rsid w:val="00B663F2"/>
    <w:rsid w:val="00B668D4"/>
    <w:rsid w:val="00B676F0"/>
    <w:rsid w:val="00B67DB7"/>
    <w:rsid w:val="00B738B5"/>
    <w:rsid w:val="00B73A20"/>
    <w:rsid w:val="00B73EE6"/>
    <w:rsid w:val="00B750AE"/>
    <w:rsid w:val="00B757AC"/>
    <w:rsid w:val="00B76A1A"/>
    <w:rsid w:val="00B771D4"/>
    <w:rsid w:val="00B800F9"/>
    <w:rsid w:val="00B81133"/>
    <w:rsid w:val="00B822EB"/>
    <w:rsid w:val="00B8388B"/>
    <w:rsid w:val="00B83CBA"/>
    <w:rsid w:val="00B83CF3"/>
    <w:rsid w:val="00B84270"/>
    <w:rsid w:val="00B84C01"/>
    <w:rsid w:val="00B85D1B"/>
    <w:rsid w:val="00B87251"/>
    <w:rsid w:val="00B9099A"/>
    <w:rsid w:val="00B91036"/>
    <w:rsid w:val="00B92DBC"/>
    <w:rsid w:val="00B93A64"/>
    <w:rsid w:val="00B93AB3"/>
    <w:rsid w:val="00B945C3"/>
    <w:rsid w:val="00B95FBB"/>
    <w:rsid w:val="00B9614E"/>
    <w:rsid w:val="00B97644"/>
    <w:rsid w:val="00BA05FB"/>
    <w:rsid w:val="00BA2644"/>
    <w:rsid w:val="00BA4DCA"/>
    <w:rsid w:val="00BA4FC9"/>
    <w:rsid w:val="00BA5017"/>
    <w:rsid w:val="00BA5287"/>
    <w:rsid w:val="00BB06CA"/>
    <w:rsid w:val="00BB0D9D"/>
    <w:rsid w:val="00BB3764"/>
    <w:rsid w:val="00BB3E17"/>
    <w:rsid w:val="00BB7494"/>
    <w:rsid w:val="00BC0029"/>
    <w:rsid w:val="00BC008C"/>
    <w:rsid w:val="00BC0590"/>
    <w:rsid w:val="00BC247C"/>
    <w:rsid w:val="00BC28A9"/>
    <w:rsid w:val="00BC3E4C"/>
    <w:rsid w:val="00BC5185"/>
    <w:rsid w:val="00BC6FCC"/>
    <w:rsid w:val="00BD0D36"/>
    <w:rsid w:val="00BD1C50"/>
    <w:rsid w:val="00BD30A0"/>
    <w:rsid w:val="00BD4578"/>
    <w:rsid w:val="00BD45CC"/>
    <w:rsid w:val="00BD6442"/>
    <w:rsid w:val="00BD658B"/>
    <w:rsid w:val="00BD71D4"/>
    <w:rsid w:val="00BE0446"/>
    <w:rsid w:val="00BE0D61"/>
    <w:rsid w:val="00BE1FB6"/>
    <w:rsid w:val="00BE5343"/>
    <w:rsid w:val="00BE562A"/>
    <w:rsid w:val="00BF0276"/>
    <w:rsid w:val="00BF0F2F"/>
    <w:rsid w:val="00BF288C"/>
    <w:rsid w:val="00BF365A"/>
    <w:rsid w:val="00BF3BC6"/>
    <w:rsid w:val="00BF56E7"/>
    <w:rsid w:val="00BF5942"/>
    <w:rsid w:val="00C00542"/>
    <w:rsid w:val="00C0080D"/>
    <w:rsid w:val="00C02277"/>
    <w:rsid w:val="00C0441E"/>
    <w:rsid w:val="00C049DD"/>
    <w:rsid w:val="00C05171"/>
    <w:rsid w:val="00C0636E"/>
    <w:rsid w:val="00C07DF6"/>
    <w:rsid w:val="00C1020D"/>
    <w:rsid w:val="00C1099A"/>
    <w:rsid w:val="00C1154F"/>
    <w:rsid w:val="00C14631"/>
    <w:rsid w:val="00C15625"/>
    <w:rsid w:val="00C166E4"/>
    <w:rsid w:val="00C169AD"/>
    <w:rsid w:val="00C17932"/>
    <w:rsid w:val="00C1794A"/>
    <w:rsid w:val="00C207DC"/>
    <w:rsid w:val="00C2291C"/>
    <w:rsid w:val="00C24976"/>
    <w:rsid w:val="00C25706"/>
    <w:rsid w:val="00C25F1F"/>
    <w:rsid w:val="00C31AED"/>
    <w:rsid w:val="00C33868"/>
    <w:rsid w:val="00C33BA3"/>
    <w:rsid w:val="00C34EBF"/>
    <w:rsid w:val="00C35E69"/>
    <w:rsid w:val="00C36120"/>
    <w:rsid w:val="00C37922"/>
    <w:rsid w:val="00C37C55"/>
    <w:rsid w:val="00C402C6"/>
    <w:rsid w:val="00C41564"/>
    <w:rsid w:val="00C41C8C"/>
    <w:rsid w:val="00C438C4"/>
    <w:rsid w:val="00C43E29"/>
    <w:rsid w:val="00C47EEB"/>
    <w:rsid w:val="00C5085E"/>
    <w:rsid w:val="00C50FE0"/>
    <w:rsid w:val="00C51CB9"/>
    <w:rsid w:val="00C53363"/>
    <w:rsid w:val="00C53A02"/>
    <w:rsid w:val="00C53D48"/>
    <w:rsid w:val="00C552CF"/>
    <w:rsid w:val="00C55BD0"/>
    <w:rsid w:val="00C560B0"/>
    <w:rsid w:val="00C57BB0"/>
    <w:rsid w:val="00C61F64"/>
    <w:rsid w:val="00C62896"/>
    <w:rsid w:val="00C6349E"/>
    <w:rsid w:val="00C63B49"/>
    <w:rsid w:val="00C65186"/>
    <w:rsid w:val="00C65DCF"/>
    <w:rsid w:val="00C66964"/>
    <w:rsid w:val="00C67BBF"/>
    <w:rsid w:val="00C71F2F"/>
    <w:rsid w:val="00C724C8"/>
    <w:rsid w:val="00C75447"/>
    <w:rsid w:val="00C768EF"/>
    <w:rsid w:val="00C76AEA"/>
    <w:rsid w:val="00C772EB"/>
    <w:rsid w:val="00C83CE7"/>
    <w:rsid w:val="00C83F94"/>
    <w:rsid w:val="00C84377"/>
    <w:rsid w:val="00C8490D"/>
    <w:rsid w:val="00C8754E"/>
    <w:rsid w:val="00C90684"/>
    <w:rsid w:val="00C911A6"/>
    <w:rsid w:val="00C9639E"/>
    <w:rsid w:val="00C96EDB"/>
    <w:rsid w:val="00CA01B2"/>
    <w:rsid w:val="00CA068D"/>
    <w:rsid w:val="00CA4885"/>
    <w:rsid w:val="00CA5540"/>
    <w:rsid w:val="00CA5B2A"/>
    <w:rsid w:val="00CA5F11"/>
    <w:rsid w:val="00CA79F2"/>
    <w:rsid w:val="00CA7A91"/>
    <w:rsid w:val="00CB137B"/>
    <w:rsid w:val="00CB1708"/>
    <w:rsid w:val="00CB5140"/>
    <w:rsid w:val="00CB5B57"/>
    <w:rsid w:val="00CB60F9"/>
    <w:rsid w:val="00CB7C30"/>
    <w:rsid w:val="00CB7DFB"/>
    <w:rsid w:val="00CC2665"/>
    <w:rsid w:val="00CC3262"/>
    <w:rsid w:val="00CC423C"/>
    <w:rsid w:val="00CD06E1"/>
    <w:rsid w:val="00CD086A"/>
    <w:rsid w:val="00CD1259"/>
    <w:rsid w:val="00CD14DE"/>
    <w:rsid w:val="00CD4918"/>
    <w:rsid w:val="00CD4F8C"/>
    <w:rsid w:val="00CD534F"/>
    <w:rsid w:val="00CD615C"/>
    <w:rsid w:val="00CE161F"/>
    <w:rsid w:val="00CE20C5"/>
    <w:rsid w:val="00CE421F"/>
    <w:rsid w:val="00CE6973"/>
    <w:rsid w:val="00CE730C"/>
    <w:rsid w:val="00CF04D9"/>
    <w:rsid w:val="00CF13A8"/>
    <w:rsid w:val="00CF2655"/>
    <w:rsid w:val="00CF43FE"/>
    <w:rsid w:val="00CF53AE"/>
    <w:rsid w:val="00CF74FE"/>
    <w:rsid w:val="00D00353"/>
    <w:rsid w:val="00D012FD"/>
    <w:rsid w:val="00D013AF"/>
    <w:rsid w:val="00D02B9C"/>
    <w:rsid w:val="00D031EA"/>
    <w:rsid w:val="00D033D8"/>
    <w:rsid w:val="00D036E8"/>
    <w:rsid w:val="00D039E8"/>
    <w:rsid w:val="00D044E0"/>
    <w:rsid w:val="00D05E00"/>
    <w:rsid w:val="00D12835"/>
    <w:rsid w:val="00D1338E"/>
    <w:rsid w:val="00D13FB0"/>
    <w:rsid w:val="00D14350"/>
    <w:rsid w:val="00D17621"/>
    <w:rsid w:val="00D209AE"/>
    <w:rsid w:val="00D21F37"/>
    <w:rsid w:val="00D24F54"/>
    <w:rsid w:val="00D27202"/>
    <w:rsid w:val="00D303B4"/>
    <w:rsid w:val="00D31A89"/>
    <w:rsid w:val="00D31E6C"/>
    <w:rsid w:val="00D32438"/>
    <w:rsid w:val="00D405C3"/>
    <w:rsid w:val="00D42745"/>
    <w:rsid w:val="00D4296F"/>
    <w:rsid w:val="00D4399C"/>
    <w:rsid w:val="00D52929"/>
    <w:rsid w:val="00D54CFC"/>
    <w:rsid w:val="00D54D97"/>
    <w:rsid w:val="00D55A5F"/>
    <w:rsid w:val="00D55BBB"/>
    <w:rsid w:val="00D5639F"/>
    <w:rsid w:val="00D56B46"/>
    <w:rsid w:val="00D56D23"/>
    <w:rsid w:val="00D57657"/>
    <w:rsid w:val="00D57B46"/>
    <w:rsid w:val="00D57D57"/>
    <w:rsid w:val="00D6067F"/>
    <w:rsid w:val="00D61284"/>
    <w:rsid w:val="00D61966"/>
    <w:rsid w:val="00D64C72"/>
    <w:rsid w:val="00D66787"/>
    <w:rsid w:val="00D70A41"/>
    <w:rsid w:val="00D7183B"/>
    <w:rsid w:val="00D718B2"/>
    <w:rsid w:val="00D7232C"/>
    <w:rsid w:val="00D723CD"/>
    <w:rsid w:val="00D73901"/>
    <w:rsid w:val="00D74210"/>
    <w:rsid w:val="00D76191"/>
    <w:rsid w:val="00D77870"/>
    <w:rsid w:val="00D80456"/>
    <w:rsid w:val="00D813E7"/>
    <w:rsid w:val="00D82BFD"/>
    <w:rsid w:val="00D83192"/>
    <w:rsid w:val="00D83F2A"/>
    <w:rsid w:val="00D84B5D"/>
    <w:rsid w:val="00D850FC"/>
    <w:rsid w:val="00D869DE"/>
    <w:rsid w:val="00D871A2"/>
    <w:rsid w:val="00D90556"/>
    <w:rsid w:val="00D91211"/>
    <w:rsid w:val="00D91F3F"/>
    <w:rsid w:val="00D95947"/>
    <w:rsid w:val="00D96AD8"/>
    <w:rsid w:val="00D96FA6"/>
    <w:rsid w:val="00D9789C"/>
    <w:rsid w:val="00D9794F"/>
    <w:rsid w:val="00DA00D1"/>
    <w:rsid w:val="00DA054B"/>
    <w:rsid w:val="00DA0F3B"/>
    <w:rsid w:val="00DA1955"/>
    <w:rsid w:val="00DA1F1C"/>
    <w:rsid w:val="00DA3B11"/>
    <w:rsid w:val="00DA42AE"/>
    <w:rsid w:val="00DA6040"/>
    <w:rsid w:val="00DB47F6"/>
    <w:rsid w:val="00DB4944"/>
    <w:rsid w:val="00DB5BBE"/>
    <w:rsid w:val="00DC0C6A"/>
    <w:rsid w:val="00DC0C79"/>
    <w:rsid w:val="00DC17DD"/>
    <w:rsid w:val="00DC1F00"/>
    <w:rsid w:val="00DC25D3"/>
    <w:rsid w:val="00DC2771"/>
    <w:rsid w:val="00DC38D4"/>
    <w:rsid w:val="00DC61E7"/>
    <w:rsid w:val="00DC6420"/>
    <w:rsid w:val="00DC771D"/>
    <w:rsid w:val="00DC7769"/>
    <w:rsid w:val="00DC7882"/>
    <w:rsid w:val="00DC7A0D"/>
    <w:rsid w:val="00DD0394"/>
    <w:rsid w:val="00DD0B74"/>
    <w:rsid w:val="00DD301A"/>
    <w:rsid w:val="00DD30D1"/>
    <w:rsid w:val="00DD3BCC"/>
    <w:rsid w:val="00DD5B92"/>
    <w:rsid w:val="00DD61A5"/>
    <w:rsid w:val="00DD7369"/>
    <w:rsid w:val="00DE0535"/>
    <w:rsid w:val="00DE073B"/>
    <w:rsid w:val="00DE128B"/>
    <w:rsid w:val="00DE328C"/>
    <w:rsid w:val="00DE3322"/>
    <w:rsid w:val="00DE3814"/>
    <w:rsid w:val="00DE3EAA"/>
    <w:rsid w:val="00DE5DD7"/>
    <w:rsid w:val="00DE7C3A"/>
    <w:rsid w:val="00DF3B93"/>
    <w:rsid w:val="00DF3FA2"/>
    <w:rsid w:val="00DF6448"/>
    <w:rsid w:val="00DF6C9C"/>
    <w:rsid w:val="00DF6DD9"/>
    <w:rsid w:val="00E00396"/>
    <w:rsid w:val="00E00B31"/>
    <w:rsid w:val="00E0453B"/>
    <w:rsid w:val="00E05D55"/>
    <w:rsid w:val="00E05E27"/>
    <w:rsid w:val="00E0618F"/>
    <w:rsid w:val="00E11BF6"/>
    <w:rsid w:val="00E139FD"/>
    <w:rsid w:val="00E16980"/>
    <w:rsid w:val="00E206C8"/>
    <w:rsid w:val="00E2071B"/>
    <w:rsid w:val="00E2140E"/>
    <w:rsid w:val="00E217C1"/>
    <w:rsid w:val="00E22034"/>
    <w:rsid w:val="00E2601A"/>
    <w:rsid w:val="00E2668D"/>
    <w:rsid w:val="00E305C8"/>
    <w:rsid w:val="00E3085F"/>
    <w:rsid w:val="00E30F80"/>
    <w:rsid w:val="00E33E51"/>
    <w:rsid w:val="00E35336"/>
    <w:rsid w:val="00E408F3"/>
    <w:rsid w:val="00E4171F"/>
    <w:rsid w:val="00E41B58"/>
    <w:rsid w:val="00E43EF3"/>
    <w:rsid w:val="00E4413F"/>
    <w:rsid w:val="00E44FA3"/>
    <w:rsid w:val="00E4526E"/>
    <w:rsid w:val="00E46D26"/>
    <w:rsid w:val="00E47681"/>
    <w:rsid w:val="00E476C3"/>
    <w:rsid w:val="00E478B4"/>
    <w:rsid w:val="00E53E97"/>
    <w:rsid w:val="00E55A00"/>
    <w:rsid w:val="00E56598"/>
    <w:rsid w:val="00E60286"/>
    <w:rsid w:val="00E61292"/>
    <w:rsid w:val="00E65913"/>
    <w:rsid w:val="00E65C7A"/>
    <w:rsid w:val="00E65CE9"/>
    <w:rsid w:val="00E66B63"/>
    <w:rsid w:val="00E7046B"/>
    <w:rsid w:val="00E70C6E"/>
    <w:rsid w:val="00E70CA2"/>
    <w:rsid w:val="00E71538"/>
    <w:rsid w:val="00E72548"/>
    <w:rsid w:val="00E74225"/>
    <w:rsid w:val="00E7476E"/>
    <w:rsid w:val="00E80A66"/>
    <w:rsid w:val="00E80CD6"/>
    <w:rsid w:val="00E81EAB"/>
    <w:rsid w:val="00E86A01"/>
    <w:rsid w:val="00E9029F"/>
    <w:rsid w:val="00E93945"/>
    <w:rsid w:val="00E95199"/>
    <w:rsid w:val="00E95342"/>
    <w:rsid w:val="00E9670E"/>
    <w:rsid w:val="00E97C68"/>
    <w:rsid w:val="00EA0952"/>
    <w:rsid w:val="00EA145B"/>
    <w:rsid w:val="00EA1DC5"/>
    <w:rsid w:val="00EA2583"/>
    <w:rsid w:val="00EA2F23"/>
    <w:rsid w:val="00EA6A20"/>
    <w:rsid w:val="00EA72B9"/>
    <w:rsid w:val="00EB02B1"/>
    <w:rsid w:val="00EB1F3B"/>
    <w:rsid w:val="00EB22E2"/>
    <w:rsid w:val="00EB3D1D"/>
    <w:rsid w:val="00EB50C6"/>
    <w:rsid w:val="00EB5524"/>
    <w:rsid w:val="00EB5C21"/>
    <w:rsid w:val="00EB6E29"/>
    <w:rsid w:val="00EB7341"/>
    <w:rsid w:val="00EB7E38"/>
    <w:rsid w:val="00EC02F7"/>
    <w:rsid w:val="00EC1068"/>
    <w:rsid w:val="00EC1124"/>
    <w:rsid w:val="00EC1D4C"/>
    <w:rsid w:val="00EC3BE0"/>
    <w:rsid w:val="00EC3F5A"/>
    <w:rsid w:val="00EC47D3"/>
    <w:rsid w:val="00EC54E3"/>
    <w:rsid w:val="00EC6DC8"/>
    <w:rsid w:val="00EC6E96"/>
    <w:rsid w:val="00ED0D1D"/>
    <w:rsid w:val="00ED5D34"/>
    <w:rsid w:val="00EE07A9"/>
    <w:rsid w:val="00EE0DD6"/>
    <w:rsid w:val="00EE1009"/>
    <w:rsid w:val="00EE132C"/>
    <w:rsid w:val="00EE13C9"/>
    <w:rsid w:val="00EE14BB"/>
    <w:rsid w:val="00EE28E1"/>
    <w:rsid w:val="00EE3778"/>
    <w:rsid w:val="00EE3C57"/>
    <w:rsid w:val="00EE443E"/>
    <w:rsid w:val="00EE534D"/>
    <w:rsid w:val="00EE67B2"/>
    <w:rsid w:val="00EE6B04"/>
    <w:rsid w:val="00EF1EC8"/>
    <w:rsid w:val="00EF240A"/>
    <w:rsid w:val="00EF3C9B"/>
    <w:rsid w:val="00EF4244"/>
    <w:rsid w:val="00EF561D"/>
    <w:rsid w:val="00EF5787"/>
    <w:rsid w:val="00EF64D3"/>
    <w:rsid w:val="00F00A33"/>
    <w:rsid w:val="00F00B73"/>
    <w:rsid w:val="00F02DE1"/>
    <w:rsid w:val="00F04180"/>
    <w:rsid w:val="00F04723"/>
    <w:rsid w:val="00F0542C"/>
    <w:rsid w:val="00F05665"/>
    <w:rsid w:val="00F066E3"/>
    <w:rsid w:val="00F071F8"/>
    <w:rsid w:val="00F07295"/>
    <w:rsid w:val="00F121F5"/>
    <w:rsid w:val="00F130CC"/>
    <w:rsid w:val="00F14AD7"/>
    <w:rsid w:val="00F14C4D"/>
    <w:rsid w:val="00F1611B"/>
    <w:rsid w:val="00F163FB"/>
    <w:rsid w:val="00F16EF9"/>
    <w:rsid w:val="00F172DE"/>
    <w:rsid w:val="00F220E9"/>
    <w:rsid w:val="00F243FF"/>
    <w:rsid w:val="00F32DF2"/>
    <w:rsid w:val="00F33228"/>
    <w:rsid w:val="00F33681"/>
    <w:rsid w:val="00F33B12"/>
    <w:rsid w:val="00F35BD1"/>
    <w:rsid w:val="00F37A15"/>
    <w:rsid w:val="00F42484"/>
    <w:rsid w:val="00F426DD"/>
    <w:rsid w:val="00F43A1B"/>
    <w:rsid w:val="00F43B73"/>
    <w:rsid w:val="00F45879"/>
    <w:rsid w:val="00F45AE2"/>
    <w:rsid w:val="00F461C9"/>
    <w:rsid w:val="00F4666F"/>
    <w:rsid w:val="00F50E96"/>
    <w:rsid w:val="00F529F9"/>
    <w:rsid w:val="00F53447"/>
    <w:rsid w:val="00F5569E"/>
    <w:rsid w:val="00F572C4"/>
    <w:rsid w:val="00F60353"/>
    <w:rsid w:val="00F603F1"/>
    <w:rsid w:val="00F62658"/>
    <w:rsid w:val="00F64063"/>
    <w:rsid w:val="00F64CDD"/>
    <w:rsid w:val="00F653A3"/>
    <w:rsid w:val="00F66076"/>
    <w:rsid w:val="00F700D6"/>
    <w:rsid w:val="00F7347D"/>
    <w:rsid w:val="00F73496"/>
    <w:rsid w:val="00F73611"/>
    <w:rsid w:val="00F741D9"/>
    <w:rsid w:val="00F74641"/>
    <w:rsid w:val="00F75A70"/>
    <w:rsid w:val="00F76408"/>
    <w:rsid w:val="00F80410"/>
    <w:rsid w:val="00F83D08"/>
    <w:rsid w:val="00F84E9D"/>
    <w:rsid w:val="00F86440"/>
    <w:rsid w:val="00F86565"/>
    <w:rsid w:val="00F86C36"/>
    <w:rsid w:val="00F870FB"/>
    <w:rsid w:val="00F90425"/>
    <w:rsid w:val="00F9116B"/>
    <w:rsid w:val="00F92D43"/>
    <w:rsid w:val="00F93093"/>
    <w:rsid w:val="00F948F8"/>
    <w:rsid w:val="00F94A60"/>
    <w:rsid w:val="00F96192"/>
    <w:rsid w:val="00F96B31"/>
    <w:rsid w:val="00F96DCF"/>
    <w:rsid w:val="00F96F44"/>
    <w:rsid w:val="00F97FEC"/>
    <w:rsid w:val="00FA192C"/>
    <w:rsid w:val="00FA1978"/>
    <w:rsid w:val="00FA365D"/>
    <w:rsid w:val="00FA45E7"/>
    <w:rsid w:val="00FA4F3D"/>
    <w:rsid w:val="00FA50A6"/>
    <w:rsid w:val="00FA77A0"/>
    <w:rsid w:val="00FB1A2E"/>
    <w:rsid w:val="00FB43F8"/>
    <w:rsid w:val="00FB4DF4"/>
    <w:rsid w:val="00FB5852"/>
    <w:rsid w:val="00FB6202"/>
    <w:rsid w:val="00FB68AB"/>
    <w:rsid w:val="00FB788D"/>
    <w:rsid w:val="00FB79D8"/>
    <w:rsid w:val="00FC0C91"/>
    <w:rsid w:val="00FC0C9F"/>
    <w:rsid w:val="00FC0DA2"/>
    <w:rsid w:val="00FC11EB"/>
    <w:rsid w:val="00FC25AA"/>
    <w:rsid w:val="00FC57C7"/>
    <w:rsid w:val="00FC716A"/>
    <w:rsid w:val="00FC7950"/>
    <w:rsid w:val="00FD0945"/>
    <w:rsid w:val="00FD1BB1"/>
    <w:rsid w:val="00FD2A64"/>
    <w:rsid w:val="00FD34FE"/>
    <w:rsid w:val="00FD3B4B"/>
    <w:rsid w:val="00FD3ED9"/>
    <w:rsid w:val="00FD6534"/>
    <w:rsid w:val="00FE07C8"/>
    <w:rsid w:val="00FE192D"/>
    <w:rsid w:val="00FE2F12"/>
    <w:rsid w:val="00FE3CCC"/>
    <w:rsid w:val="00FE48CA"/>
    <w:rsid w:val="00FF23D9"/>
    <w:rsid w:val="00FF25F2"/>
    <w:rsid w:val="00FF4760"/>
    <w:rsid w:val="00FF4811"/>
    <w:rsid w:val="00FF78F1"/>
    <w:rsid w:val="03521E14"/>
    <w:rsid w:val="038B527F"/>
    <w:rsid w:val="0554C106"/>
    <w:rsid w:val="05E6E9D1"/>
    <w:rsid w:val="070E24FC"/>
    <w:rsid w:val="07A585D3"/>
    <w:rsid w:val="0E990ED8"/>
    <w:rsid w:val="0FF2996C"/>
    <w:rsid w:val="166CE4B5"/>
    <w:rsid w:val="1886CB05"/>
    <w:rsid w:val="2B99AA60"/>
    <w:rsid w:val="2FBFDDCF"/>
    <w:rsid w:val="3779CECF"/>
    <w:rsid w:val="3D936FA6"/>
    <w:rsid w:val="418866E3"/>
    <w:rsid w:val="41BB1256"/>
    <w:rsid w:val="41E7ADAA"/>
    <w:rsid w:val="457F4305"/>
    <w:rsid w:val="495D4326"/>
    <w:rsid w:val="4B14896B"/>
    <w:rsid w:val="4C2A86F3"/>
    <w:rsid w:val="4C8565FD"/>
    <w:rsid w:val="5AD3E32B"/>
    <w:rsid w:val="6023028D"/>
    <w:rsid w:val="63A6D9C3"/>
    <w:rsid w:val="66A7BE2A"/>
    <w:rsid w:val="6A4FDB21"/>
    <w:rsid w:val="6EC24997"/>
    <w:rsid w:val="6FE8E133"/>
    <w:rsid w:val="70D70124"/>
    <w:rsid w:val="70F46E31"/>
    <w:rsid w:val="75EE2F24"/>
    <w:rsid w:val="766221B0"/>
    <w:rsid w:val="784472FC"/>
    <w:rsid w:val="7B4ECB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3FBE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spacing w:line="288" w:lineRule="auto"/>
      <w:ind w:left="720" w:hanging="360"/>
      <w:contextualSpacing/>
    </w:pPr>
    <w:rPr>
      <w:rFonts w:cstheme="minorHAnsi"/>
      <w:color w:val="000000" w:themeColor="text1"/>
      <w:szCs w:val="20"/>
    </w:rPr>
  </w:style>
  <w:style w:type="paragraph" w:customStyle="1" w:styleId="List1">
    <w:name w:val="# List 1"/>
    <w:basedOn w:val="Normal"/>
    <w:rsid w:val="00F74641"/>
    <w:pPr>
      <w:numPr>
        <w:numId w:val="3"/>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2"/>
      </w:numPr>
      <w:ind w:left="490" w:hanging="238"/>
    </w:pPr>
  </w:style>
  <w:style w:type="paragraph" w:customStyle="1" w:styleId="Bullet3">
    <w:name w:val="Bullet 3"/>
    <w:basedOn w:val="Bullet2"/>
    <w:rsid w:val="00F75A70"/>
    <w:pPr>
      <w:numPr>
        <w:ilvl w:val="1"/>
        <w:numId w:val="4"/>
      </w:numPr>
      <w:ind w:left="714" w:hanging="210"/>
    </w:pPr>
  </w:style>
  <w:style w:type="paragraph" w:customStyle="1" w:styleId="List2">
    <w:name w:val="# List 2"/>
    <w:basedOn w:val="Normal"/>
    <w:rsid w:val="00F74641"/>
    <w:pPr>
      <w:numPr>
        <w:ilvl w:val="1"/>
        <w:numId w:val="3"/>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3"/>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3"/>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1"/>
      </w:numPr>
      <w:spacing w:after="240" w:line="560" w:lineRule="exact"/>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1"/>
      </w:numPr>
      <w:spacing w:before="60" w:after="60" w:line="240" w:lineRule="auto"/>
    </w:pPr>
    <w:rPr>
      <w:color w:val="5F7577" w:themeColor="accent2"/>
      <w:sz w:val="32"/>
      <w:szCs w:val="28"/>
    </w:rPr>
  </w:style>
  <w:style w:type="paragraph" w:customStyle="1" w:styleId="Heading3">
    <w:name w:val="# Heading 3"/>
    <w:basedOn w:val="ListParagraph"/>
    <w:qFormat/>
    <w:rsid w:val="00F4666F"/>
    <w:pPr>
      <w:numPr>
        <w:ilvl w:val="2"/>
        <w:numId w:val="1"/>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1"/>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aliases w:val="Dot pt,No Spacing1,List Paragraph Char Char Char,Indicator Text,Numbered Para 1,List Paragraph1,F5 List Paragraph,Bullet Points,List Paragraph11,Colorful List - Accent 12,MAIN CONTENT,List Paragraph12,L,Colorful List - Accent 11"/>
    <w:basedOn w:val="Normal"/>
    <w:link w:val="ListParagraphChar"/>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46CB5"/>
    <w:rPr>
      <w:sz w:val="16"/>
      <w:szCs w:val="16"/>
    </w:rPr>
  </w:style>
  <w:style w:type="paragraph" w:styleId="CommentText">
    <w:name w:val="annotation text"/>
    <w:basedOn w:val="Normal"/>
    <w:link w:val="CommentTextChar"/>
    <w:uiPriority w:val="99"/>
    <w:unhideWhenUsed/>
    <w:rsid w:val="00946CB5"/>
    <w:pPr>
      <w:spacing w:line="240" w:lineRule="auto"/>
    </w:pPr>
    <w:rPr>
      <w:sz w:val="20"/>
      <w:szCs w:val="20"/>
    </w:rPr>
  </w:style>
  <w:style w:type="character" w:customStyle="1" w:styleId="CommentTextChar">
    <w:name w:val="Comment Text Char"/>
    <w:basedOn w:val="DefaultParagraphFont"/>
    <w:link w:val="CommentText"/>
    <w:uiPriority w:val="99"/>
    <w:rsid w:val="00946CB5"/>
    <w:rPr>
      <w:sz w:val="20"/>
      <w:szCs w:val="20"/>
    </w:rPr>
  </w:style>
  <w:style w:type="paragraph" w:styleId="CommentSubject">
    <w:name w:val="annotation subject"/>
    <w:basedOn w:val="CommentText"/>
    <w:next w:val="CommentText"/>
    <w:link w:val="CommentSubjectChar"/>
    <w:uiPriority w:val="99"/>
    <w:semiHidden/>
    <w:unhideWhenUsed/>
    <w:rsid w:val="00946CB5"/>
    <w:rPr>
      <w:b/>
      <w:bCs/>
    </w:rPr>
  </w:style>
  <w:style w:type="character" w:customStyle="1" w:styleId="CommentSubjectChar">
    <w:name w:val="Comment Subject Char"/>
    <w:basedOn w:val="CommentTextChar"/>
    <w:link w:val="CommentSubject"/>
    <w:uiPriority w:val="99"/>
    <w:semiHidden/>
    <w:rsid w:val="00946CB5"/>
    <w:rPr>
      <w:b/>
      <w:bCs/>
      <w:sz w:val="20"/>
      <w:szCs w:val="20"/>
    </w:rPr>
  </w:style>
  <w:style w:type="paragraph" w:styleId="FootnoteText">
    <w:name w:val="footnote text"/>
    <w:basedOn w:val="Normal"/>
    <w:link w:val="FootnoteTextChar"/>
    <w:uiPriority w:val="99"/>
    <w:unhideWhenUsed/>
    <w:rsid w:val="00452A70"/>
    <w:pPr>
      <w:spacing w:line="240" w:lineRule="auto"/>
    </w:pPr>
    <w:rPr>
      <w:sz w:val="20"/>
      <w:szCs w:val="20"/>
    </w:rPr>
  </w:style>
  <w:style w:type="character" w:customStyle="1" w:styleId="FootnoteTextChar">
    <w:name w:val="Footnote Text Char"/>
    <w:basedOn w:val="DefaultParagraphFont"/>
    <w:link w:val="FootnoteText"/>
    <w:uiPriority w:val="99"/>
    <w:rsid w:val="00452A70"/>
    <w:rPr>
      <w:sz w:val="20"/>
      <w:szCs w:val="20"/>
    </w:rPr>
  </w:style>
  <w:style w:type="character" w:styleId="FootnoteReference">
    <w:name w:val="footnote reference"/>
    <w:basedOn w:val="DefaultParagraphFont"/>
    <w:uiPriority w:val="99"/>
    <w:semiHidden/>
    <w:unhideWhenUsed/>
    <w:rsid w:val="00452A70"/>
    <w:rPr>
      <w:vertAlign w:val="superscript"/>
    </w:rPr>
  </w:style>
  <w:style w:type="paragraph" w:styleId="Caption">
    <w:name w:val="caption"/>
    <w:basedOn w:val="Normal"/>
    <w:next w:val="Normal"/>
    <w:uiPriority w:val="35"/>
    <w:unhideWhenUsed/>
    <w:qFormat/>
    <w:rsid w:val="00601BC7"/>
    <w:pPr>
      <w:spacing w:after="200" w:line="240" w:lineRule="auto"/>
    </w:pPr>
    <w:rPr>
      <w:i/>
      <w:iCs/>
      <w:color w:val="064276" w:themeColor="text2"/>
      <w:sz w:val="18"/>
      <w:szCs w:val="18"/>
    </w:rPr>
  </w:style>
  <w:style w:type="character" w:customStyle="1" w:styleId="ListParagraphChar">
    <w:name w:val="List Paragraph Char"/>
    <w:aliases w:val="Dot pt Char,No Spacing1 Char,List Paragraph Char Char Char Char,Indicator Text Char,Numbered Para 1 Char,List Paragraph1 Char,F5 List Paragraph Char,Bullet Points Char,List Paragraph11 Char,Colorful List - Accent 12 Char,L Char"/>
    <w:basedOn w:val="DefaultParagraphFont"/>
    <w:link w:val="ListParagraph"/>
    <w:uiPriority w:val="34"/>
    <w:qFormat/>
    <w:locked/>
    <w:rsid w:val="00381067"/>
    <w:rPr>
      <w:sz w:val="24"/>
    </w:rPr>
  </w:style>
  <w:style w:type="table" w:styleId="GridTable1Light-Accent5">
    <w:name w:val="Grid Table 1 Light Accent 5"/>
    <w:basedOn w:val="TableNormal"/>
    <w:uiPriority w:val="46"/>
    <w:rsid w:val="00085D0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DDDCEC" w:themeColor="accent5" w:themeTint="66"/>
        <w:left w:val="single" w:sz="4" w:space="0" w:color="DDDCEC" w:themeColor="accent5" w:themeTint="66"/>
        <w:bottom w:val="single" w:sz="4" w:space="0" w:color="DDDCEC" w:themeColor="accent5" w:themeTint="66"/>
        <w:right w:val="single" w:sz="4" w:space="0" w:color="DDDCEC" w:themeColor="accent5" w:themeTint="66"/>
        <w:insideH w:val="single" w:sz="4" w:space="0" w:color="DDDCEC" w:themeColor="accent5" w:themeTint="66"/>
        <w:insideV w:val="single" w:sz="4" w:space="0" w:color="DDDCEC" w:themeColor="accent5" w:themeTint="66"/>
      </w:tblBorders>
    </w:tblPr>
    <w:tblStylePr w:type="firstRow">
      <w:rPr>
        <w:b/>
        <w:bCs/>
      </w:rPr>
      <w:tblPr/>
      <w:tcPr>
        <w:tcBorders>
          <w:bottom w:val="single" w:sz="12" w:space="0" w:color="CCCAE3" w:themeColor="accent5" w:themeTint="99"/>
        </w:tcBorders>
      </w:tcPr>
    </w:tblStylePr>
    <w:tblStylePr w:type="lastRow">
      <w:rPr>
        <w:b/>
        <w:bCs/>
      </w:rPr>
      <w:tblPr/>
      <w:tcPr>
        <w:tcBorders>
          <w:top w:val="double" w:sz="2" w:space="0" w:color="CCCAE3" w:themeColor="accent5"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74340F"/>
    <w:rPr>
      <w:color w:val="2B579A"/>
      <w:shd w:val="clear" w:color="auto" w:fill="E1DFDD"/>
    </w:rPr>
  </w:style>
  <w:style w:type="paragraph" w:styleId="Revision">
    <w:name w:val="Revision"/>
    <w:hidden/>
    <w:uiPriority w:val="99"/>
    <w:semiHidden/>
    <w:rsid w:val="003F4626"/>
    <w:pPr>
      <w:spacing w:after="0" w:line="240" w:lineRule="auto"/>
    </w:pPr>
    <w:rPr>
      <w:sz w:val="24"/>
    </w:rPr>
  </w:style>
  <w:style w:type="character" w:styleId="UnresolvedMention">
    <w:name w:val="Unresolved Mention"/>
    <w:basedOn w:val="DefaultParagraphFont"/>
    <w:uiPriority w:val="99"/>
    <w:semiHidden/>
    <w:unhideWhenUsed/>
    <w:rsid w:val="00FD3ED9"/>
    <w:rPr>
      <w:color w:val="605E5C"/>
      <w:shd w:val="clear" w:color="auto" w:fill="E1DFDD"/>
    </w:rPr>
  </w:style>
  <w:style w:type="character" w:customStyle="1" w:styleId="ui-provider">
    <w:name w:val="ui-provider"/>
    <w:basedOn w:val="DefaultParagraphFont"/>
    <w:rsid w:val="00B822EB"/>
  </w:style>
  <w:style w:type="character" w:styleId="FollowedHyperlink">
    <w:name w:val="FollowedHyperlink"/>
    <w:basedOn w:val="DefaultParagraphFont"/>
    <w:uiPriority w:val="99"/>
    <w:semiHidden/>
    <w:unhideWhenUsed/>
    <w:rsid w:val="00B822EB"/>
    <w:rPr>
      <w:color w:val="497A9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5276">
      <w:bodyDiv w:val="1"/>
      <w:marLeft w:val="0"/>
      <w:marRight w:val="0"/>
      <w:marTop w:val="0"/>
      <w:marBottom w:val="0"/>
      <w:divBdr>
        <w:top w:val="none" w:sz="0" w:space="0" w:color="auto"/>
        <w:left w:val="none" w:sz="0" w:space="0" w:color="auto"/>
        <w:bottom w:val="none" w:sz="0" w:space="0" w:color="auto"/>
        <w:right w:val="none" w:sz="0" w:space="0" w:color="auto"/>
      </w:divBdr>
    </w:div>
    <w:div w:id="201596044">
      <w:bodyDiv w:val="1"/>
      <w:marLeft w:val="0"/>
      <w:marRight w:val="0"/>
      <w:marTop w:val="0"/>
      <w:marBottom w:val="0"/>
      <w:divBdr>
        <w:top w:val="none" w:sz="0" w:space="0" w:color="auto"/>
        <w:left w:val="none" w:sz="0" w:space="0" w:color="auto"/>
        <w:bottom w:val="none" w:sz="0" w:space="0" w:color="auto"/>
        <w:right w:val="none" w:sz="0" w:space="0" w:color="auto"/>
      </w:divBdr>
    </w:div>
    <w:div w:id="596133655">
      <w:bodyDiv w:val="1"/>
      <w:marLeft w:val="0"/>
      <w:marRight w:val="0"/>
      <w:marTop w:val="0"/>
      <w:marBottom w:val="0"/>
      <w:divBdr>
        <w:top w:val="none" w:sz="0" w:space="0" w:color="auto"/>
        <w:left w:val="none" w:sz="0" w:space="0" w:color="auto"/>
        <w:bottom w:val="none" w:sz="0" w:space="0" w:color="auto"/>
        <w:right w:val="none" w:sz="0" w:space="0" w:color="auto"/>
      </w:divBdr>
    </w:div>
    <w:div w:id="614793285">
      <w:bodyDiv w:val="1"/>
      <w:marLeft w:val="0"/>
      <w:marRight w:val="0"/>
      <w:marTop w:val="0"/>
      <w:marBottom w:val="0"/>
      <w:divBdr>
        <w:top w:val="none" w:sz="0" w:space="0" w:color="auto"/>
        <w:left w:val="none" w:sz="0" w:space="0" w:color="auto"/>
        <w:bottom w:val="none" w:sz="0" w:space="0" w:color="auto"/>
        <w:right w:val="none" w:sz="0" w:space="0" w:color="auto"/>
      </w:divBdr>
    </w:div>
    <w:div w:id="697778226">
      <w:bodyDiv w:val="1"/>
      <w:marLeft w:val="0"/>
      <w:marRight w:val="0"/>
      <w:marTop w:val="0"/>
      <w:marBottom w:val="0"/>
      <w:divBdr>
        <w:top w:val="none" w:sz="0" w:space="0" w:color="auto"/>
        <w:left w:val="none" w:sz="0" w:space="0" w:color="auto"/>
        <w:bottom w:val="none" w:sz="0" w:space="0" w:color="auto"/>
        <w:right w:val="none" w:sz="0" w:space="0" w:color="auto"/>
      </w:divBdr>
    </w:div>
    <w:div w:id="732003045">
      <w:bodyDiv w:val="1"/>
      <w:marLeft w:val="0"/>
      <w:marRight w:val="0"/>
      <w:marTop w:val="0"/>
      <w:marBottom w:val="0"/>
      <w:divBdr>
        <w:top w:val="none" w:sz="0" w:space="0" w:color="auto"/>
        <w:left w:val="none" w:sz="0" w:space="0" w:color="auto"/>
        <w:bottom w:val="none" w:sz="0" w:space="0" w:color="auto"/>
        <w:right w:val="none" w:sz="0" w:space="0" w:color="auto"/>
      </w:divBdr>
    </w:div>
    <w:div w:id="874581878">
      <w:bodyDiv w:val="1"/>
      <w:marLeft w:val="0"/>
      <w:marRight w:val="0"/>
      <w:marTop w:val="0"/>
      <w:marBottom w:val="0"/>
      <w:divBdr>
        <w:top w:val="none" w:sz="0" w:space="0" w:color="auto"/>
        <w:left w:val="none" w:sz="0" w:space="0" w:color="auto"/>
        <w:bottom w:val="none" w:sz="0" w:space="0" w:color="auto"/>
        <w:right w:val="none" w:sz="0" w:space="0" w:color="auto"/>
      </w:divBdr>
    </w:div>
    <w:div w:id="1281304380">
      <w:bodyDiv w:val="1"/>
      <w:marLeft w:val="0"/>
      <w:marRight w:val="0"/>
      <w:marTop w:val="0"/>
      <w:marBottom w:val="0"/>
      <w:divBdr>
        <w:top w:val="none" w:sz="0" w:space="0" w:color="auto"/>
        <w:left w:val="none" w:sz="0" w:space="0" w:color="auto"/>
        <w:bottom w:val="none" w:sz="0" w:space="0" w:color="auto"/>
        <w:right w:val="none" w:sz="0" w:space="0" w:color="auto"/>
      </w:divBdr>
    </w:div>
    <w:div w:id="1615480566">
      <w:bodyDiv w:val="1"/>
      <w:marLeft w:val="0"/>
      <w:marRight w:val="0"/>
      <w:marTop w:val="0"/>
      <w:marBottom w:val="0"/>
      <w:divBdr>
        <w:top w:val="none" w:sz="0" w:space="0" w:color="auto"/>
        <w:left w:val="none" w:sz="0" w:space="0" w:color="auto"/>
        <w:bottom w:val="none" w:sz="0" w:space="0" w:color="auto"/>
        <w:right w:val="none" w:sz="0" w:space="0" w:color="auto"/>
      </w:divBdr>
    </w:div>
    <w:div w:id="178677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ics.scot/publications/scottish-water/annual-return-regulatory-accounts" TargetMode="External"/><Relationship Id="rId3" Type="http://schemas.openxmlformats.org/officeDocument/2006/relationships/hyperlink" Target="https://www.gov.scot/publications/scottish-water-directions-2020/" TargetMode="External"/><Relationship Id="rId7" Type="http://schemas.openxmlformats.org/officeDocument/2006/relationships/hyperlink" Target="https://wics.scot/publications/price-setting/strategic-review-charges-2027-33/approach/2027-33-methodology" TargetMode="External"/><Relationship Id="rId2" Type="http://schemas.openxmlformats.org/officeDocument/2006/relationships/hyperlink" Target="https://wics.scot/publications/price-setting/strategic-review-charges-2021-27/determinations/2021-27-final-determination" TargetMode="External"/><Relationship Id="rId1" Type="http://schemas.openxmlformats.org/officeDocument/2006/relationships/hyperlink" Target="https://www.legislation.gov.uk/asp/2005/3/" TargetMode="External"/><Relationship Id="rId6" Type="http://schemas.openxmlformats.org/officeDocument/2006/relationships/hyperlink" Target="https://wics.scot/publications/price-setting/strategic-review-charges-2021-27/regulatory-information-requests/src21-letter-reporting-quality-improvement-plan" TargetMode="External"/><Relationship Id="rId5" Type="http://schemas.openxmlformats.org/officeDocument/2006/relationships/hyperlink" Target="https://wics.scot/publications/price-setting/strategic-review-charges-2021-27/regulatory-information-requests/src21-letter-information-request" TargetMode="External"/><Relationship Id="rId4" Type="http://schemas.openxmlformats.org/officeDocument/2006/relationships/hyperlink" Target="https://wics.scot/publications/price-setting/strategic-review-charges-2027-33/approach/2027-33-methodology" TargetMode="External"/><Relationship Id="rId9" Type="http://schemas.openxmlformats.org/officeDocument/2006/relationships/hyperlink" Target="https://www.gov.scot/news/climate-change-bill-pass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DB22B5775E944F8364B5B95951BAA3" ma:contentTypeVersion="17" ma:contentTypeDescription="Create a new document." ma:contentTypeScope="" ma:versionID="b5f8b49df839be18519cb8f3a82a990a">
  <xsd:schema xmlns:xsd="http://www.w3.org/2001/XMLSchema" xmlns:xs="http://www.w3.org/2001/XMLSchema" xmlns:p="http://schemas.microsoft.com/office/2006/metadata/properties" xmlns:ns1="http://schemas.microsoft.com/sharepoint/v3" xmlns:ns2="f3f80663-5594-499d-b72c-2285cda7c1bc" xmlns:ns3="dfc5cf3b-63a0-41eb-9e2d-d2b6491b4379" targetNamespace="http://schemas.microsoft.com/office/2006/metadata/properties" ma:root="true" ma:fieldsID="958c180ddc6392c96ac85bbc305d8ae6" ns1:_="" ns2:_="" ns3:_="">
    <xsd:import namespace="http://schemas.microsoft.com/sharepoint/v3"/>
    <xsd:import namespace="f3f80663-5594-499d-b72c-2285cda7c1bc"/>
    <xsd:import namespace="dfc5cf3b-63a0-41eb-9e2d-d2b6491b4379"/>
    <xsd:element name="properties">
      <xsd:complexType>
        <xsd:sequence>
          <xsd:element name="documentManagement">
            <xsd:complexType>
              <xsd:all>
                <xsd:element ref="ns2:a0a017f0ccd14f1aad5aecd480623105" minOccurs="0"/>
                <xsd:element ref="ns3:TaxCatchAll" minOccurs="0"/>
                <xsd:element ref="ns3:bfc079fce85f491ab29dd2fc5176ac66"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f80663-5594-499d-b72c-2285cda7c1bc" elementFormDefault="qualified">
    <xsd:import namespace="http://schemas.microsoft.com/office/2006/documentManagement/types"/>
    <xsd:import namespace="http://schemas.microsoft.com/office/infopath/2007/PartnerControls"/>
    <xsd:element name="a0a017f0ccd14f1aad5aecd480623105" ma:index="9" nillable="true" ma:taxonomy="true" ma:internalName="a0a017f0ccd14f1aad5aecd480623105" ma:taxonomyFieldName="Monitoring_x0020_and_x0020_Benchmarking_x0020_Area" ma:displayName="Monitoring and Benchmarking Area" ma:indexed="true" ma:default="" ma:fieldId="{a0a017f0-ccd1-4f1a-ad5a-ecd480623105}" ma:sspId="f924a736-b285-4c68-8cdb-5ccf3ff341b6" ma:termSetId="b4d5bc03-e584-4c7a-b8fa-d135138e7f59" ma:anchorId="00000000-0000-0000-0000-000000000000" ma:open="false" ma:isKeyword="false">
      <xsd:complexType>
        <xsd:sequence>
          <xsd:element ref="pc:Terms" minOccurs="0" maxOccurs="1"/>
        </xsd:sequence>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c5cf3b-63a0-41eb-9e2d-d2b6491b437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611ec8d2-c813-4531-b966-1319a11e9c0f}" ma:internalName="TaxCatchAll" ma:showField="CatchAllData" ma:web="dfc5cf3b-63a0-41eb-9e2d-d2b6491b4379">
      <xsd:complexType>
        <xsd:complexContent>
          <xsd:extension base="dms:MultiChoiceLookup">
            <xsd:sequence>
              <xsd:element name="Value" type="dms:Lookup" maxOccurs="unbounded" minOccurs="0" nillable="true"/>
            </xsd:sequence>
          </xsd:extension>
        </xsd:complexContent>
      </xsd:complexType>
    </xsd:element>
    <xsd:element name="bfc079fce85f491ab29dd2fc5176ac66" ma:index="12" nillable="true" ma:taxonomy="true" ma:internalName="bfc079fce85f491ab29dd2fc5176ac66" ma:taxonomyFieldName="Financial_x0020_Year" ma:displayName="Financial Year" ma:indexed="true" ma:default="" ma:fieldId="{bfc079fc-e85f-491a-b29d-d2fc5176ac66}" ma:sspId="f924a736-b285-4c68-8cdb-5ccf3ff341b6" ma:termSetId="e3db7dc0-d157-4e6b-95e0-f2d210bd78ba" ma:anchorId="00000000-0000-0000-0000-000000000000" ma:open="false" ma:isKeyword="false">
      <xsd:complexType>
        <xsd:sequence>
          <xsd:element ref="pc:Terms" minOccurs="0" maxOccurs="1"/>
        </xsd:sequence>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0a017f0ccd14f1aad5aecd480623105 xmlns="f3f80663-5594-499d-b72c-2285cda7c1bc">
      <Terms xmlns="http://schemas.microsoft.com/office/infopath/2007/PartnerControls"/>
    </a0a017f0ccd14f1aad5aecd480623105>
    <_ip_UnifiedCompliancePolicyUIAction xmlns="http://schemas.microsoft.com/sharepoint/v3" xsi:nil="true"/>
    <_ip_UnifiedCompliancePolicyProperties xmlns="http://schemas.microsoft.com/sharepoint/v3" xsi:nil="true"/>
    <bfc079fce85f491ab29dd2fc5176ac66 xmlns="dfc5cf3b-63a0-41eb-9e2d-d2b6491b4379">
      <Terms xmlns="http://schemas.microsoft.com/office/infopath/2007/PartnerControls"/>
    </bfc079fce85f491ab29dd2fc5176ac66>
    <TaxCatchAll xmlns="dfc5cf3b-63a0-41eb-9e2d-d2b6491b437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CC51DDF3-7AB3-46ED-94EB-620A1E560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f80663-5594-499d-b72c-2285cda7c1bc"/>
    <ds:schemaRef ds:uri="dfc5cf3b-63a0-41eb-9e2d-d2b6491b4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customXml/itemProps3.xml><?xml version="1.0" encoding="utf-8"?>
<ds:datastoreItem xmlns:ds="http://schemas.openxmlformats.org/officeDocument/2006/customXml" ds:itemID="{2BA6CE97-B619-43D9-B9BC-54FC130567F1}">
  <ds:schemaRefs>
    <ds:schemaRef ds:uri="dfc5cf3b-63a0-41eb-9e2d-d2b6491b4379"/>
    <ds:schemaRef ds:uri="http://purl.org/dc/elements/1.1/"/>
    <ds:schemaRef ds:uri="http://schemas.openxmlformats.org/package/2006/metadata/core-properties"/>
    <ds:schemaRef ds:uri="http://purl.org/dc/dcmitype/"/>
    <ds:schemaRef ds:uri="http://schemas.microsoft.com/office/2006/documentManagement/types"/>
    <ds:schemaRef ds:uri="http://schemas.microsoft.com/sharepoint/v3"/>
    <ds:schemaRef ds:uri="http://www.w3.org/XML/1998/namespace"/>
    <ds:schemaRef ds:uri="http://schemas.microsoft.com/office/infopath/2007/PartnerControls"/>
    <ds:schemaRef ds:uri="f3f80663-5594-499d-b72c-2285cda7c1bc"/>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9BEC8A29-9970-4397-B957-DEEBAC9F863F}">
  <ds:schemaRefs>
    <ds:schemaRef ds:uri="http://schemas.microsoft.com/sharepoint/v3/contenttype/forms"/>
  </ds:schemaRefs>
</ds:datastoreItem>
</file>

<file path=customXml/itemProps5.xml><?xml version="1.0" encoding="utf-8"?>
<ds:datastoreItem xmlns:ds="http://schemas.openxmlformats.org/officeDocument/2006/customXml" ds:itemID="{109E5D03-C969-49BC-932A-1064438ED58F}">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4522</Words>
  <Characters>27446</Characters>
  <Application>Microsoft Office Word</Application>
  <DocSecurity>0</DocSecurity>
  <Lines>228</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2024-11-27T10:06:00Z</dcterms:created>
  <dcterms:modified xsi:type="dcterms:W3CDTF">2024-11-28T16:30:00Z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1666000</vt:r8>
  </property>
  <property fmtid="{D5CDD505-2E9C-101B-9397-08002B2CF9AE}" pid="3" name="Monitoring_x0020_and_x0020_Benchmarking_x0020_Area">
    <vt:lpwstr/>
  </property>
  <property fmtid="{D5CDD505-2E9C-101B-9397-08002B2CF9AE}" pid="4" name="MediaServiceImageTags">
    <vt:lpwstr/>
  </property>
  <property fmtid="{D5CDD505-2E9C-101B-9397-08002B2CF9AE}" pid="5" name="ContentTypeId">
    <vt:lpwstr>0x01010036DB22B5775E944F8364B5B95951BAA3</vt:lpwstr>
  </property>
  <property fmtid="{D5CDD505-2E9C-101B-9397-08002B2CF9AE}" pid="6" name="Monitoring and Benchmarking Area">
    <vt:lpwstr/>
  </property>
  <property fmtid="{D5CDD505-2E9C-101B-9397-08002B2CF9AE}" pid="7" name="Financial Year">
    <vt:lpwstr/>
  </property>
  <property fmtid="{D5CDD505-2E9C-101B-9397-08002B2CF9AE}" pid="8" name="Financial_x0020_Year">
    <vt:lpwstr/>
  </property>
</Properties>
</file>