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09997" w14:textId="77777777" w:rsidR="00B90122" w:rsidRDefault="00B9012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63"/>
      </w:tblGrid>
      <w:tr w:rsidR="00805421" w:rsidRPr="00D53544" w14:paraId="2BF079B7" w14:textId="77777777" w:rsidTr="00805421">
        <w:trPr>
          <w:trHeight w:val="2759"/>
        </w:trPr>
        <w:tc>
          <w:tcPr>
            <w:tcW w:w="6663" w:type="dxa"/>
          </w:tcPr>
          <w:p w14:paraId="75C1305B" w14:textId="042EA719" w:rsidR="00805421" w:rsidRPr="00B90122" w:rsidRDefault="00B90122" w:rsidP="00B90122">
            <w:pPr>
              <w:pStyle w:val="Documentsubtitle"/>
              <w:rPr>
                <w:sz w:val="36"/>
              </w:rPr>
            </w:pPr>
            <w:r w:rsidRPr="00B90122">
              <w:rPr>
                <w:sz w:val="36"/>
              </w:rPr>
              <w:t>Public Services Reform (Scotland) Act 2010</w:t>
            </w:r>
          </w:p>
          <w:p w14:paraId="54912600" w14:textId="77777777" w:rsidR="00B90122" w:rsidRDefault="00B90122" w:rsidP="00AC2AF7">
            <w:pPr>
              <w:pStyle w:val="Documenttitle"/>
              <w:rPr>
                <w:szCs w:val="88"/>
              </w:rPr>
            </w:pPr>
          </w:p>
          <w:p w14:paraId="495062F0" w14:textId="59A503AC" w:rsidR="00B90122" w:rsidRPr="00D53544" w:rsidRDefault="00FB6CCD" w:rsidP="00AC2AF7">
            <w:pPr>
              <w:pStyle w:val="Documenttitle"/>
              <w:rPr>
                <w:szCs w:val="88"/>
              </w:rPr>
            </w:pPr>
            <w:r>
              <w:rPr>
                <w:szCs w:val="88"/>
              </w:rPr>
              <w:t>R</w:t>
            </w:r>
            <w:r w:rsidR="00B90122">
              <w:rPr>
                <w:szCs w:val="88"/>
              </w:rPr>
              <w:t xml:space="preserve">eport for the year ended 31 </w:t>
            </w:r>
            <w:r>
              <w:rPr>
                <w:szCs w:val="88"/>
              </w:rPr>
              <w:t>M</w:t>
            </w:r>
            <w:r w:rsidR="00B90122">
              <w:rPr>
                <w:szCs w:val="88"/>
              </w:rPr>
              <w:t>arch 2023</w:t>
            </w:r>
          </w:p>
        </w:tc>
      </w:tr>
      <w:tr w:rsidR="00805421" w:rsidRPr="00A87DBB" w14:paraId="3FBED2F1" w14:textId="77777777" w:rsidTr="00805421">
        <w:trPr>
          <w:trHeight w:val="1561"/>
        </w:trPr>
        <w:tc>
          <w:tcPr>
            <w:tcW w:w="6663" w:type="dxa"/>
          </w:tcPr>
          <w:p w14:paraId="437A23DE" w14:textId="0909F9CA" w:rsidR="00805421" w:rsidRPr="00B90122" w:rsidRDefault="00B90122" w:rsidP="00AC2AF7">
            <w:pPr>
              <w:pStyle w:val="Documentsubtitle"/>
              <w:rPr>
                <w:sz w:val="32"/>
                <w:szCs w:val="32"/>
              </w:rPr>
            </w:pPr>
            <w:r w:rsidRPr="00B90122">
              <w:rPr>
                <w:sz w:val="32"/>
                <w:szCs w:val="32"/>
              </w:rPr>
              <w:t>August 2023</w:t>
            </w:r>
          </w:p>
        </w:tc>
      </w:tr>
      <w:tr w:rsidR="00805421" w:rsidRPr="00A87DBB" w14:paraId="25B3ADDF" w14:textId="77777777" w:rsidTr="00805421">
        <w:trPr>
          <w:trHeight w:val="1134"/>
        </w:trPr>
        <w:tc>
          <w:tcPr>
            <w:tcW w:w="6663" w:type="dxa"/>
          </w:tcPr>
          <w:p w14:paraId="203ED665" w14:textId="15583692" w:rsidR="00805421" w:rsidRPr="00805421" w:rsidRDefault="00805421" w:rsidP="00805421">
            <w:pPr>
              <w:pStyle w:val="Coverinfo"/>
            </w:pPr>
          </w:p>
        </w:tc>
      </w:tr>
      <w:tr w:rsidR="00805421" w:rsidRPr="00A87DBB" w14:paraId="2B3D2FB0" w14:textId="77777777" w:rsidTr="00805421">
        <w:trPr>
          <w:trHeight w:val="567"/>
        </w:trPr>
        <w:tc>
          <w:tcPr>
            <w:tcW w:w="6663" w:type="dxa"/>
          </w:tcPr>
          <w:p w14:paraId="06028F39" w14:textId="01AEC5E8" w:rsidR="00805421" w:rsidRPr="00805421" w:rsidRDefault="00805421" w:rsidP="00805421">
            <w:pPr>
              <w:pStyle w:val="Coverinfo"/>
              <w:rPr>
                <w:b/>
                <w:bCs/>
              </w:rPr>
            </w:pPr>
          </w:p>
        </w:tc>
      </w:tr>
    </w:tbl>
    <w:p w14:paraId="6C639259" w14:textId="77777777" w:rsidR="009215D0" w:rsidRDefault="009215D0" w:rsidP="00805421">
      <w:pPr>
        <w:jc w:val="both"/>
        <w:sectPr w:rsidR="009215D0" w:rsidSect="00694710">
          <w:headerReference w:type="default" r:id="rId12"/>
          <w:footerReference w:type="default" r:id="rId13"/>
          <w:headerReference w:type="first" r:id="rId14"/>
          <w:pgSz w:w="11906" w:h="16838" w:code="9"/>
          <w:pgMar w:top="1134" w:right="1134" w:bottom="1134" w:left="1134" w:header="567" w:footer="567" w:gutter="0"/>
          <w:cols w:space="708"/>
          <w:titlePg/>
          <w:docGrid w:linePitch="360"/>
        </w:sectPr>
      </w:pPr>
    </w:p>
    <w:p w14:paraId="515BD17C" w14:textId="77777777" w:rsidR="00440697" w:rsidRDefault="00440697">
      <w:pPr>
        <w:spacing w:after="160" w:line="259" w:lineRule="auto"/>
        <w:rPr>
          <w:color w:val="064276" w:themeColor="text2"/>
          <w:sz w:val="72"/>
          <w:szCs w:val="72"/>
        </w:rPr>
      </w:pPr>
      <w:r>
        <w:br w:type="page"/>
      </w:r>
    </w:p>
    <w:p w14:paraId="6AF6066A" w14:textId="4BECAAA8" w:rsidR="009215D0" w:rsidRPr="009215D0" w:rsidRDefault="009215D0" w:rsidP="009215D0">
      <w:pPr>
        <w:pStyle w:val="CONTENTS"/>
      </w:pPr>
      <w:r w:rsidRPr="009215D0">
        <w:lastRenderedPageBreak/>
        <w:t>CONTENTS</w:t>
      </w:r>
    </w:p>
    <w:p w14:paraId="67849A3F" w14:textId="3AEDD1FA" w:rsidR="00ED0985" w:rsidRDefault="00ED0985">
      <w:pPr>
        <w:pStyle w:val="TOC1"/>
        <w:tabs>
          <w:tab w:val="right" w:leader="dot" w:pos="9628"/>
        </w:tabs>
        <w:rPr>
          <w:rFonts w:eastAsiaTheme="minorEastAsia"/>
          <w:b w:val="0"/>
          <w:noProof/>
          <w:color w:val="auto"/>
          <w:kern w:val="2"/>
          <w:sz w:val="22"/>
          <w:lang w:eastAsia="en-GB"/>
          <w14:ligatures w14:val="standardContextual"/>
        </w:rPr>
      </w:pPr>
      <w:r>
        <w:fldChar w:fldCharType="begin"/>
      </w:r>
      <w:r>
        <w:instrText xml:space="preserve"> TOC \o "1-2" \h \z \u </w:instrText>
      </w:r>
      <w:r>
        <w:fldChar w:fldCharType="separate"/>
      </w:r>
      <w:hyperlink w:anchor="_Toc142395794" w:history="1">
        <w:r w:rsidRPr="00E362D7">
          <w:rPr>
            <w:rStyle w:val="Hyperlink"/>
            <w:noProof/>
          </w:rPr>
          <w:t>Introduction</w:t>
        </w:r>
        <w:r>
          <w:rPr>
            <w:noProof/>
            <w:webHidden/>
          </w:rPr>
          <w:tab/>
        </w:r>
        <w:r>
          <w:rPr>
            <w:noProof/>
            <w:webHidden/>
          </w:rPr>
          <w:fldChar w:fldCharType="begin"/>
        </w:r>
        <w:r>
          <w:rPr>
            <w:noProof/>
            <w:webHidden/>
          </w:rPr>
          <w:instrText xml:space="preserve"> PAGEREF _Toc142395794 \h </w:instrText>
        </w:r>
        <w:r>
          <w:rPr>
            <w:noProof/>
            <w:webHidden/>
          </w:rPr>
        </w:r>
        <w:r>
          <w:rPr>
            <w:noProof/>
            <w:webHidden/>
          </w:rPr>
          <w:fldChar w:fldCharType="separate"/>
        </w:r>
        <w:r>
          <w:rPr>
            <w:noProof/>
            <w:webHidden/>
          </w:rPr>
          <w:t>3</w:t>
        </w:r>
        <w:r>
          <w:rPr>
            <w:noProof/>
            <w:webHidden/>
          </w:rPr>
          <w:fldChar w:fldCharType="end"/>
        </w:r>
      </w:hyperlink>
    </w:p>
    <w:p w14:paraId="651E5B98" w14:textId="5B355669" w:rsidR="00ED0985" w:rsidRDefault="000F3BC3">
      <w:pPr>
        <w:pStyle w:val="TOC1"/>
        <w:tabs>
          <w:tab w:val="left" w:pos="440"/>
          <w:tab w:val="right" w:leader="dot" w:pos="9628"/>
        </w:tabs>
        <w:rPr>
          <w:rFonts w:eastAsiaTheme="minorEastAsia"/>
          <w:b w:val="0"/>
          <w:noProof/>
          <w:color w:val="auto"/>
          <w:kern w:val="2"/>
          <w:sz w:val="22"/>
          <w:lang w:eastAsia="en-GB"/>
          <w14:ligatures w14:val="standardContextual"/>
        </w:rPr>
      </w:pPr>
      <w:hyperlink w:anchor="_Toc142395795" w:history="1">
        <w:r w:rsidR="00ED0985" w:rsidRPr="00E362D7">
          <w:rPr>
            <w:rStyle w:val="Hyperlink"/>
            <w:noProof/>
          </w:rPr>
          <w:t>1.</w:t>
        </w:r>
        <w:r w:rsidR="00ED0985">
          <w:rPr>
            <w:rFonts w:eastAsiaTheme="minorEastAsia"/>
            <w:b w:val="0"/>
            <w:noProof/>
            <w:color w:val="auto"/>
            <w:kern w:val="2"/>
            <w:sz w:val="22"/>
            <w:lang w:eastAsia="en-GB"/>
            <w14:ligatures w14:val="standardContextual"/>
          </w:rPr>
          <w:tab/>
        </w:r>
        <w:r w:rsidR="00ED0985" w:rsidRPr="00E362D7">
          <w:rPr>
            <w:rStyle w:val="Hyperlink"/>
            <w:noProof/>
          </w:rPr>
          <w:t>Steps to promote sustainable growth</w:t>
        </w:r>
        <w:r w:rsidR="00ED0985">
          <w:rPr>
            <w:noProof/>
            <w:webHidden/>
          </w:rPr>
          <w:tab/>
        </w:r>
        <w:r w:rsidR="00ED0985">
          <w:rPr>
            <w:noProof/>
            <w:webHidden/>
          </w:rPr>
          <w:fldChar w:fldCharType="begin"/>
        </w:r>
        <w:r w:rsidR="00ED0985">
          <w:rPr>
            <w:noProof/>
            <w:webHidden/>
          </w:rPr>
          <w:instrText xml:space="preserve"> PAGEREF _Toc142395795 \h </w:instrText>
        </w:r>
        <w:r w:rsidR="00ED0985">
          <w:rPr>
            <w:noProof/>
            <w:webHidden/>
          </w:rPr>
        </w:r>
        <w:r w:rsidR="00ED0985">
          <w:rPr>
            <w:noProof/>
            <w:webHidden/>
          </w:rPr>
          <w:fldChar w:fldCharType="separate"/>
        </w:r>
        <w:r w:rsidR="00ED0985">
          <w:rPr>
            <w:noProof/>
            <w:webHidden/>
          </w:rPr>
          <w:t>4</w:t>
        </w:r>
        <w:r w:rsidR="00ED0985">
          <w:rPr>
            <w:noProof/>
            <w:webHidden/>
          </w:rPr>
          <w:fldChar w:fldCharType="end"/>
        </w:r>
      </w:hyperlink>
    </w:p>
    <w:p w14:paraId="58ACC7F5" w14:textId="7B7612FD" w:rsidR="00ED0985" w:rsidRDefault="000F3BC3">
      <w:pPr>
        <w:pStyle w:val="TOC1"/>
        <w:tabs>
          <w:tab w:val="left" w:pos="440"/>
          <w:tab w:val="right" w:leader="dot" w:pos="9628"/>
        </w:tabs>
        <w:rPr>
          <w:rFonts w:eastAsiaTheme="minorEastAsia"/>
          <w:b w:val="0"/>
          <w:noProof/>
          <w:color w:val="auto"/>
          <w:kern w:val="2"/>
          <w:sz w:val="22"/>
          <w:lang w:eastAsia="en-GB"/>
          <w14:ligatures w14:val="standardContextual"/>
        </w:rPr>
      </w:pPr>
      <w:hyperlink w:anchor="_Toc142395796" w:history="1">
        <w:r w:rsidR="00ED0985" w:rsidRPr="00E362D7">
          <w:rPr>
            <w:rStyle w:val="Hyperlink"/>
            <w:noProof/>
          </w:rPr>
          <w:t>2.</w:t>
        </w:r>
        <w:r w:rsidR="00ED0985">
          <w:rPr>
            <w:rFonts w:eastAsiaTheme="minorEastAsia"/>
            <w:b w:val="0"/>
            <w:noProof/>
            <w:color w:val="auto"/>
            <w:kern w:val="2"/>
            <w:sz w:val="22"/>
            <w:lang w:eastAsia="en-GB"/>
            <w14:ligatures w14:val="standardContextual"/>
          </w:rPr>
          <w:tab/>
        </w:r>
        <w:r w:rsidR="00ED0985" w:rsidRPr="00E362D7">
          <w:rPr>
            <w:rStyle w:val="Hyperlink"/>
            <w:noProof/>
          </w:rPr>
          <w:t>Steps to improve efficiency, effectiveness and economy</w:t>
        </w:r>
        <w:r w:rsidR="00ED0985">
          <w:rPr>
            <w:noProof/>
            <w:webHidden/>
          </w:rPr>
          <w:tab/>
        </w:r>
        <w:r w:rsidR="00ED0985">
          <w:rPr>
            <w:noProof/>
            <w:webHidden/>
          </w:rPr>
          <w:fldChar w:fldCharType="begin"/>
        </w:r>
        <w:r w:rsidR="00ED0985">
          <w:rPr>
            <w:noProof/>
            <w:webHidden/>
          </w:rPr>
          <w:instrText xml:space="preserve"> PAGEREF _Toc142395796 \h </w:instrText>
        </w:r>
        <w:r w:rsidR="00ED0985">
          <w:rPr>
            <w:noProof/>
            <w:webHidden/>
          </w:rPr>
        </w:r>
        <w:r w:rsidR="00ED0985">
          <w:rPr>
            <w:noProof/>
            <w:webHidden/>
          </w:rPr>
          <w:fldChar w:fldCharType="separate"/>
        </w:r>
        <w:r w:rsidR="00ED0985">
          <w:rPr>
            <w:noProof/>
            <w:webHidden/>
          </w:rPr>
          <w:t>6</w:t>
        </w:r>
        <w:r w:rsidR="00ED0985">
          <w:rPr>
            <w:noProof/>
            <w:webHidden/>
          </w:rPr>
          <w:fldChar w:fldCharType="end"/>
        </w:r>
      </w:hyperlink>
    </w:p>
    <w:p w14:paraId="777FF7DD" w14:textId="216BA1EB" w:rsidR="00ED0985" w:rsidRDefault="000F3BC3">
      <w:pPr>
        <w:pStyle w:val="TOC1"/>
        <w:tabs>
          <w:tab w:val="left" w:pos="440"/>
          <w:tab w:val="right" w:leader="dot" w:pos="9628"/>
        </w:tabs>
        <w:rPr>
          <w:rFonts w:eastAsiaTheme="minorEastAsia"/>
          <w:b w:val="0"/>
          <w:noProof/>
          <w:color w:val="auto"/>
          <w:kern w:val="2"/>
          <w:sz w:val="22"/>
          <w:lang w:eastAsia="en-GB"/>
          <w14:ligatures w14:val="standardContextual"/>
        </w:rPr>
      </w:pPr>
      <w:hyperlink w:anchor="_Toc142395797" w:history="1">
        <w:r w:rsidR="00ED0985" w:rsidRPr="00E362D7">
          <w:rPr>
            <w:rStyle w:val="Hyperlink"/>
            <w:noProof/>
          </w:rPr>
          <w:t>3.</w:t>
        </w:r>
        <w:r w:rsidR="00ED0985">
          <w:rPr>
            <w:rFonts w:eastAsiaTheme="minorEastAsia"/>
            <w:b w:val="0"/>
            <w:noProof/>
            <w:color w:val="auto"/>
            <w:kern w:val="2"/>
            <w:sz w:val="22"/>
            <w:lang w:eastAsia="en-GB"/>
            <w14:ligatures w14:val="standardContextual"/>
          </w:rPr>
          <w:tab/>
        </w:r>
        <w:r w:rsidR="00ED0985" w:rsidRPr="00E362D7">
          <w:rPr>
            <w:rStyle w:val="Hyperlink"/>
            <w:noProof/>
          </w:rPr>
          <w:t>Expenditure information</w:t>
        </w:r>
        <w:r w:rsidR="00ED0985">
          <w:rPr>
            <w:noProof/>
            <w:webHidden/>
          </w:rPr>
          <w:tab/>
        </w:r>
        <w:r w:rsidR="00ED0985">
          <w:rPr>
            <w:noProof/>
            <w:webHidden/>
          </w:rPr>
          <w:fldChar w:fldCharType="begin"/>
        </w:r>
        <w:r w:rsidR="00ED0985">
          <w:rPr>
            <w:noProof/>
            <w:webHidden/>
          </w:rPr>
          <w:instrText xml:space="preserve"> PAGEREF _Toc142395797 \h </w:instrText>
        </w:r>
        <w:r w:rsidR="00ED0985">
          <w:rPr>
            <w:noProof/>
            <w:webHidden/>
          </w:rPr>
        </w:r>
        <w:r w:rsidR="00ED0985">
          <w:rPr>
            <w:noProof/>
            <w:webHidden/>
          </w:rPr>
          <w:fldChar w:fldCharType="separate"/>
        </w:r>
        <w:r w:rsidR="00ED0985">
          <w:rPr>
            <w:noProof/>
            <w:webHidden/>
          </w:rPr>
          <w:t>7</w:t>
        </w:r>
        <w:r w:rsidR="00ED0985">
          <w:rPr>
            <w:noProof/>
            <w:webHidden/>
          </w:rPr>
          <w:fldChar w:fldCharType="end"/>
        </w:r>
      </w:hyperlink>
    </w:p>
    <w:p w14:paraId="0354CEC7" w14:textId="770FBC0F" w:rsidR="00ED0985" w:rsidRDefault="000F3BC3">
      <w:pPr>
        <w:pStyle w:val="TOC2"/>
        <w:rPr>
          <w:rFonts w:eastAsiaTheme="minorEastAsia"/>
          <w:kern w:val="2"/>
          <w:lang w:eastAsia="en-GB"/>
          <w14:ligatures w14:val="standardContextual"/>
        </w:rPr>
      </w:pPr>
      <w:hyperlink w:anchor="_Toc142395798" w:history="1">
        <w:r w:rsidR="00ED0985" w:rsidRPr="00E362D7">
          <w:rPr>
            <w:rStyle w:val="Hyperlink"/>
          </w:rPr>
          <w:t>3.1 Public relations</w:t>
        </w:r>
        <w:r w:rsidR="00ED0985">
          <w:rPr>
            <w:webHidden/>
          </w:rPr>
          <w:tab/>
        </w:r>
        <w:r w:rsidR="00ED0985">
          <w:rPr>
            <w:webHidden/>
          </w:rPr>
          <w:fldChar w:fldCharType="begin"/>
        </w:r>
        <w:r w:rsidR="00ED0985">
          <w:rPr>
            <w:webHidden/>
          </w:rPr>
          <w:instrText xml:space="preserve"> PAGEREF _Toc142395798 \h </w:instrText>
        </w:r>
        <w:r w:rsidR="00ED0985">
          <w:rPr>
            <w:webHidden/>
          </w:rPr>
        </w:r>
        <w:r w:rsidR="00ED0985">
          <w:rPr>
            <w:webHidden/>
          </w:rPr>
          <w:fldChar w:fldCharType="separate"/>
        </w:r>
        <w:r w:rsidR="00ED0985">
          <w:rPr>
            <w:webHidden/>
          </w:rPr>
          <w:t>7</w:t>
        </w:r>
        <w:r w:rsidR="00ED0985">
          <w:rPr>
            <w:webHidden/>
          </w:rPr>
          <w:fldChar w:fldCharType="end"/>
        </w:r>
      </w:hyperlink>
    </w:p>
    <w:p w14:paraId="678D5493" w14:textId="4FAB1CCA" w:rsidR="00ED0985" w:rsidRDefault="000F3BC3">
      <w:pPr>
        <w:pStyle w:val="TOC2"/>
        <w:rPr>
          <w:rFonts w:eastAsiaTheme="minorEastAsia"/>
          <w:kern w:val="2"/>
          <w:lang w:eastAsia="en-GB"/>
          <w14:ligatures w14:val="standardContextual"/>
        </w:rPr>
      </w:pPr>
      <w:hyperlink w:anchor="_Toc142395799" w:history="1">
        <w:r w:rsidR="00ED0985" w:rsidRPr="00E362D7">
          <w:rPr>
            <w:rStyle w:val="Hyperlink"/>
          </w:rPr>
          <w:t>3.2 Overseas travel</w:t>
        </w:r>
        <w:r w:rsidR="00ED0985">
          <w:rPr>
            <w:webHidden/>
          </w:rPr>
          <w:tab/>
        </w:r>
        <w:r w:rsidR="00ED0985">
          <w:rPr>
            <w:webHidden/>
          </w:rPr>
          <w:fldChar w:fldCharType="begin"/>
        </w:r>
        <w:r w:rsidR="00ED0985">
          <w:rPr>
            <w:webHidden/>
          </w:rPr>
          <w:instrText xml:space="preserve"> PAGEREF _Toc142395799 \h </w:instrText>
        </w:r>
        <w:r w:rsidR="00ED0985">
          <w:rPr>
            <w:webHidden/>
          </w:rPr>
        </w:r>
        <w:r w:rsidR="00ED0985">
          <w:rPr>
            <w:webHidden/>
          </w:rPr>
          <w:fldChar w:fldCharType="separate"/>
        </w:r>
        <w:r w:rsidR="00ED0985">
          <w:rPr>
            <w:webHidden/>
          </w:rPr>
          <w:t>8</w:t>
        </w:r>
        <w:r w:rsidR="00ED0985">
          <w:rPr>
            <w:webHidden/>
          </w:rPr>
          <w:fldChar w:fldCharType="end"/>
        </w:r>
      </w:hyperlink>
    </w:p>
    <w:p w14:paraId="33F272A8" w14:textId="356FAF4A" w:rsidR="00ED0985" w:rsidRDefault="000F3BC3">
      <w:pPr>
        <w:pStyle w:val="TOC2"/>
        <w:rPr>
          <w:rFonts w:eastAsiaTheme="minorEastAsia"/>
          <w:kern w:val="2"/>
          <w:lang w:eastAsia="en-GB"/>
          <w14:ligatures w14:val="standardContextual"/>
        </w:rPr>
      </w:pPr>
      <w:hyperlink w:anchor="_Toc142395800" w:history="1">
        <w:r w:rsidR="00ED0985" w:rsidRPr="00E362D7">
          <w:rPr>
            <w:rStyle w:val="Hyperlink"/>
          </w:rPr>
          <w:t>3.3 Hospitality and entertainment</w:t>
        </w:r>
        <w:r w:rsidR="00ED0985">
          <w:rPr>
            <w:webHidden/>
          </w:rPr>
          <w:tab/>
        </w:r>
        <w:r w:rsidR="00ED0985">
          <w:rPr>
            <w:webHidden/>
          </w:rPr>
          <w:fldChar w:fldCharType="begin"/>
        </w:r>
        <w:r w:rsidR="00ED0985">
          <w:rPr>
            <w:webHidden/>
          </w:rPr>
          <w:instrText xml:space="preserve"> PAGEREF _Toc142395800 \h </w:instrText>
        </w:r>
        <w:r w:rsidR="00ED0985">
          <w:rPr>
            <w:webHidden/>
          </w:rPr>
        </w:r>
        <w:r w:rsidR="00ED0985">
          <w:rPr>
            <w:webHidden/>
          </w:rPr>
          <w:fldChar w:fldCharType="separate"/>
        </w:r>
        <w:r w:rsidR="00ED0985">
          <w:rPr>
            <w:webHidden/>
          </w:rPr>
          <w:t>9</w:t>
        </w:r>
        <w:r w:rsidR="00ED0985">
          <w:rPr>
            <w:webHidden/>
          </w:rPr>
          <w:fldChar w:fldCharType="end"/>
        </w:r>
      </w:hyperlink>
    </w:p>
    <w:p w14:paraId="77256D0C" w14:textId="22949D5A" w:rsidR="00ED0985" w:rsidRDefault="000F3BC3">
      <w:pPr>
        <w:pStyle w:val="TOC2"/>
        <w:rPr>
          <w:rFonts w:eastAsiaTheme="minorEastAsia"/>
          <w:kern w:val="2"/>
          <w:lang w:eastAsia="en-GB"/>
          <w14:ligatures w14:val="standardContextual"/>
        </w:rPr>
      </w:pPr>
      <w:hyperlink w:anchor="_Toc142395801" w:history="1">
        <w:r w:rsidR="00ED0985" w:rsidRPr="00E362D7">
          <w:rPr>
            <w:rStyle w:val="Hyperlink"/>
          </w:rPr>
          <w:t>3.4 External consultancy</w:t>
        </w:r>
        <w:r w:rsidR="00ED0985">
          <w:rPr>
            <w:webHidden/>
          </w:rPr>
          <w:tab/>
        </w:r>
        <w:r w:rsidR="00ED0985">
          <w:rPr>
            <w:webHidden/>
          </w:rPr>
          <w:fldChar w:fldCharType="begin"/>
        </w:r>
        <w:r w:rsidR="00ED0985">
          <w:rPr>
            <w:webHidden/>
          </w:rPr>
          <w:instrText xml:space="preserve"> PAGEREF _Toc142395801 \h </w:instrText>
        </w:r>
        <w:r w:rsidR="00ED0985">
          <w:rPr>
            <w:webHidden/>
          </w:rPr>
        </w:r>
        <w:r w:rsidR="00ED0985">
          <w:rPr>
            <w:webHidden/>
          </w:rPr>
          <w:fldChar w:fldCharType="separate"/>
        </w:r>
        <w:r w:rsidR="00ED0985">
          <w:rPr>
            <w:webHidden/>
          </w:rPr>
          <w:t>10</w:t>
        </w:r>
        <w:r w:rsidR="00ED0985">
          <w:rPr>
            <w:webHidden/>
          </w:rPr>
          <w:fldChar w:fldCharType="end"/>
        </w:r>
      </w:hyperlink>
    </w:p>
    <w:p w14:paraId="71D55347" w14:textId="608B3B8B" w:rsidR="00ED0985" w:rsidRDefault="000F3BC3">
      <w:pPr>
        <w:pStyle w:val="TOC2"/>
        <w:rPr>
          <w:rFonts w:eastAsiaTheme="minorEastAsia"/>
          <w:kern w:val="2"/>
          <w:lang w:eastAsia="en-GB"/>
          <w14:ligatures w14:val="standardContextual"/>
        </w:rPr>
      </w:pPr>
      <w:hyperlink w:anchor="_Toc142395802" w:history="1">
        <w:r w:rsidR="00ED0985" w:rsidRPr="00E362D7">
          <w:rPr>
            <w:rStyle w:val="Hyperlink"/>
          </w:rPr>
          <w:t>3.5 Payments in excess of £25,000</w:t>
        </w:r>
        <w:r w:rsidR="00ED0985">
          <w:rPr>
            <w:webHidden/>
          </w:rPr>
          <w:tab/>
        </w:r>
        <w:r w:rsidR="00ED0985">
          <w:rPr>
            <w:webHidden/>
          </w:rPr>
          <w:fldChar w:fldCharType="begin"/>
        </w:r>
        <w:r w:rsidR="00ED0985">
          <w:rPr>
            <w:webHidden/>
          </w:rPr>
          <w:instrText xml:space="preserve"> PAGEREF _Toc142395802 \h </w:instrText>
        </w:r>
        <w:r w:rsidR="00ED0985">
          <w:rPr>
            <w:webHidden/>
          </w:rPr>
        </w:r>
        <w:r w:rsidR="00ED0985">
          <w:rPr>
            <w:webHidden/>
          </w:rPr>
          <w:fldChar w:fldCharType="separate"/>
        </w:r>
        <w:r w:rsidR="00ED0985">
          <w:rPr>
            <w:webHidden/>
          </w:rPr>
          <w:t>11</w:t>
        </w:r>
        <w:r w:rsidR="00ED0985">
          <w:rPr>
            <w:webHidden/>
          </w:rPr>
          <w:fldChar w:fldCharType="end"/>
        </w:r>
      </w:hyperlink>
    </w:p>
    <w:p w14:paraId="1FE8B69E" w14:textId="0E2849FE" w:rsidR="00ED0985" w:rsidRDefault="000F3BC3">
      <w:pPr>
        <w:pStyle w:val="TOC1"/>
        <w:tabs>
          <w:tab w:val="left" w:pos="440"/>
          <w:tab w:val="right" w:leader="dot" w:pos="9628"/>
        </w:tabs>
        <w:rPr>
          <w:rFonts w:eastAsiaTheme="minorEastAsia"/>
          <w:b w:val="0"/>
          <w:noProof/>
          <w:color w:val="auto"/>
          <w:kern w:val="2"/>
          <w:sz w:val="22"/>
          <w:lang w:eastAsia="en-GB"/>
          <w14:ligatures w14:val="standardContextual"/>
        </w:rPr>
      </w:pPr>
      <w:hyperlink w:anchor="_Toc142395803" w:history="1">
        <w:r w:rsidR="00ED0985" w:rsidRPr="00E362D7">
          <w:rPr>
            <w:rStyle w:val="Hyperlink"/>
            <w:noProof/>
          </w:rPr>
          <w:t>4.</w:t>
        </w:r>
        <w:r w:rsidR="00ED0985">
          <w:rPr>
            <w:rFonts w:eastAsiaTheme="minorEastAsia"/>
            <w:b w:val="0"/>
            <w:noProof/>
            <w:color w:val="auto"/>
            <w:kern w:val="2"/>
            <w:sz w:val="22"/>
            <w:lang w:eastAsia="en-GB"/>
            <w14:ligatures w14:val="standardContextual"/>
          </w:rPr>
          <w:tab/>
        </w:r>
        <w:r w:rsidR="00ED0985" w:rsidRPr="00E362D7">
          <w:rPr>
            <w:rStyle w:val="Hyperlink"/>
            <w:noProof/>
          </w:rPr>
          <w:t>Remuneration</w:t>
        </w:r>
        <w:r w:rsidR="00ED0985">
          <w:rPr>
            <w:noProof/>
            <w:webHidden/>
          </w:rPr>
          <w:tab/>
        </w:r>
        <w:r w:rsidR="00ED0985">
          <w:rPr>
            <w:noProof/>
            <w:webHidden/>
          </w:rPr>
          <w:fldChar w:fldCharType="begin"/>
        </w:r>
        <w:r w:rsidR="00ED0985">
          <w:rPr>
            <w:noProof/>
            <w:webHidden/>
          </w:rPr>
          <w:instrText xml:space="preserve"> PAGEREF _Toc142395803 \h </w:instrText>
        </w:r>
        <w:r w:rsidR="00ED0985">
          <w:rPr>
            <w:noProof/>
            <w:webHidden/>
          </w:rPr>
        </w:r>
        <w:r w:rsidR="00ED0985">
          <w:rPr>
            <w:noProof/>
            <w:webHidden/>
          </w:rPr>
          <w:fldChar w:fldCharType="separate"/>
        </w:r>
        <w:r w:rsidR="00ED0985">
          <w:rPr>
            <w:noProof/>
            <w:webHidden/>
          </w:rPr>
          <w:t>12</w:t>
        </w:r>
        <w:r w:rsidR="00ED0985">
          <w:rPr>
            <w:noProof/>
            <w:webHidden/>
          </w:rPr>
          <w:fldChar w:fldCharType="end"/>
        </w:r>
      </w:hyperlink>
    </w:p>
    <w:p w14:paraId="303CEB3F" w14:textId="3DB28D90" w:rsidR="00450C94" w:rsidRDefault="00ED0985" w:rsidP="00805421">
      <w:pPr>
        <w:jc w:val="both"/>
      </w:pPr>
      <w:r>
        <w:fldChar w:fldCharType="end"/>
      </w:r>
    </w:p>
    <w:p w14:paraId="0E52021B" w14:textId="0AD02A81" w:rsidR="00450C94" w:rsidRDefault="00450C94" w:rsidP="00805421">
      <w:pPr>
        <w:jc w:val="both"/>
      </w:pPr>
    </w:p>
    <w:p w14:paraId="6EFB57E6" w14:textId="2D93C6CB" w:rsidR="00450C94" w:rsidRDefault="00450C94" w:rsidP="00805421">
      <w:pPr>
        <w:jc w:val="both"/>
      </w:pPr>
    </w:p>
    <w:p w14:paraId="193E35E9" w14:textId="27E9BD81" w:rsidR="00450C94" w:rsidRDefault="00450C94" w:rsidP="00805421">
      <w:pPr>
        <w:jc w:val="both"/>
      </w:pPr>
    </w:p>
    <w:p w14:paraId="4D17D53B" w14:textId="10058F04" w:rsidR="00450C94" w:rsidRDefault="00450C94" w:rsidP="00805421">
      <w:pPr>
        <w:jc w:val="both"/>
      </w:pPr>
    </w:p>
    <w:p w14:paraId="404C3E0E" w14:textId="0159173B" w:rsidR="00450C94" w:rsidRDefault="00450C94" w:rsidP="00805421">
      <w:pPr>
        <w:jc w:val="both"/>
      </w:pPr>
    </w:p>
    <w:p w14:paraId="51DCD5B9" w14:textId="7668201C" w:rsidR="00450C94" w:rsidRDefault="00450C94" w:rsidP="00805421">
      <w:pPr>
        <w:jc w:val="both"/>
      </w:pPr>
    </w:p>
    <w:p w14:paraId="13A4C364" w14:textId="02088ACE" w:rsidR="00450C94" w:rsidRDefault="00450C94" w:rsidP="00805421">
      <w:pPr>
        <w:jc w:val="both"/>
      </w:pPr>
    </w:p>
    <w:p w14:paraId="1CC1B776" w14:textId="5355E5E7" w:rsidR="00450C94" w:rsidRDefault="00450C94" w:rsidP="00805421">
      <w:pPr>
        <w:jc w:val="both"/>
      </w:pPr>
    </w:p>
    <w:p w14:paraId="2161B499" w14:textId="468EA5B9" w:rsidR="00450C94" w:rsidRDefault="00450C94" w:rsidP="00805421">
      <w:pPr>
        <w:jc w:val="both"/>
      </w:pPr>
    </w:p>
    <w:p w14:paraId="697891AE" w14:textId="5492B016" w:rsidR="00450C94" w:rsidRDefault="00450C94" w:rsidP="00805421">
      <w:pPr>
        <w:jc w:val="both"/>
      </w:pPr>
    </w:p>
    <w:p w14:paraId="1A7A1CCD" w14:textId="7E48C929" w:rsidR="00450C94" w:rsidRDefault="00450C94" w:rsidP="00805421">
      <w:pPr>
        <w:jc w:val="both"/>
      </w:pPr>
    </w:p>
    <w:p w14:paraId="495A33D6" w14:textId="48F4B931" w:rsidR="00450C94" w:rsidRDefault="00450C94" w:rsidP="00805421">
      <w:pPr>
        <w:jc w:val="both"/>
      </w:pPr>
    </w:p>
    <w:p w14:paraId="6F71679C" w14:textId="66EFC0A6" w:rsidR="00450C94" w:rsidRDefault="00450C94" w:rsidP="00805421">
      <w:pPr>
        <w:jc w:val="both"/>
      </w:pPr>
    </w:p>
    <w:p w14:paraId="16BE8157" w14:textId="56457934" w:rsidR="00450C94" w:rsidRDefault="00450C94" w:rsidP="00805421">
      <w:pPr>
        <w:jc w:val="both"/>
      </w:pPr>
    </w:p>
    <w:p w14:paraId="4247AC76" w14:textId="787A2130" w:rsidR="00450C94" w:rsidRDefault="00450C94" w:rsidP="00805421">
      <w:pPr>
        <w:jc w:val="both"/>
      </w:pPr>
    </w:p>
    <w:p w14:paraId="00583876" w14:textId="14CFF661" w:rsidR="00450C94" w:rsidRDefault="00450C94" w:rsidP="00805421">
      <w:pPr>
        <w:jc w:val="both"/>
      </w:pPr>
    </w:p>
    <w:p w14:paraId="092BA3A2" w14:textId="7FAC68A9" w:rsidR="00450C94" w:rsidRDefault="00450C94" w:rsidP="00805421">
      <w:pPr>
        <w:jc w:val="both"/>
      </w:pPr>
    </w:p>
    <w:p w14:paraId="143807AB" w14:textId="72EFCB85" w:rsidR="00450C94" w:rsidRDefault="00450C94" w:rsidP="00805421">
      <w:pPr>
        <w:jc w:val="both"/>
      </w:pPr>
    </w:p>
    <w:p w14:paraId="582F31E5" w14:textId="6BCBE1B0" w:rsidR="007E7292" w:rsidRPr="00987B8C" w:rsidRDefault="007E7292" w:rsidP="00ED0985">
      <w:pPr>
        <w:pStyle w:val="Heading10"/>
      </w:pPr>
      <w:bookmarkStart w:id="0" w:name="_Toc142395794"/>
      <w:r w:rsidRPr="00987B8C">
        <w:lastRenderedPageBreak/>
        <w:t>Introduction</w:t>
      </w:r>
      <w:bookmarkEnd w:id="0"/>
    </w:p>
    <w:p w14:paraId="52395167" w14:textId="75C6F485" w:rsidR="001E0B4D" w:rsidRDefault="001E0B4D" w:rsidP="001E0B4D">
      <w:pPr>
        <w:pStyle w:val="Bullet1"/>
        <w:numPr>
          <w:ilvl w:val="0"/>
          <w:numId w:val="0"/>
        </w:numPr>
      </w:pPr>
      <w:r w:rsidRPr="001E0B4D">
        <w:t>Part 3 of the Public Services Reform (Scotland) Act 2010</w:t>
      </w:r>
      <w:r>
        <w:t xml:space="preserve"> (PSRA)</w:t>
      </w:r>
      <w:r w:rsidRPr="001E0B4D">
        <w:t xml:space="preserve"> imposes duties on the Scottish Government and listed public bodies to publish information as soon as is reasonably practicable after the end of each financial year. These duties came into force on 1 October 2010. The duties in Part 3 of the 2010 Act are intended to promote greater openness and transparency.</w:t>
      </w:r>
    </w:p>
    <w:p w14:paraId="75614891" w14:textId="77777777" w:rsidR="001E0B4D" w:rsidRDefault="001E0B4D" w:rsidP="001E0B4D">
      <w:pPr>
        <w:pStyle w:val="Bullet1"/>
        <w:numPr>
          <w:ilvl w:val="0"/>
          <w:numId w:val="0"/>
        </w:numPr>
      </w:pPr>
    </w:p>
    <w:p w14:paraId="2F8EDE29" w14:textId="06D78305" w:rsidR="001E0B4D" w:rsidRDefault="001E0B4D" w:rsidP="001E0B4D">
      <w:pPr>
        <w:pStyle w:val="Bullet1"/>
        <w:numPr>
          <w:ilvl w:val="0"/>
          <w:numId w:val="0"/>
        </w:numPr>
      </w:pPr>
      <w:r>
        <w:t xml:space="preserve">This document details the information the Water Industry Commission for Scotland (WICS) is required to publish as prescribed in the PSRA. It has been compiled with reference to the guidance issued by Scottish Government. </w:t>
      </w:r>
    </w:p>
    <w:p w14:paraId="76412D9D" w14:textId="77777777" w:rsidR="001E0B4D" w:rsidRDefault="001E0B4D" w:rsidP="001E0B4D">
      <w:pPr>
        <w:pStyle w:val="Bullet1"/>
        <w:numPr>
          <w:ilvl w:val="0"/>
          <w:numId w:val="0"/>
        </w:numPr>
      </w:pPr>
    </w:p>
    <w:p w14:paraId="25DE2D92" w14:textId="7A16229B" w:rsidR="007E7292" w:rsidRPr="00C55970" w:rsidRDefault="001E0B4D" w:rsidP="00C55970">
      <w:pPr>
        <w:pStyle w:val="Bullet1"/>
        <w:numPr>
          <w:ilvl w:val="0"/>
          <w:numId w:val="0"/>
        </w:numPr>
      </w:pPr>
      <w:r>
        <w:t xml:space="preserve">Further information on the work of WICS can be found on its </w:t>
      </w:r>
      <w:hyperlink r:id="rId15" w:history="1">
        <w:r w:rsidR="00AD3DE3">
          <w:rPr>
            <w:rStyle w:val="Hyperlink"/>
          </w:rPr>
          <w:t>website</w:t>
        </w:r>
      </w:hyperlink>
      <w:r>
        <w:t>.</w:t>
      </w:r>
      <w:r w:rsidR="00C55970">
        <w:t xml:space="preserve"> Further information on WICS’ activities and full audited financial information can be found in the annual report and accounts.</w:t>
      </w:r>
      <w:r w:rsidR="007E7292">
        <w:br w:type="page"/>
      </w:r>
    </w:p>
    <w:p w14:paraId="68E0B068" w14:textId="2F3635AA" w:rsidR="007E7292" w:rsidRPr="00ED0985" w:rsidRDefault="007E7292" w:rsidP="00ED0985">
      <w:pPr>
        <w:pStyle w:val="Heading10"/>
        <w:numPr>
          <w:ilvl w:val="0"/>
          <w:numId w:val="23"/>
        </w:numPr>
      </w:pPr>
      <w:bookmarkStart w:id="1" w:name="_Toc142395795"/>
      <w:r w:rsidRPr="00ED0985">
        <w:lastRenderedPageBreak/>
        <w:t xml:space="preserve">Steps to promote sustainable </w:t>
      </w:r>
      <w:proofErr w:type="gramStart"/>
      <w:r w:rsidRPr="00ED0985">
        <w:t>growth</w:t>
      </w:r>
      <w:bookmarkEnd w:id="1"/>
      <w:proofErr w:type="gramEnd"/>
    </w:p>
    <w:p w14:paraId="2942CA3C" w14:textId="377E961C" w:rsidR="00412839" w:rsidRDefault="00412839" w:rsidP="00412839">
      <w:pPr>
        <w:pStyle w:val="Heading1"/>
        <w:numPr>
          <w:ilvl w:val="0"/>
          <w:numId w:val="0"/>
        </w:numPr>
        <w:spacing w:line="240" w:lineRule="auto"/>
        <w:jc w:val="both"/>
        <w:rPr>
          <w:rFonts w:asciiTheme="minorHAnsi" w:hAnsiTheme="minorHAnsi" w:cstheme="minorHAnsi"/>
          <w:color w:val="000000" w:themeColor="text1"/>
          <w:spacing w:val="0"/>
          <w:sz w:val="24"/>
          <w:szCs w:val="20"/>
        </w:rPr>
      </w:pPr>
      <w:r w:rsidRPr="00412839">
        <w:rPr>
          <w:rFonts w:asciiTheme="minorHAnsi" w:hAnsiTheme="minorHAnsi" w:cstheme="minorHAnsi"/>
          <w:color w:val="000000" w:themeColor="text1"/>
          <w:spacing w:val="0"/>
          <w:sz w:val="24"/>
          <w:szCs w:val="20"/>
        </w:rPr>
        <w:t xml:space="preserve">Section 32 (1)(a) </w:t>
      </w:r>
      <w:r>
        <w:rPr>
          <w:rFonts w:asciiTheme="minorHAnsi" w:hAnsiTheme="minorHAnsi" w:cstheme="minorHAnsi"/>
          <w:color w:val="000000" w:themeColor="text1"/>
          <w:spacing w:val="0"/>
          <w:sz w:val="24"/>
          <w:szCs w:val="20"/>
        </w:rPr>
        <w:t xml:space="preserve">of the PSRA </w:t>
      </w:r>
      <w:r w:rsidRPr="00412839">
        <w:rPr>
          <w:rFonts w:asciiTheme="minorHAnsi" w:hAnsiTheme="minorHAnsi" w:cstheme="minorHAnsi"/>
          <w:color w:val="000000" w:themeColor="text1"/>
          <w:spacing w:val="0"/>
          <w:sz w:val="24"/>
          <w:szCs w:val="20"/>
        </w:rPr>
        <w:t>provides that each listed public body must publish a statement of the steps it has taken to promote and increase sustainable growth through the exercise of its functions.</w:t>
      </w:r>
    </w:p>
    <w:p w14:paraId="2A93713D" w14:textId="35730AB9" w:rsidR="00D51448" w:rsidRPr="003E639D" w:rsidRDefault="00D51448" w:rsidP="008A15D9">
      <w:pPr>
        <w:autoSpaceDE w:val="0"/>
        <w:autoSpaceDN w:val="0"/>
        <w:adjustRightInd w:val="0"/>
        <w:spacing w:line="240" w:lineRule="auto"/>
      </w:pPr>
      <w:r w:rsidRPr="00D51448">
        <w:rPr>
          <w:color w:val="5F7577" w:themeColor="accent2"/>
          <w:sz w:val="32"/>
          <w:szCs w:val="28"/>
        </w:rPr>
        <w:t>Our role</w:t>
      </w:r>
      <w:r w:rsidRPr="00D51448">
        <w:rPr>
          <w:rFonts w:cstheme="minorHAnsi"/>
          <w:color w:val="000000" w:themeColor="text1"/>
          <w:szCs w:val="20"/>
        </w:rPr>
        <w:br/>
      </w:r>
      <w:r w:rsidRPr="003E639D">
        <w:t xml:space="preserve">As the economic regulator of the Scottish water and sewerage industry, </w:t>
      </w:r>
      <w:r w:rsidR="008A15D9" w:rsidRPr="003E639D">
        <w:t>WICS</w:t>
      </w:r>
      <w:r w:rsidRPr="003E639D">
        <w:t xml:space="preserve"> has a statutory duty to promote the interests of current and future consumers and business customers. </w:t>
      </w:r>
      <w:r w:rsidR="00AD3DE3" w:rsidRPr="003E639D">
        <w:t>WICS does</w:t>
      </w:r>
      <w:r w:rsidRPr="003E639D">
        <w:t xml:space="preserve"> this by incentivising Scottish Water to maintain stable prices that are as low as reasonably practicable, by insisting on better service and by facilitating greater value and choice through the competitive retail framework.</w:t>
      </w:r>
    </w:p>
    <w:p w14:paraId="756C042E" w14:textId="77777777" w:rsidR="00D51448" w:rsidRPr="003E639D" w:rsidRDefault="00D51448" w:rsidP="00D51448">
      <w:pPr>
        <w:autoSpaceDE w:val="0"/>
        <w:autoSpaceDN w:val="0"/>
        <w:adjustRightInd w:val="0"/>
        <w:spacing w:line="240" w:lineRule="auto"/>
        <w:jc w:val="both"/>
      </w:pPr>
    </w:p>
    <w:p w14:paraId="6EC3D004" w14:textId="5EB997FA" w:rsidR="00D51448" w:rsidRPr="003E639D" w:rsidRDefault="00D51448" w:rsidP="00D51448">
      <w:pPr>
        <w:autoSpaceDE w:val="0"/>
        <w:autoSpaceDN w:val="0"/>
        <w:adjustRightInd w:val="0"/>
        <w:spacing w:line="240" w:lineRule="auto"/>
        <w:jc w:val="both"/>
      </w:pPr>
      <w:r w:rsidRPr="003E639D">
        <w:t>Our obligation to advocate the interests of customers in Scotland is accomplished mainly through our implementation of the Strategic Review of Charges (</w:t>
      </w:r>
      <w:r w:rsidR="00AD3DE3" w:rsidRPr="003E639D">
        <w:t>SRC</w:t>
      </w:r>
      <w:r w:rsidRPr="003E639D">
        <w:t xml:space="preserve">). This process ensures that Scottish Water’s charges are effectively regulated resulting in the best possible outcomes for customers and communities whilst allowing for Scottish Water to deliver the objectives set by Scottish Ministers for the water industry at the lowest reasonable overall cost. </w:t>
      </w:r>
    </w:p>
    <w:p w14:paraId="69102502" w14:textId="77777777" w:rsidR="00D51448" w:rsidRPr="00D51448" w:rsidRDefault="00D51448" w:rsidP="00D51448">
      <w:pPr>
        <w:autoSpaceDE w:val="0"/>
        <w:autoSpaceDN w:val="0"/>
        <w:adjustRightInd w:val="0"/>
        <w:spacing w:line="240" w:lineRule="auto"/>
        <w:jc w:val="both"/>
        <w:rPr>
          <w:rFonts w:cstheme="minorHAnsi"/>
          <w:color w:val="000000" w:themeColor="text1"/>
          <w:szCs w:val="20"/>
        </w:rPr>
      </w:pPr>
    </w:p>
    <w:p w14:paraId="2B68ABCC" w14:textId="77777777" w:rsidR="00D51448" w:rsidRPr="00D51448" w:rsidRDefault="00D51448" w:rsidP="00D51448">
      <w:pPr>
        <w:autoSpaceDE w:val="0"/>
        <w:autoSpaceDN w:val="0"/>
        <w:adjustRightInd w:val="0"/>
        <w:spacing w:line="240" w:lineRule="auto"/>
        <w:rPr>
          <w:color w:val="5F7577" w:themeColor="accent2"/>
          <w:sz w:val="32"/>
          <w:szCs w:val="28"/>
        </w:rPr>
      </w:pPr>
      <w:r w:rsidRPr="00D51448">
        <w:rPr>
          <w:color w:val="5F7577" w:themeColor="accent2"/>
          <w:sz w:val="32"/>
          <w:szCs w:val="28"/>
        </w:rPr>
        <w:t>Ensuring a sustainable and resilient water industry</w:t>
      </w:r>
    </w:p>
    <w:p w14:paraId="7E8FCD65" w14:textId="3968D90C" w:rsidR="0010323C" w:rsidRPr="004544B1" w:rsidRDefault="0010323C" w:rsidP="004544B1">
      <w:pPr>
        <w:autoSpaceDE w:val="0"/>
        <w:autoSpaceDN w:val="0"/>
        <w:adjustRightInd w:val="0"/>
        <w:spacing w:line="240" w:lineRule="auto"/>
        <w:jc w:val="both"/>
      </w:pPr>
      <w:r>
        <w:t>To achieve a water sector that is sustainable in the long term requires Scottish Water to take ownership: doing the right thing for customers and communities, at the right time, and for the right reasons. WICS’ role is to put in place a regulatory framework that enables Scottish Water to do this.</w:t>
      </w:r>
      <w:r w:rsidR="003E639D">
        <w:t xml:space="preserve"> </w:t>
      </w:r>
      <w:r>
        <w:t>WICS must also ensure that Scottish Water is appropriately funded to protect service levels for customers today and in future generations. Investment will need to be appropriately targeted and timeous if the sector is to achieve and sustain net zero emissions.</w:t>
      </w:r>
    </w:p>
    <w:p w14:paraId="22372356" w14:textId="77777777" w:rsidR="0010323C" w:rsidRPr="0010323C" w:rsidRDefault="0010323C" w:rsidP="0010323C">
      <w:pPr>
        <w:autoSpaceDE w:val="0"/>
        <w:autoSpaceDN w:val="0"/>
        <w:adjustRightInd w:val="0"/>
        <w:spacing w:line="240" w:lineRule="auto"/>
        <w:jc w:val="both"/>
        <w:rPr>
          <w:rFonts w:cstheme="minorHAnsi"/>
          <w:color w:val="000000" w:themeColor="text1"/>
          <w:szCs w:val="20"/>
        </w:rPr>
      </w:pPr>
    </w:p>
    <w:p w14:paraId="6D17CC2D" w14:textId="77777777" w:rsidR="00D51448" w:rsidRPr="00D51448" w:rsidRDefault="00D51448" w:rsidP="00D51448">
      <w:pPr>
        <w:autoSpaceDE w:val="0"/>
        <w:autoSpaceDN w:val="0"/>
        <w:adjustRightInd w:val="0"/>
        <w:spacing w:line="240" w:lineRule="auto"/>
        <w:rPr>
          <w:color w:val="5F7577" w:themeColor="accent2"/>
          <w:sz w:val="32"/>
          <w:szCs w:val="28"/>
        </w:rPr>
      </w:pPr>
      <w:r w:rsidRPr="00D51448">
        <w:rPr>
          <w:color w:val="5F7577" w:themeColor="accent2"/>
          <w:sz w:val="32"/>
          <w:szCs w:val="28"/>
        </w:rPr>
        <w:t>Developing our regulatory approach</w:t>
      </w:r>
    </w:p>
    <w:p w14:paraId="503D33DF" w14:textId="14A7A161" w:rsidR="0010323C" w:rsidRPr="00800A03" w:rsidRDefault="0010323C" w:rsidP="0010323C">
      <w:pPr>
        <w:pStyle w:val="Bullet1"/>
        <w:numPr>
          <w:ilvl w:val="0"/>
          <w:numId w:val="0"/>
        </w:numPr>
        <w:rPr>
          <w:color w:val="auto"/>
        </w:rPr>
      </w:pPr>
      <w:r w:rsidRPr="00800A03">
        <w:rPr>
          <w:color w:val="auto"/>
        </w:rPr>
        <w:t xml:space="preserve">This year was the second year covered by </w:t>
      </w:r>
      <w:r w:rsidR="001C7285">
        <w:rPr>
          <w:color w:val="auto"/>
        </w:rPr>
        <w:t>WICS’</w:t>
      </w:r>
      <w:r w:rsidRPr="00800A03">
        <w:rPr>
          <w:color w:val="auto"/>
        </w:rPr>
        <w:t xml:space="preserve"> final determination for the 2021-27 regulatory control period, which was published in December 2020. </w:t>
      </w:r>
      <w:r w:rsidRPr="008030EE">
        <w:rPr>
          <w:color w:val="auto"/>
        </w:rPr>
        <w:t xml:space="preserve">It considered the Ministers’ final objectives for the industry and their Principles of Charging and allowed for the investment necessary to improve water quality and the environment further, and to support economic growth. The determination also outlined the need for a long-term, </w:t>
      </w:r>
      <w:proofErr w:type="gramStart"/>
      <w:r w:rsidRPr="008030EE">
        <w:rPr>
          <w:color w:val="auto"/>
        </w:rPr>
        <w:t>sustainable</w:t>
      </w:r>
      <w:proofErr w:type="gramEnd"/>
      <w:r w:rsidRPr="008030EE">
        <w:rPr>
          <w:color w:val="auto"/>
        </w:rPr>
        <w:t xml:space="preserve"> and innovative approach to replacing Scottish Water’s assets.</w:t>
      </w:r>
      <w:r w:rsidRPr="00800A03">
        <w:rPr>
          <w:color w:val="auto"/>
        </w:rPr>
        <w:t xml:space="preserve"> </w:t>
      </w:r>
    </w:p>
    <w:p w14:paraId="56FBC82E" w14:textId="77777777" w:rsidR="0010323C" w:rsidRDefault="0010323C" w:rsidP="0010323C">
      <w:pPr>
        <w:pStyle w:val="Bullet1"/>
        <w:numPr>
          <w:ilvl w:val="0"/>
          <w:numId w:val="0"/>
        </w:numPr>
        <w:rPr>
          <w:color w:val="auto"/>
        </w:rPr>
      </w:pPr>
    </w:p>
    <w:p w14:paraId="143B6235" w14:textId="362E4919" w:rsidR="0010323C" w:rsidRDefault="0010323C" w:rsidP="0010323C">
      <w:pPr>
        <w:pStyle w:val="Bullet1"/>
        <w:numPr>
          <w:ilvl w:val="0"/>
          <w:numId w:val="0"/>
        </w:numPr>
        <w:rPr>
          <w:color w:val="auto"/>
        </w:rPr>
      </w:pPr>
      <w:r>
        <w:rPr>
          <w:color w:val="auto"/>
        </w:rPr>
        <w:t xml:space="preserve">In SRC 21-27 WICS recognised that levels of investment would have to increase significantly over the next two decades if the industry were to replace its aging assets and maintain levels of service in the face of climate change. As such, </w:t>
      </w:r>
      <w:r w:rsidR="001C7285">
        <w:rPr>
          <w:color w:val="auto"/>
        </w:rPr>
        <w:t>WICS</w:t>
      </w:r>
      <w:r>
        <w:rPr>
          <w:color w:val="auto"/>
        </w:rPr>
        <w:t xml:space="preserve"> set out </w:t>
      </w:r>
      <w:r w:rsidR="001C7285">
        <w:rPr>
          <w:color w:val="auto"/>
        </w:rPr>
        <w:t>the</w:t>
      </w:r>
      <w:r>
        <w:rPr>
          <w:color w:val="auto"/>
        </w:rPr>
        <w:t xml:space="preserve"> expectation that Scottish Water take ownership of a clear, well-defined strategy that covers what it plans to achieve in the short, </w:t>
      </w:r>
      <w:proofErr w:type="gramStart"/>
      <w:r>
        <w:rPr>
          <w:color w:val="auto"/>
        </w:rPr>
        <w:t>medium</w:t>
      </w:r>
      <w:proofErr w:type="gramEnd"/>
      <w:r>
        <w:rPr>
          <w:color w:val="auto"/>
        </w:rPr>
        <w:t xml:space="preserve"> and long term. Specifically, WICS expected Scottish Water to provide a clear picture of the future investment that could be required and an assessment of the likelihood and timing of this investment.  </w:t>
      </w:r>
    </w:p>
    <w:p w14:paraId="45334865" w14:textId="77777777" w:rsidR="0010323C" w:rsidRDefault="0010323C" w:rsidP="0010323C">
      <w:pPr>
        <w:pStyle w:val="Bullet1"/>
        <w:numPr>
          <w:ilvl w:val="0"/>
          <w:numId w:val="0"/>
        </w:numPr>
        <w:rPr>
          <w:color w:val="auto"/>
        </w:rPr>
      </w:pPr>
    </w:p>
    <w:p w14:paraId="042290D3" w14:textId="445C6E1E" w:rsidR="001C7285" w:rsidRPr="003E639D" w:rsidRDefault="0010323C" w:rsidP="003E639D">
      <w:pPr>
        <w:pStyle w:val="Bullet1"/>
        <w:numPr>
          <w:ilvl w:val="0"/>
          <w:numId w:val="0"/>
        </w:numPr>
        <w:rPr>
          <w:color w:val="auto"/>
        </w:rPr>
      </w:pPr>
      <w:r>
        <w:rPr>
          <w:color w:val="auto"/>
        </w:rPr>
        <w:lastRenderedPageBreak/>
        <w:t>Throughout the SRC21</w:t>
      </w:r>
      <w:r w:rsidR="008E1F18">
        <w:rPr>
          <w:color w:val="auto"/>
        </w:rPr>
        <w:t>-27</w:t>
      </w:r>
      <w:r>
        <w:rPr>
          <w:color w:val="auto"/>
        </w:rPr>
        <w:t xml:space="preserve"> process, the industry recognised that addressing future challenges would involve a significant transformation of Scottish Water’s business including taking early steps to develop the required organisational capabilities to prepare its strategy.  This year, </w:t>
      </w:r>
      <w:r w:rsidR="001C7285">
        <w:rPr>
          <w:color w:val="auto"/>
        </w:rPr>
        <w:t>WICS</w:t>
      </w:r>
      <w:r>
        <w:rPr>
          <w:color w:val="auto"/>
        </w:rPr>
        <w:t xml:space="preserve"> continued to work with Scottish Water as it begins to take some of the initial steps to transform its business.  </w:t>
      </w:r>
      <w:r w:rsidR="001C7285">
        <w:t>During 2022-23, the focus</w:t>
      </w:r>
      <w:r w:rsidR="001C7285" w:rsidRPr="00D93371">
        <w:t xml:space="preserve"> has been</w:t>
      </w:r>
      <w:r w:rsidR="001C7285">
        <w:t xml:space="preserve"> on developing our approach for the next </w:t>
      </w:r>
      <w:r w:rsidR="008E1F18">
        <w:t>SRC</w:t>
      </w:r>
      <w:r w:rsidR="001C7285">
        <w:t xml:space="preserve">.  WICS’ methodology will take account of Scottish Water’s progress on its transformation journey and aim to ensure that the industry continues towards a more sustainable future.  </w:t>
      </w:r>
    </w:p>
    <w:p w14:paraId="456180A9" w14:textId="06613899" w:rsidR="00D51448" w:rsidRPr="00D51448" w:rsidRDefault="00D51448" w:rsidP="0010323C">
      <w:pPr>
        <w:spacing w:line="240" w:lineRule="auto"/>
        <w:jc w:val="both"/>
        <w:rPr>
          <w:rFonts w:cstheme="minorHAnsi"/>
          <w:color w:val="000000" w:themeColor="text1"/>
          <w:szCs w:val="20"/>
        </w:rPr>
      </w:pPr>
    </w:p>
    <w:p w14:paraId="4891AA3C" w14:textId="77777777" w:rsidR="00D51448" w:rsidRPr="00D51448" w:rsidRDefault="00D51448" w:rsidP="00D51448">
      <w:pPr>
        <w:autoSpaceDE w:val="0"/>
        <w:autoSpaceDN w:val="0"/>
        <w:adjustRightInd w:val="0"/>
        <w:spacing w:line="240" w:lineRule="auto"/>
        <w:rPr>
          <w:rFonts w:cstheme="minorHAnsi"/>
          <w:color w:val="000000" w:themeColor="text1"/>
          <w:szCs w:val="20"/>
        </w:rPr>
      </w:pPr>
      <w:r w:rsidRPr="00D51448">
        <w:rPr>
          <w:color w:val="5F7577" w:themeColor="accent2"/>
          <w:sz w:val="32"/>
          <w:szCs w:val="28"/>
        </w:rPr>
        <w:t xml:space="preserve">Facilitating the competitive market for retail services </w:t>
      </w:r>
    </w:p>
    <w:p w14:paraId="0840528A" w14:textId="77777777" w:rsidR="00BB5011" w:rsidRDefault="00BB5011" w:rsidP="00BB5011">
      <w:r w:rsidRPr="00AE6022">
        <w:t>Following the pandemic, we initiated a process to review the financial resilience of retailers to protect the integrity of the market and making sure that it is sufficiently resilient to any future shocks.</w:t>
      </w:r>
      <w:r>
        <w:t xml:space="preserve"> The failure of energy retailers demonstrated subsequently how important ensuring the financial resilience of market participants can be.  During the year we concluded this important work with</w:t>
      </w:r>
      <w:r w:rsidRPr="00AE6022">
        <w:t xml:space="preserve"> </w:t>
      </w:r>
      <w:r>
        <w:t xml:space="preserve">all active retailers now signed up to an additional licence condition. Scottish Water has now also issued its methodology for how it will assess the financial strength of retailers moving forward.  </w:t>
      </w:r>
    </w:p>
    <w:p w14:paraId="75C40119" w14:textId="77777777" w:rsidR="00BB5011" w:rsidRDefault="00BB5011" w:rsidP="00D51448">
      <w:pPr>
        <w:autoSpaceDE w:val="0"/>
        <w:autoSpaceDN w:val="0"/>
        <w:adjustRightInd w:val="0"/>
        <w:spacing w:line="240" w:lineRule="auto"/>
        <w:rPr>
          <w:color w:val="5F7577" w:themeColor="accent2"/>
          <w:sz w:val="32"/>
          <w:szCs w:val="28"/>
        </w:rPr>
      </w:pPr>
    </w:p>
    <w:p w14:paraId="585439EC" w14:textId="0B69D2AE" w:rsidR="00D51448" w:rsidRPr="00D51448" w:rsidRDefault="00D51448" w:rsidP="00D51448">
      <w:pPr>
        <w:autoSpaceDE w:val="0"/>
        <w:autoSpaceDN w:val="0"/>
        <w:adjustRightInd w:val="0"/>
        <w:spacing w:line="240" w:lineRule="auto"/>
        <w:rPr>
          <w:color w:val="5F7577" w:themeColor="accent2"/>
          <w:sz w:val="32"/>
          <w:szCs w:val="28"/>
        </w:rPr>
      </w:pPr>
      <w:r w:rsidRPr="00D51448">
        <w:rPr>
          <w:color w:val="5F7577" w:themeColor="accent2"/>
          <w:sz w:val="32"/>
          <w:szCs w:val="28"/>
        </w:rPr>
        <w:t>World collaboration within the Water Sector</w:t>
      </w:r>
    </w:p>
    <w:p w14:paraId="2B2B6F3F" w14:textId="73D62451" w:rsidR="00D51448" w:rsidRPr="00F367EF" w:rsidRDefault="001C7285" w:rsidP="00F367EF">
      <w:r w:rsidRPr="00F367EF">
        <w:t>WICS is</w:t>
      </w:r>
      <w:r w:rsidR="00D51448" w:rsidRPr="00F367EF">
        <w:t xml:space="preserve"> taking the opportunity to share </w:t>
      </w:r>
      <w:r w:rsidRPr="00F367EF">
        <w:t>its</w:t>
      </w:r>
      <w:r w:rsidR="00D51448" w:rsidRPr="00F367EF">
        <w:t xml:space="preserve"> experience and expertise with this wider audience in line with the Scottish Government’s Hydro Nation commitments and </w:t>
      </w:r>
      <w:r w:rsidRPr="00F367EF">
        <w:t>WICS’</w:t>
      </w:r>
      <w:r w:rsidR="00D51448" w:rsidRPr="00F367EF">
        <w:t xml:space="preserve"> duties under the Water Resource Act 2013. This involves direct participation in helping develop water regulatory frameworks in other countries</w:t>
      </w:r>
      <w:r w:rsidR="00406E13" w:rsidRPr="00F367EF">
        <w:t>.</w:t>
      </w:r>
      <w:r w:rsidR="008E1F18" w:rsidRPr="00F367EF">
        <w:t xml:space="preserve"> </w:t>
      </w:r>
      <w:r w:rsidR="00D51448" w:rsidRPr="00F367EF">
        <w:t>This involvement in the Hydro Nation initiative helps ensure that we remain in touch with developments in regulatory best practice while helping support international efforts to improve the effectiveness and efficiency of water services worldwide. The work also provides invaluable experience and opportunities for staff and an exposure to alternative regulatory approaches and techniques.</w:t>
      </w:r>
    </w:p>
    <w:p w14:paraId="4C908435" w14:textId="77777777" w:rsidR="001C7285" w:rsidRPr="00F367EF" w:rsidRDefault="001C7285" w:rsidP="00F367EF"/>
    <w:p w14:paraId="56457E1A" w14:textId="6A5BACEA" w:rsidR="001C7285" w:rsidRPr="00F367EF" w:rsidRDefault="001C7285" w:rsidP="00F367EF">
      <w:r w:rsidRPr="00F367EF">
        <w:t xml:space="preserve">During the year we have continued our work with the New Zealand Government’s Department of Internal Affairs (DIA) as they prepare for the introduction of economic regulation and water reform.  We also participated in a small project to support New Zealand’s Ministry of Transport which involved examining regulatory models and their application to New Zealand’s state highway network. Other projects included supporting the Romanian regulator (ANRSC) as part of a consortium with the consultancy BDO and working with Romanian operator Apa Vital to develop its business plans and supporting regulatory information.  </w:t>
      </w:r>
    </w:p>
    <w:p w14:paraId="30E363AD" w14:textId="1F248B86" w:rsidR="007E7292" w:rsidRDefault="007E7292">
      <w:pPr>
        <w:spacing w:after="160" w:line="259" w:lineRule="auto"/>
        <w:rPr>
          <w:rFonts w:asciiTheme="majorHAnsi" w:hAnsiTheme="majorHAnsi"/>
          <w:b/>
          <w:bCs/>
          <w:caps/>
          <w:color w:val="064276" w:themeColor="text2"/>
          <w:sz w:val="28"/>
          <w:szCs w:val="24"/>
        </w:rPr>
      </w:pPr>
    </w:p>
    <w:p w14:paraId="32C75611" w14:textId="70E9A497" w:rsidR="007E7292" w:rsidRPr="00ED0985" w:rsidRDefault="007E7292" w:rsidP="00ED0985">
      <w:pPr>
        <w:pStyle w:val="Heading10"/>
        <w:numPr>
          <w:ilvl w:val="0"/>
          <w:numId w:val="23"/>
        </w:numPr>
      </w:pPr>
      <w:bookmarkStart w:id="2" w:name="_Toc142395796"/>
      <w:r w:rsidRPr="00ED0985">
        <w:lastRenderedPageBreak/>
        <w:t xml:space="preserve">Steps to improve efficiency, effectiveness and </w:t>
      </w:r>
      <w:proofErr w:type="gramStart"/>
      <w:r w:rsidRPr="00ED0985">
        <w:t>economy</w:t>
      </w:r>
      <w:bookmarkEnd w:id="2"/>
      <w:proofErr w:type="gramEnd"/>
    </w:p>
    <w:p w14:paraId="7760BB83" w14:textId="67F9AF4A" w:rsidR="00412839" w:rsidRPr="00F367EF" w:rsidRDefault="00412839" w:rsidP="00412839">
      <w:pPr>
        <w:pStyle w:val="Heading1"/>
        <w:numPr>
          <w:ilvl w:val="0"/>
          <w:numId w:val="0"/>
        </w:numPr>
        <w:spacing w:line="240" w:lineRule="auto"/>
        <w:rPr>
          <w:rFonts w:asciiTheme="minorHAnsi" w:hAnsiTheme="minorHAnsi"/>
          <w:color w:val="auto"/>
          <w:spacing w:val="0"/>
          <w:sz w:val="24"/>
          <w:szCs w:val="22"/>
        </w:rPr>
      </w:pPr>
      <w:r w:rsidRPr="00F367EF">
        <w:rPr>
          <w:rFonts w:asciiTheme="minorHAnsi" w:hAnsiTheme="minorHAnsi"/>
          <w:color w:val="auto"/>
          <w:spacing w:val="0"/>
          <w:sz w:val="24"/>
          <w:szCs w:val="22"/>
        </w:rPr>
        <w:t xml:space="preserve">Section 32 (1)(b) </w:t>
      </w:r>
      <w:r w:rsidR="00D51448" w:rsidRPr="00F367EF">
        <w:rPr>
          <w:rFonts w:asciiTheme="minorHAnsi" w:hAnsiTheme="minorHAnsi"/>
          <w:color w:val="auto"/>
          <w:spacing w:val="0"/>
          <w:sz w:val="24"/>
          <w:szCs w:val="22"/>
        </w:rPr>
        <w:t xml:space="preserve">of the PSRA </w:t>
      </w:r>
      <w:r w:rsidRPr="00F367EF">
        <w:rPr>
          <w:rFonts w:asciiTheme="minorHAnsi" w:hAnsiTheme="minorHAnsi"/>
          <w:color w:val="auto"/>
          <w:spacing w:val="0"/>
          <w:sz w:val="24"/>
          <w:szCs w:val="22"/>
        </w:rPr>
        <w:t xml:space="preserve">provides that each listed public body must publish a statement of the steps it has taken to improve efficiency, </w:t>
      </w:r>
      <w:proofErr w:type="gramStart"/>
      <w:r w:rsidRPr="00F367EF">
        <w:rPr>
          <w:rFonts w:asciiTheme="minorHAnsi" w:hAnsiTheme="minorHAnsi"/>
          <w:color w:val="auto"/>
          <w:spacing w:val="0"/>
          <w:sz w:val="24"/>
          <w:szCs w:val="22"/>
        </w:rPr>
        <w:t>economy</w:t>
      </w:r>
      <w:proofErr w:type="gramEnd"/>
      <w:r w:rsidRPr="00F367EF">
        <w:rPr>
          <w:rFonts w:asciiTheme="minorHAnsi" w:hAnsiTheme="minorHAnsi"/>
          <w:color w:val="auto"/>
          <w:spacing w:val="0"/>
          <w:sz w:val="24"/>
          <w:szCs w:val="22"/>
        </w:rPr>
        <w:t xml:space="preserve"> and effectiveness in the exercise of its functions.</w:t>
      </w:r>
    </w:p>
    <w:p w14:paraId="3C7C2EC3" w14:textId="47C8DA59" w:rsidR="00BB5011" w:rsidRDefault="00BB5011" w:rsidP="00BB5011">
      <w:r w:rsidRPr="000A0055">
        <w:t xml:space="preserve">As a public body we are very conscious of our obligations to deliver value for money. </w:t>
      </w:r>
      <w:r>
        <w:t xml:space="preserve"> This year, we have taken further steps to review the way we deliver our objectives to ensure our spending is as efficient as possible.  We monitor our expenditure with care, and by maintaining robust financial authorisation, expenditure scrutiny and procurement processes, we ensure maximum cost effectiveness.</w:t>
      </w:r>
    </w:p>
    <w:p w14:paraId="31530578" w14:textId="77777777" w:rsidR="00BB5011" w:rsidRDefault="00BB5011" w:rsidP="00BB5011"/>
    <w:p w14:paraId="7406376B" w14:textId="49007345" w:rsidR="00BB5011" w:rsidRPr="00F43D1C" w:rsidRDefault="00BB5011" w:rsidP="00BB5011">
      <w:r>
        <w:t xml:space="preserve">We have begun work to review our operations, </w:t>
      </w:r>
      <w:proofErr w:type="gramStart"/>
      <w:r>
        <w:t>structure</w:t>
      </w:r>
      <w:proofErr w:type="gramEnd"/>
      <w:r>
        <w:t xml:space="preserve"> and roles to demonstrate we are operating as effectively as possible. In addition to identifying efficiencies internally, we are working with the Scottish Government and others in the public sector to review the scope for further synergies including making use of shared services and increasing revenue generating activity through our international work. </w:t>
      </w:r>
    </w:p>
    <w:p w14:paraId="2D88EB93" w14:textId="77777777" w:rsidR="00BB5011" w:rsidRPr="00F367EF" w:rsidRDefault="00BB5011" w:rsidP="00BB5011"/>
    <w:p w14:paraId="4E37B5D1" w14:textId="2869891B" w:rsidR="00BB5011" w:rsidRDefault="00BB5011" w:rsidP="00BB5011">
      <w:r w:rsidRPr="00E05DF4">
        <w:t xml:space="preserve">We are continuing to benefit significantly from </w:t>
      </w:r>
      <w:r>
        <w:t xml:space="preserve">the reduced costs associated with moving to </w:t>
      </w:r>
      <w:r w:rsidRPr="00E05DF4">
        <w:t>more flexible working arrangements</w:t>
      </w:r>
      <w:r>
        <w:t>. Our staff have been operating very effectively in a hybrid remote model</w:t>
      </w:r>
      <w:r w:rsidR="003266A8">
        <w:t>.</w:t>
      </w:r>
    </w:p>
    <w:p w14:paraId="55BAFCBB" w14:textId="77777777" w:rsidR="00987B8C" w:rsidRDefault="00987B8C" w:rsidP="00BB5011"/>
    <w:p w14:paraId="058FFFAA" w14:textId="287F908E" w:rsidR="00987B8C" w:rsidRPr="00F367EF" w:rsidRDefault="00987B8C" w:rsidP="00987B8C">
      <w:r w:rsidRPr="00F367EF">
        <w:t xml:space="preserve">Public Bodies in Scotland are bound by the Climate Change Public Bodies Duties as set out in Part 4 of the Climate Change (Scotland) Act 2009. These duties require public bodies, in exercising their functions to </w:t>
      </w:r>
      <w:r w:rsidRPr="00C773F8">
        <w:t>contribute to carbon emissions reduction</w:t>
      </w:r>
      <w:r>
        <w:t xml:space="preserve"> and act sustainably. </w:t>
      </w:r>
    </w:p>
    <w:p w14:paraId="64670D7D" w14:textId="77777777" w:rsidR="00987B8C" w:rsidRPr="00C773F8" w:rsidRDefault="00987B8C" w:rsidP="00987B8C"/>
    <w:p w14:paraId="607D4E9A" w14:textId="77777777" w:rsidR="00987B8C" w:rsidRPr="00F367EF" w:rsidRDefault="00987B8C" w:rsidP="00987B8C">
      <w:r w:rsidRPr="00F367EF">
        <w:t>As a small office, we recognise that the extent to which we can continually reduce our carbon footprint is limited. That said, we do all that we can to make sure that our internal office functions are delivered in a sustainable and carbon aware manner. Our internal policies encourage employees to make carbon aware decisions in relation to procurement and travel.</w:t>
      </w:r>
    </w:p>
    <w:p w14:paraId="331967E4" w14:textId="77777777" w:rsidR="00987B8C" w:rsidRPr="00F367EF" w:rsidRDefault="00987B8C" w:rsidP="00987B8C"/>
    <w:p w14:paraId="3DB9291C" w14:textId="77777777" w:rsidR="00987B8C" w:rsidRPr="00F367EF" w:rsidRDefault="00987B8C" w:rsidP="00987B8C">
      <w:r w:rsidRPr="00F367EF">
        <w:t xml:space="preserve">Following the Covid-19 pandemic we resumed international travel in February 2022. However, our experience of remote working has allowed us to carry out much of our work for international partners from home. Overseas travel is sometimes required to support our international projects and some of our employees spent time working abroad in New Zealand during the year. We off-set our carbon footprint from international travel by funding tree planting in Scotland.  </w:t>
      </w:r>
    </w:p>
    <w:p w14:paraId="2D15F88B" w14:textId="77777777" w:rsidR="00987B8C" w:rsidRDefault="00987B8C" w:rsidP="00987B8C">
      <w:pPr>
        <w:rPr>
          <w:spacing w:val="-2"/>
        </w:rPr>
      </w:pPr>
    </w:p>
    <w:p w14:paraId="011FFF38" w14:textId="77777777" w:rsidR="00987B8C" w:rsidRDefault="00987B8C" w:rsidP="00BB5011"/>
    <w:p w14:paraId="67F11CC6" w14:textId="0C308434" w:rsidR="007E7292" w:rsidRDefault="007E7292">
      <w:pPr>
        <w:spacing w:after="160" w:line="259" w:lineRule="auto"/>
        <w:rPr>
          <w:color w:val="5F7577" w:themeColor="accent2"/>
          <w:sz w:val="32"/>
          <w:szCs w:val="28"/>
        </w:rPr>
      </w:pPr>
    </w:p>
    <w:p w14:paraId="4DBC0CC9" w14:textId="3D5A7788" w:rsidR="007E7292" w:rsidRPr="00ED0985" w:rsidRDefault="007E7292" w:rsidP="00ED0985">
      <w:pPr>
        <w:pStyle w:val="Heading10"/>
        <w:numPr>
          <w:ilvl w:val="0"/>
          <w:numId w:val="23"/>
        </w:numPr>
      </w:pPr>
      <w:bookmarkStart w:id="3" w:name="_Toc142395797"/>
      <w:r w:rsidRPr="00ED0985">
        <w:lastRenderedPageBreak/>
        <w:t>Expenditure information</w:t>
      </w:r>
      <w:bookmarkEnd w:id="3"/>
    </w:p>
    <w:p w14:paraId="4E363A3F" w14:textId="0AD57843" w:rsidR="007C1BEF" w:rsidRDefault="007C1BEF" w:rsidP="007C1BEF">
      <w:pPr>
        <w:spacing w:line="240" w:lineRule="auto"/>
        <w:jc w:val="both"/>
        <w:rPr>
          <w:rFonts w:cstheme="minorHAnsi"/>
          <w:color w:val="000000" w:themeColor="text1"/>
          <w:szCs w:val="20"/>
        </w:rPr>
      </w:pPr>
      <w:r w:rsidRPr="007C1BEF">
        <w:rPr>
          <w:rFonts w:cstheme="minorHAnsi"/>
          <w:color w:val="000000" w:themeColor="text1"/>
          <w:szCs w:val="20"/>
        </w:rPr>
        <w:t xml:space="preserve">All expenditure disclosed in the sections below include VAT. The figures are </w:t>
      </w:r>
      <w:r w:rsidR="00C55970">
        <w:rPr>
          <w:rFonts w:cstheme="minorHAnsi"/>
          <w:color w:val="000000" w:themeColor="text1"/>
          <w:szCs w:val="20"/>
        </w:rPr>
        <w:t>unaudited</w:t>
      </w:r>
      <w:r w:rsidRPr="007C1BEF">
        <w:rPr>
          <w:rFonts w:cstheme="minorHAnsi"/>
          <w:color w:val="000000" w:themeColor="text1"/>
          <w:szCs w:val="20"/>
        </w:rPr>
        <w:t>.</w:t>
      </w:r>
    </w:p>
    <w:p w14:paraId="699AAE2F" w14:textId="77777777" w:rsidR="007C1BEF" w:rsidRPr="007C1BEF" w:rsidRDefault="007C1BEF" w:rsidP="007C1BEF">
      <w:pPr>
        <w:spacing w:line="240" w:lineRule="auto"/>
        <w:jc w:val="both"/>
        <w:rPr>
          <w:rFonts w:cstheme="minorHAnsi"/>
          <w:color w:val="000000" w:themeColor="text1"/>
          <w:szCs w:val="20"/>
        </w:rPr>
      </w:pPr>
    </w:p>
    <w:p w14:paraId="3EA33212" w14:textId="3DB27AC8" w:rsidR="007E7292" w:rsidRDefault="00ED0985" w:rsidP="00ED0985">
      <w:pPr>
        <w:pStyle w:val="Heading20"/>
      </w:pPr>
      <w:bookmarkStart w:id="4" w:name="_Toc142395798"/>
      <w:r>
        <w:t xml:space="preserve">3.1 </w:t>
      </w:r>
      <w:r w:rsidR="007E7292">
        <w:t>Public relations</w:t>
      </w:r>
      <w:bookmarkEnd w:id="4"/>
    </w:p>
    <w:p w14:paraId="07F36E33" w14:textId="77777777" w:rsidR="00C55970" w:rsidRDefault="00C55970" w:rsidP="007C1BEF">
      <w:pPr>
        <w:pStyle w:val="SMALLHEADINGALLCAPS"/>
      </w:pPr>
    </w:p>
    <w:p w14:paraId="2558752D" w14:textId="0E2A4DB2" w:rsidR="007C1BEF" w:rsidRDefault="007C1BEF" w:rsidP="007C1BEF">
      <w:pPr>
        <w:pStyle w:val="SMALLHEADINGALLCAPS"/>
      </w:pPr>
      <w:r>
        <w:t>Requirement</w:t>
      </w:r>
    </w:p>
    <w:p w14:paraId="34B698AD" w14:textId="0E0BE465" w:rsidR="007C1BEF" w:rsidRDefault="002E059D" w:rsidP="009F3A14">
      <w:pPr>
        <w:spacing w:line="240" w:lineRule="auto"/>
        <w:jc w:val="both"/>
        <w:rPr>
          <w:rFonts w:cstheme="minorHAnsi"/>
          <w:color w:val="000000" w:themeColor="text1"/>
          <w:szCs w:val="20"/>
        </w:rPr>
      </w:pPr>
      <w:r>
        <w:rPr>
          <w:rFonts w:cstheme="minorHAnsi"/>
          <w:color w:val="000000" w:themeColor="text1"/>
          <w:szCs w:val="20"/>
        </w:rPr>
        <w:t>WICS is required to publish a</w:t>
      </w:r>
      <w:r w:rsidR="007C1BEF">
        <w:rPr>
          <w:rFonts w:cstheme="minorHAnsi"/>
          <w:color w:val="000000" w:themeColor="text1"/>
          <w:szCs w:val="20"/>
        </w:rPr>
        <w:t xml:space="preserve"> statement</w:t>
      </w:r>
      <w:r w:rsidR="007C1BEF" w:rsidRPr="007C1BEF">
        <w:rPr>
          <w:rFonts w:cstheme="minorHAnsi"/>
          <w:color w:val="000000" w:themeColor="text1"/>
          <w:szCs w:val="20"/>
        </w:rPr>
        <w:t xml:space="preserve"> of expenditure during the year on all external communications, including the cost of in-house and contracted staff and consultants. Expenditure on 'public relations' includes (for example) marketing, PR campaigns, media relations, marketing research and evaluation, branding and design, promotional events, external events, conferences and exhibitions, corporate communications, sponsorship, publications and printing, digital communications, </w:t>
      </w:r>
      <w:proofErr w:type="gramStart"/>
      <w:r w:rsidR="007C1BEF" w:rsidRPr="007C1BEF">
        <w:rPr>
          <w:rFonts w:cstheme="minorHAnsi"/>
          <w:color w:val="000000" w:themeColor="text1"/>
          <w:szCs w:val="20"/>
        </w:rPr>
        <w:t>advertising</w:t>
      </w:r>
      <w:proofErr w:type="gramEnd"/>
      <w:r w:rsidR="007C1BEF" w:rsidRPr="007C1BEF">
        <w:rPr>
          <w:rFonts w:cstheme="minorHAnsi"/>
          <w:color w:val="000000" w:themeColor="text1"/>
          <w:szCs w:val="20"/>
        </w:rPr>
        <w:t xml:space="preserve"> and media planning.</w:t>
      </w:r>
    </w:p>
    <w:p w14:paraId="5EE474C9" w14:textId="77777777" w:rsidR="00D84AB1" w:rsidRDefault="00D84AB1" w:rsidP="009F3A14">
      <w:pPr>
        <w:spacing w:line="240" w:lineRule="auto"/>
        <w:jc w:val="both"/>
        <w:rPr>
          <w:rFonts w:cstheme="minorHAnsi"/>
          <w:color w:val="000000" w:themeColor="text1"/>
          <w:szCs w:val="20"/>
        </w:rPr>
      </w:pPr>
    </w:p>
    <w:p w14:paraId="3F6D38A7" w14:textId="27871A48" w:rsidR="008F1DD1" w:rsidRDefault="009A4B84" w:rsidP="009A4B84">
      <w:pPr>
        <w:pStyle w:val="SMALLHEADINGALLCAPS"/>
      </w:pPr>
      <w:r>
        <w:t>DISCLOSURES</w:t>
      </w:r>
    </w:p>
    <w:p w14:paraId="29B8DE3D" w14:textId="543C6E50" w:rsidR="008F1DD1" w:rsidRDefault="002E059D" w:rsidP="008F1DD1">
      <w:pPr>
        <w:spacing w:line="240" w:lineRule="auto"/>
        <w:jc w:val="both"/>
        <w:rPr>
          <w:rFonts w:cstheme="minorHAnsi"/>
          <w:color w:val="000000" w:themeColor="text1"/>
          <w:szCs w:val="20"/>
        </w:rPr>
      </w:pPr>
      <w:r>
        <w:rPr>
          <w:rFonts w:cstheme="minorHAnsi"/>
          <w:color w:val="000000" w:themeColor="text1"/>
          <w:szCs w:val="20"/>
        </w:rPr>
        <w:t xml:space="preserve">WICS does not employ or use any external consultants for public relation activities. </w:t>
      </w:r>
      <w:r w:rsidR="008F1DD1">
        <w:rPr>
          <w:rFonts w:cstheme="minorHAnsi"/>
          <w:color w:val="000000" w:themeColor="text1"/>
          <w:szCs w:val="20"/>
        </w:rPr>
        <w:t>The following categories of expenditure incurred by WICS is deemed to relate to</w:t>
      </w:r>
      <w:r>
        <w:rPr>
          <w:rFonts w:cstheme="minorHAnsi"/>
          <w:color w:val="000000" w:themeColor="text1"/>
          <w:szCs w:val="20"/>
        </w:rPr>
        <w:t xml:space="preserve"> </w:t>
      </w:r>
      <w:r w:rsidR="008F1DD1">
        <w:rPr>
          <w:rFonts w:cstheme="minorHAnsi"/>
          <w:color w:val="000000" w:themeColor="text1"/>
          <w:szCs w:val="20"/>
        </w:rPr>
        <w:t>public relations</w:t>
      </w:r>
      <w:r>
        <w:rPr>
          <w:rFonts w:cstheme="minorHAnsi"/>
          <w:color w:val="000000" w:themeColor="text1"/>
          <w:szCs w:val="20"/>
        </w:rPr>
        <w:t>, as defined above</w:t>
      </w:r>
      <w:r w:rsidR="008F1DD1">
        <w:rPr>
          <w:rFonts w:cstheme="minorHAnsi"/>
          <w:color w:val="000000" w:themeColor="text1"/>
          <w:szCs w:val="20"/>
        </w:rPr>
        <w:t>.</w:t>
      </w:r>
      <w:r>
        <w:rPr>
          <w:rFonts w:cstheme="minorHAnsi"/>
          <w:color w:val="000000" w:themeColor="text1"/>
          <w:szCs w:val="20"/>
        </w:rPr>
        <w:t xml:space="preserve"> </w:t>
      </w:r>
    </w:p>
    <w:p w14:paraId="2C2E46BC" w14:textId="77777777" w:rsidR="008F1DD1" w:rsidRDefault="008F1DD1" w:rsidP="009A4B84">
      <w:pPr>
        <w:pStyle w:val="SMALLHEADINGALLCAPS"/>
      </w:pPr>
    </w:p>
    <w:p w14:paraId="0BC3248F" w14:textId="5F966DAA" w:rsidR="00D84AB1" w:rsidRPr="00D84AB1" w:rsidRDefault="00D84AB1" w:rsidP="009A4B84">
      <w:pPr>
        <w:pStyle w:val="Summaryparagraphtextbold"/>
      </w:pPr>
      <w:r w:rsidRPr="00D84AB1">
        <w:t>Websites</w:t>
      </w:r>
    </w:p>
    <w:p w14:paraId="44B69A24" w14:textId="560EF38D" w:rsidR="007E7292" w:rsidRDefault="00D84AB1" w:rsidP="009A4B84">
      <w:pPr>
        <w:spacing w:line="240" w:lineRule="auto"/>
        <w:jc w:val="both"/>
        <w:rPr>
          <w:rFonts w:cstheme="minorHAnsi"/>
          <w:color w:val="000000" w:themeColor="text1"/>
          <w:szCs w:val="20"/>
        </w:rPr>
      </w:pPr>
      <w:r>
        <w:rPr>
          <w:rFonts w:cstheme="minorHAnsi"/>
          <w:color w:val="000000" w:themeColor="text1"/>
          <w:szCs w:val="20"/>
        </w:rPr>
        <w:t xml:space="preserve">WICS hosts two websites: (i) </w:t>
      </w:r>
      <w:hyperlink r:id="rId16" w:history="1">
        <w:r w:rsidRPr="00D84AB1">
          <w:rPr>
            <w:rStyle w:val="Hyperlink"/>
            <w:rFonts w:cstheme="minorHAnsi"/>
            <w:szCs w:val="20"/>
          </w:rPr>
          <w:t>WICS' corporate website</w:t>
        </w:r>
      </w:hyperlink>
      <w:r>
        <w:rPr>
          <w:rFonts w:cstheme="minorHAnsi"/>
          <w:color w:val="000000" w:themeColor="text1"/>
          <w:szCs w:val="20"/>
        </w:rPr>
        <w:t xml:space="preserve"> and (ii) </w:t>
      </w:r>
      <w:r w:rsidR="009179F6">
        <w:rPr>
          <w:rFonts w:cstheme="minorHAnsi"/>
          <w:color w:val="000000" w:themeColor="text1"/>
          <w:szCs w:val="20"/>
        </w:rPr>
        <w:t xml:space="preserve">a website to support the </w:t>
      </w:r>
      <w:hyperlink r:id="rId17" w:history="1">
        <w:r w:rsidR="002E1661" w:rsidRPr="002E1661">
          <w:rPr>
            <w:rStyle w:val="Hyperlink"/>
            <w:rFonts w:cstheme="minorHAnsi"/>
            <w:szCs w:val="20"/>
          </w:rPr>
          <w:t>retail market</w:t>
        </w:r>
      </w:hyperlink>
      <w:r w:rsidR="009A4B84">
        <w:t xml:space="preserve"> </w:t>
      </w:r>
      <w:r w:rsidR="009179F6" w:rsidRPr="009179F6">
        <w:rPr>
          <w:rFonts w:cstheme="minorHAnsi"/>
          <w:color w:val="000000" w:themeColor="text1"/>
          <w:szCs w:val="20"/>
        </w:rPr>
        <w:t>The costs associated with the websites are shown in the table below.</w:t>
      </w:r>
      <w:r w:rsidR="009179F6" w:rsidRPr="007C1BEF">
        <w:rPr>
          <w:rFonts w:cstheme="minorHAnsi"/>
          <w:color w:val="000000" w:themeColor="text1"/>
          <w:szCs w:val="20"/>
        </w:rPr>
        <w:t xml:space="preserve"> </w:t>
      </w:r>
    </w:p>
    <w:p w14:paraId="1B932581" w14:textId="77777777" w:rsidR="009A4B84" w:rsidRPr="009179F6" w:rsidRDefault="009A4B84" w:rsidP="009A4B84">
      <w:pPr>
        <w:spacing w:line="240" w:lineRule="auto"/>
        <w:jc w:val="both"/>
        <w:rPr>
          <w:rFonts w:cstheme="minorHAnsi"/>
          <w:color w:val="000000" w:themeColor="text1"/>
          <w:szCs w:val="20"/>
        </w:rPr>
      </w:pPr>
    </w:p>
    <w:tbl>
      <w:tblPr>
        <w:tblStyle w:val="Blueline"/>
        <w:tblW w:w="9450" w:type="dxa"/>
        <w:tblLook w:val="04E0" w:firstRow="1" w:lastRow="1" w:firstColumn="1" w:lastColumn="0" w:noHBand="0" w:noVBand="1"/>
      </w:tblPr>
      <w:tblGrid>
        <w:gridCol w:w="4320"/>
        <w:gridCol w:w="1620"/>
        <w:gridCol w:w="1710"/>
        <w:gridCol w:w="1800"/>
      </w:tblGrid>
      <w:tr w:rsidR="00B92114" w14:paraId="575E59C6" w14:textId="5D509A65" w:rsidTr="009A4B84">
        <w:trPr>
          <w:cnfStyle w:val="100000000000" w:firstRow="1" w:lastRow="0" w:firstColumn="0" w:lastColumn="0" w:oddVBand="0" w:evenVBand="0" w:oddHBand="0" w:evenHBand="0" w:firstRowFirstColumn="0" w:firstRowLastColumn="0" w:lastRowFirstColumn="0" w:lastRowLastColumn="0"/>
        </w:trPr>
        <w:tc>
          <w:tcPr>
            <w:tcW w:w="4320" w:type="dxa"/>
          </w:tcPr>
          <w:p w14:paraId="2CFA15EA" w14:textId="6843EE1B" w:rsidR="00B92114" w:rsidRDefault="00B92114" w:rsidP="003B28C6">
            <w:r>
              <w:t>Expenditure type</w:t>
            </w:r>
          </w:p>
        </w:tc>
        <w:tc>
          <w:tcPr>
            <w:tcW w:w="1620" w:type="dxa"/>
          </w:tcPr>
          <w:p w14:paraId="11277C6A" w14:textId="4694C6AA" w:rsidR="00B92114" w:rsidRPr="009A4B84" w:rsidRDefault="00B92114" w:rsidP="009A4B84">
            <w:pPr>
              <w:jc w:val="right"/>
              <w:rPr>
                <w:b w:val="0"/>
              </w:rPr>
            </w:pPr>
            <w:r>
              <w:t>2022-23</w:t>
            </w:r>
            <w:r w:rsidR="009A4B84">
              <w:t xml:space="preserve"> </w:t>
            </w:r>
            <w:r>
              <w:t>(£)</w:t>
            </w:r>
          </w:p>
        </w:tc>
        <w:tc>
          <w:tcPr>
            <w:tcW w:w="1710" w:type="dxa"/>
          </w:tcPr>
          <w:p w14:paraId="32DCB025" w14:textId="7283D401" w:rsidR="00B92114" w:rsidRPr="009A4B84" w:rsidRDefault="00B92114" w:rsidP="009A4B84">
            <w:pPr>
              <w:jc w:val="right"/>
              <w:rPr>
                <w:b w:val="0"/>
              </w:rPr>
            </w:pPr>
            <w:r>
              <w:t>2021-22</w:t>
            </w:r>
            <w:r w:rsidR="009A4B84">
              <w:t xml:space="preserve"> </w:t>
            </w:r>
            <w:r>
              <w:t>(£)</w:t>
            </w:r>
          </w:p>
        </w:tc>
        <w:tc>
          <w:tcPr>
            <w:tcW w:w="1800" w:type="dxa"/>
          </w:tcPr>
          <w:p w14:paraId="78400A53" w14:textId="106A73A3" w:rsidR="00B92114" w:rsidRPr="009A4B84" w:rsidRDefault="00B92114" w:rsidP="009A4B84">
            <w:pPr>
              <w:jc w:val="right"/>
              <w:rPr>
                <w:b w:val="0"/>
              </w:rPr>
            </w:pPr>
            <w:r>
              <w:t>2020-21</w:t>
            </w:r>
            <w:r w:rsidR="009A4B84">
              <w:t xml:space="preserve"> </w:t>
            </w:r>
            <w:r>
              <w:t>(£)</w:t>
            </w:r>
          </w:p>
        </w:tc>
      </w:tr>
      <w:tr w:rsidR="00B92114" w14:paraId="035A609F" w14:textId="4BD91919" w:rsidTr="009A4B84">
        <w:tc>
          <w:tcPr>
            <w:tcW w:w="4320" w:type="dxa"/>
          </w:tcPr>
          <w:p w14:paraId="59A6F511" w14:textId="5780A554" w:rsidR="00B92114" w:rsidRDefault="00B92114" w:rsidP="003B28C6">
            <w:r>
              <w:t>Website hosting</w:t>
            </w:r>
          </w:p>
        </w:tc>
        <w:tc>
          <w:tcPr>
            <w:tcW w:w="1620" w:type="dxa"/>
          </w:tcPr>
          <w:p w14:paraId="75147BD8" w14:textId="535B19CF" w:rsidR="00B92114" w:rsidRDefault="00B92114" w:rsidP="00886D43">
            <w:pPr>
              <w:jc w:val="right"/>
            </w:pPr>
            <w:r>
              <w:t>5,228</w:t>
            </w:r>
          </w:p>
        </w:tc>
        <w:tc>
          <w:tcPr>
            <w:tcW w:w="1710" w:type="dxa"/>
          </w:tcPr>
          <w:p w14:paraId="2DDFF22C" w14:textId="121AC517" w:rsidR="00B92114" w:rsidRDefault="00B92114" w:rsidP="00886D43">
            <w:pPr>
              <w:jc w:val="right"/>
            </w:pPr>
            <w:r>
              <w:t>4,494</w:t>
            </w:r>
          </w:p>
        </w:tc>
        <w:tc>
          <w:tcPr>
            <w:tcW w:w="1800" w:type="dxa"/>
          </w:tcPr>
          <w:p w14:paraId="62A4B32A" w14:textId="5F8A842A" w:rsidR="00B92114" w:rsidRDefault="00B92114" w:rsidP="00886D43">
            <w:pPr>
              <w:jc w:val="right"/>
            </w:pPr>
            <w:r>
              <w:t>1,776</w:t>
            </w:r>
          </w:p>
        </w:tc>
      </w:tr>
      <w:tr w:rsidR="00B92114" w:rsidRPr="00710913" w14:paraId="0C210294" w14:textId="637A3F5A" w:rsidTr="009A4B84">
        <w:trPr>
          <w:cnfStyle w:val="010000000000" w:firstRow="0" w:lastRow="1" w:firstColumn="0" w:lastColumn="0" w:oddVBand="0" w:evenVBand="0" w:oddHBand="0" w:evenHBand="0" w:firstRowFirstColumn="0" w:firstRowLastColumn="0" w:lastRowFirstColumn="0" w:lastRowLastColumn="0"/>
        </w:trPr>
        <w:tc>
          <w:tcPr>
            <w:tcW w:w="4320" w:type="dxa"/>
          </w:tcPr>
          <w:p w14:paraId="3D39770C" w14:textId="13057D02" w:rsidR="00B92114" w:rsidRPr="00710913" w:rsidRDefault="00B92114" w:rsidP="003B28C6">
            <w:r>
              <w:t>Website development and maintenance</w:t>
            </w:r>
            <w:r>
              <w:rPr>
                <w:rStyle w:val="FootnoteReference"/>
              </w:rPr>
              <w:footnoteReference w:id="1"/>
            </w:r>
          </w:p>
        </w:tc>
        <w:tc>
          <w:tcPr>
            <w:tcW w:w="1620" w:type="dxa"/>
          </w:tcPr>
          <w:p w14:paraId="6098E58B" w14:textId="18BA6263" w:rsidR="00B92114" w:rsidRPr="00710913" w:rsidRDefault="00B92114" w:rsidP="00886D43">
            <w:pPr>
              <w:jc w:val="right"/>
            </w:pPr>
            <w:r>
              <w:t>36,892</w:t>
            </w:r>
          </w:p>
        </w:tc>
        <w:tc>
          <w:tcPr>
            <w:tcW w:w="1710" w:type="dxa"/>
          </w:tcPr>
          <w:p w14:paraId="64AAEBB2" w14:textId="5DBF44D0" w:rsidR="00B92114" w:rsidRPr="00710913" w:rsidRDefault="00B92114" w:rsidP="00886D43">
            <w:pPr>
              <w:jc w:val="right"/>
            </w:pPr>
            <w:r>
              <w:t>111,653</w:t>
            </w:r>
          </w:p>
        </w:tc>
        <w:tc>
          <w:tcPr>
            <w:tcW w:w="1800" w:type="dxa"/>
          </w:tcPr>
          <w:p w14:paraId="63DD4B84" w14:textId="4F7D51A9" w:rsidR="00B92114" w:rsidRDefault="00B92114" w:rsidP="00886D43">
            <w:pPr>
              <w:jc w:val="right"/>
            </w:pPr>
            <w:r>
              <w:t>84,328</w:t>
            </w:r>
          </w:p>
        </w:tc>
      </w:tr>
    </w:tbl>
    <w:p w14:paraId="17F8E1E1" w14:textId="77777777" w:rsidR="00E63FF6" w:rsidRDefault="00E63FF6" w:rsidP="00E63FF6">
      <w:pPr>
        <w:pStyle w:val="SMALLHEADINGALLCAPS"/>
      </w:pPr>
    </w:p>
    <w:p w14:paraId="3888A868" w14:textId="60A7CA5B" w:rsidR="0000125B" w:rsidRPr="00D84AB1" w:rsidRDefault="0000125B" w:rsidP="009A4B84">
      <w:pPr>
        <w:pStyle w:val="Summaryparagraphtextbold"/>
        <w:rPr>
          <w:color w:val="064276" w:themeColor="accent1"/>
        </w:rPr>
      </w:pPr>
      <w:r>
        <w:t>Publishing</w:t>
      </w:r>
    </w:p>
    <w:p w14:paraId="7A5F13B2" w14:textId="7CE89A2A" w:rsidR="0000125B" w:rsidRDefault="0000125B" w:rsidP="00E63FF6">
      <w:pPr>
        <w:pStyle w:val="SMALLHEADINGALLCAPS"/>
      </w:pPr>
      <w:r w:rsidRPr="0000125B">
        <w:rPr>
          <w:rFonts w:cstheme="minorHAnsi"/>
          <w:b w:val="0"/>
          <w:caps w:val="0"/>
          <w:color w:val="000000" w:themeColor="text1"/>
          <w:szCs w:val="20"/>
        </w:rPr>
        <w:t xml:space="preserve">Publishing costs </w:t>
      </w:r>
      <w:r w:rsidR="00B92114">
        <w:rPr>
          <w:rFonts w:cstheme="minorHAnsi"/>
          <w:b w:val="0"/>
          <w:caps w:val="0"/>
          <w:color w:val="000000" w:themeColor="text1"/>
          <w:szCs w:val="20"/>
        </w:rPr>
        <w:t>are as follows:</w:t>
      </w:r>
    </w:p>
    <w:tbl>
      <w:tblPr>
        <w:tblStyle w:val="Blueline"/>
        <w:tblW w:w="9450" w:type="dxa"/>
        <w:tblLook w:val="04E0" w:firstRow="1" w:lastRow="1" w:firstColumn="1" w:lastColumn="0" w:noHBand="0" w:noVBand="1"/>
      </w:tblPr>
      <w:tblGrid>
        <w:gridCol w:w="4590"/>
        <w:gridCol w:w="1530"/>
        <w:gridCol w:w="1530"/>
        <w:gridCol w:w="1800"/>
      </w:tblGrid>
      <w:tr w:rsidR="00B92114" w14:paraId="2D07C032" w14:textId="77777777" w:rsidTr="009A4B84">
        <w:trPr>
          <w:cnfStyle w:val="100000000000" w:firstRow="1" w:lastRow="0" w:firstColumn="0" w:lastColumn="0" w:oddVBand="0" w:evenVBand="0" w:oddHBand="0" w:evenHBand="0" w:firstRowFirstColumn="0" w:firstRowLastColumn="0" w:lastRowFirstColumn="0" w:lastRowLastColumn="0"/>
        </w:trPr>
        <w:tc>
          <w:tcPr>
            <w:tcW w:w="4590" w:type="dxa"/>
          </w:tcPr>
          <w:p w14:paraId="25AA1057" w14:textId="59F658BF" w:rsidR="00B92114" w:rsidRDefault="00B92114" w:rsidP="003B28C6"/>
        </w:tc>
        <w:tc>
          <w:tcPr>
            <w:tcW w:w="1530" w:type="dxa"/>
          </w:tcPr>
          <w:p w14:paraId="583274C1" w14:textId="21EB64E1" w:rsidR="00B92114" w:rsidRPr="009A4B84" w:rsidRDefault="00B92114" w:rsidP="009A4B84">
            <w:pPr>
              <w:jc w:val="right"/>
              <w:rPr>
                <w:b w:val="0"/>
              </w:rPr>
            </w:pPr>
            <w:r>
              <w:t>2022-23</w:t>
            </w:r>
            <w:r w:rsidR="009A4B84">
              <w:t xml:space="preserve"> </w:t>
            </w:r>
            <w:r>
              <w:t>(£)</w:t>
            </w:r>
          </w:p>
        </w:tc>
        <w:tc>
          <w:tcPr>
            <w:tcW w:w="1530" w:type="dxa"/>
          </w:tcPr>
          <w:p w14:paraId="387B2033" w14:textId="1FB97298" w:rsidR="00B92114" w:rsidRPr="009A4B84" w:rsidRDefault="00B92114" w:rsidP="009A4B84">
            <w:pPr>
              <w:jc w:val="right"/>
              <w:rPr>
                <w:b w:val="0"/>
              </w:rPr>
            </w:pPr>
            <w:r>
              <w:t>2021-22</w:t>
            </w:r>
            <w:r w:rsidR="009A4B84">
              <w:t xml:space="preserve"> </w:t>
            </w:r>
            <w:r>
              <w:t>(£)</w:t>
            </w:r>
          </w:p>
        </w:tc>
        <w:tc>
          <w:tcPr>
            <w:tcW w:w="1800" w:type="dxa"/>
          </w:tcPr>
          <w:p w14:paraId="1C02A885" w14:textId="1424F7D2" w:rsidR="00B92114" w:rsidRPr="009A4B84" w:rsidRDefault="00B92114" w:rsidP="009A4B84">
            <w:pPr>
              <w:jc w:val="right"/>
              <w:rPr>
                <w:b w:val="0"/>
              </w:rPr>
            </w:pPr>
            <w:r>
              <w:t>2020-21</w:t>
            </w:r>
            <w:r>
              <w:rPr>
                <w:rStyle w:val="FootnoteReference"/>
              </w:rPr>
              <w:footnoteReference w:id="2"/>
            </w:r>
            <w:r w:rsidR="009A4B84">
              <w:t xml:space="preserve"> </w:t>
            </w:r>
            <w:r>
              <w:t>(£)</w:t>
            </w:r>
          </w:p>
        </w:tc>
      </w:tr>
      <w:tr w:rsidR="00B92114" w14:paraId="308F5EF7" w14:textId="77777777" w:rsidTr="009A4B84">
        <w:trPr>
          <w:cnfStyle w:val="010000000000" w:firstRow="0" w:lastRow="1" w:firstColumn="0" w:lastColumn="0" w:oddVBand="0" w:evenVBand="0" w:oddHBand="0" w:evenHBand="0" w:firstRowFirstColumn="0" w:firstRowLastColumn="0" w:lastRowFirstColumn="0" w:lastRowLastColumn="0"/>
        </w:trPr>
        <w:tc>
          <w:tcPr>
            <w:tcW w:w="4590" w:type="dxa"/>
          </w:tcPr>
          <w:p w14:paraId="1D651BC0" w14:textId="62BE6967" w:rsidR="00B92114" w:rsidRDefault="00B92114" w:rsidP="003B28C6">
            <w:r>
              <w:t>Publishing</w:t>
            </w:r>
          </w:p>
        </w:tc>
        <w:tc>
          <w:tcPr>
            <w:tcW w:w="1530" w:type="dxa"/>
          </w:tcPr>
          <w:p w14:paraId="4AE66992" w14:textId="70AE776F" w:rsidR="00B92114" w:rsidRDefault="00B92114" w:rsidP="003B28C6">
            <w:pPr>
              <w:jc w:val="right"/>
            </w:pPr>
            <w:r>
              <w:t>1,160</w:t>
            </w:r>
          </w:p>
        </w:tc>
        <w:tc>
          <w:tcPr>
            <w:tcW w:w="1530" w:type="dxa"/>
          </w:tcPr>
          <w:p w14:paraId="046CD132" w14:textId="109D7F7F" w:rsidR="00B92114" w:rsidRDefault="00B92114" w:rsidP="003B28C6">
            <w:pPr>
              <w:jc w:val="right"/>
            </w:pPr>
            <w:r>
              <w:t>1,095</w:t>
            </w:r>
          </w:p>
        </w:tc>
        <w:tc>
          <w:tcPr>
            <w:tcW w:w="1800" w:type="dxa"/>
          </w:tcPr>
          <w:p w14:paraId="5DA225C2" w14:textId="121B38F6" w:rsidR="00B92114" w:rsidRDefault="00B92114" w:rsidP="003B28C6">
            <w:pPr>
              <w:jc w:val="right"/>
            </w:pPr>
            <w:r>
              <w:t>71,993</w:t>
            </w:r>
          </w:p>
        </w:tc>
      </w:tr>
    </w:tbl>
    <w:p w14:paraId="16CA148B" w14:textId="77777777" w:rsidR="00B92114" w:rsidRDefault="00B92114" w:rsidP="00E63FF6">
      <w:pPr>
        <w:pStyle w:val="SMALLHEADINGALLCAPS"/>
      </w:pPr>
    </w:p>
    <w:p w14:paraId="5472D3AF" w14:textId="1916B27D" w:rsidR="00E63FF6" w:rsidRPr="00F0627E" w:rsidRDefault="00B92114" w:rsidP="009A4B84">
      <w:pPr>
        <w:pStyle w:val="Summaryparagraphtextbold"/>
      </w:pPr>
      <w:r>
        <w:t xml:space="preserve">PUBLIC RELATION </w:t>
      </w:r>
      <w:r w:rsidR="00E63FF6">
        <w:t>EVENTS</w:t>
      </w:r>
    </w:p>
    <w:p w14:paraId="4CC8EBF6" w14:textId="57B78583" w:rsidR="008F1DD1" w:rsidRPr="008F1DD1" w:rsidRDefault="005D0544" w:rsidP="00C55970">
      <w:pPr>
        <w:spacing w:line="240" w:lineRule="auto"/>
        <w:jc w:val="both"/>
        <w:rPr>
          <w:rFonts w:cstheme="minorHAnsi"/>
          <w:color w:val="000000" w:themeColor="text1"/>
          <w:szCs w:val="20"/>
        </w:rPr>
      </w:pPr>
      <w:r>
        <w:rPr>
          <w:rFonts w:cstheme="minorHAnsi"/>
          <w:color w:val="000000" w:themeColor="text1"/>
          <w:szCs w:val="20"/>
        </w:rPr>
        <w:t>In October 2023, WICS held</w:t>
      </w:r>
      <w:r w:rsidR="0000125B">
        <w:rPr>
          <w:rFonts w:cstheme="minorHAnsi"/>
          <w:color w:val="000000" w:themeColor="text1"/>
          <w:szCs w:val="20"/>
        </w:rPr>
        <w:t xml:space="preserve"> a stakeholder event, the total cost of which was £5,013 (21-22: £nil).</w:t>
      </w:r>
    </w:p>
    <w:p w14:paraId="4D4611D7" w14:textId="6DA435E4" w:rsidR="007E7292" w:rsidRDefault="00ED0985" w:rsidP="00ED0985">
      <w:pPr>
        <w:pStyle w:val="Heading20"/>
      </w:pPr>
      <w:bookmarkStart w:id="5" w:name="_Toc142395799"/>
      <w:r>
        <w:lastRenderedPageBreak/>
        <w:t xml:space="preserve">3.2 </w:t>
      </w:r>
      <w:r w:rsidR="007E7292">
        <w:t>Overseas travel</w:t>
      </w:r>
      <w:bookmarkEnd w:id="5"/>
    </w:p>
    <w:p w14:paraId="0D4CD007" w14:textId="77777777" w:rsidR="006824FC" w:rsidRDefault="006824FC" w:rsidP="00A36499">
      <w:pPr>
        <w:pStyle w:val="SMALLHEADINGALLCAPS"/>
      </w:pPr>
    </w:p>
    <w:p w14:paraId="54ED361B" w14:textId="07B386F3" w:rsidR="00A36499" w:rsidRDefault="00A36499" w:rsidP="00A36499">
      <w:pPr>
        <w:pStyle w:val="SMALLHEADINGALLCAPS"/>
      </w:pPr>
      <w:r>
        <w:t>Requirement</w:t>
      </w:r>
    </w:p>
    <w:p w14:paraId="759F8E32" w14:textId="659F35B9" w:rsidR="006824FC" w:rsidRPr="006824FC" w:rsidRDefault="002E059D" w:rsidP="00A36499">
      <w:pPr>
        <w:pStyle w:val="SMALLHEADINGALLCAPS"/>
        <w:rPr>
          <w:rFonts w:cstheme="minorHAnsi"/>
          <w:b w:val="0"/>
          <w:caps w:val="0"/>
          <w:color w:val="000000" w:themeColor="text1"/>
          <w:szCs w:val="20"/>
        </w:rPr>
      </w:pPr>
      <w:r>
        <w:rPr>
          <w:rFonts w:cstheme="minorHAnsi"/>
          <w:b w:val="0"/>
          <w:caps w:val="0"/>
          <w:color w:val="000000" w:themeColor="text1"/>
          <w:szCs w:val="20"/>
        </w:rPr>
        <w:t>WICS is required to publish a</w:t>
      </w:r>
      <w:r w:rsidR="006824FC" w:rsidRPr="006824FC">
        <w:rPr>
          <w:rFonts w:cstheme="minorHAnsi"/>
          <w:b w:val="0"/>
          <w:caps w:val="0"/>
          <w:color w:val="000000" w:themeColor="text1"/>
          <w:szCs w:val="20"/>
        </w:rPr>
        <w:t xml:space="preserve"> statement of expenditure incurred on overseas travel</w:t>
      </w:r>
      <w:r w:rsidR="006824FC">
        <w:rPr>
          <w:rFonts w:cstheme="minorHAnsi"/>
          <w:b w:val="0"/>
          <w:caps w:val="0"/>
          <w:color w:val="000000" w:themeColor="text1"/>
          <w:szCs w:val="20"/>
        </w:rPr>
        <w:t xml:space="preserve">, including </w:t>
      </w:r>
      <w:r w:rsidR="006824FC" w:rsidRPr="006824FC">
        <w:rPr>
          <w:rFonts w:cstheme="minorHAnsi"/>
          <w:b w:val="0"/>
          <w:caps w:val="0"/>
          <w:color w:val="000000" w:themeColor="text1"/>
          <w:szCs w:val="20"/>
        </w:rPr>
        <w:t>travel to as well as from the United Kingdom</w:t>
      </w:r>
      <w:r w:rsidR="006824FC">
        <w:rPr>
          <w:rFonts w:cstheme="minorHAnsi"/>
          <w:b w:val="0"/>
          <w:caps w:val="0"/>
          <w:color w:val="000000" w:themeColor="text1"/>
          <w:szCs w:val="20"/>
        </w:rPr>
        <w:t>. The following should be included:</w:t>
      </w:r>
      <w:r w:rsidR="006824FC" w:rsidRPr="006824FC">
        <w:rPr>
          <w:rFonts w:cstheme="minorHAnsi"/>
          <w:b w:val="0"/>
          <w:caps w:val="0"/>
          <w:color w:val="000000" w:themeColor="text1"/>
          <w:szCs w:val="20"/>
        </w:rPr>
        <w:t xml:space="preserve"> </w:t>
      </w:r>
      <w:r w:rsidR="006824FC">
        <w:rPr>
          <w:rFonts w:cstheme="minorHAnsi"/>
          <w:b w:val="0"/>
          <w:caps w:val="0"/>
          <w:color w:val="000000" w:themeColor="text1"/>
          <w:szCs w:val="20"/>
        </w:rPr>
        <w:t xml:space="preserve">the </w:t>
      </w:r>
      <w:r w:rsidR="006824FC" w:rsidRPr="006824FC">
        <w:rPr>
          <w:rFonts w:cstheme="minorHAnsi"/>
          <w:b w:val="0"/>
          <w:caps w:val="0"/>
          <w:color w:val="000000" w:themeColor="text1"/>
          <w:szCs w:val="20"/>
        </w:rPr>
        <w:t>cost of hotels, conference fees, the cost of travel and subsistence during the overseas visit and any other related expenditure.</w:t>
      </w:r>
    </w:p>
    <w:p w14:paraId="7BE675BF" w14:textId="77777777" w:rsidR="00CD56EF" w:rsidRDefault="00CD56EF" w:rsidP="00CD56EF"/>
    <w:p w14:paraId="23E295A4" w14:textId="7C46E1B1" w:rsidR="00CD56EF" w:rsidRDefault="00CD56EF" w:rsidP="00CD56EF">
      <w:pPr>
        <w:pStyle w:val="SMALLHEADINGALLCAPS"/>
      </w:pPr>
      <w:r>
        <w:t>Disclosure</w:t>
      </w:r>
    </w:p>
    <w:p w14:paraId="5A39ED1F" w14:textId="64A943B0" w:rsidR="00835F07" w:rsidRDefault="00835F07" w:rsidP="00CD56EF">
      <w:pPr>
        <w:rPr>
          <w:rFonts w:cstheme="minorHAnsi"/>
          <w:color w:val="000000" w:themeColor="text1"/>
          <w:szCs w:val="20"/>
        </w:rPr>
      </w:pPr>
      <w:r>
        <w:rPr>
          <w:rFonts w:cstheme="minorHAnsi"/>
          <w:color w:val="000000" w:themeColor="text1"/>
          <w:szCs w:val="20"/>
        </w:rPr>
        <w:t xml:space="preserve">Travel after the COVID pandemic, particularly overseas travel, did not resume until February 2022. Therefore, </w:t>
      </w:r>
      <w:r w:rsidR="002E1661">
        <w:rPr>
          <w:rFonts w:cstheme="minorHAnsi"/>
          <w:color w:val="000000" w:themeColor="text1"/>
          <w:szCs w:val="20"/>
        </w:rPr>
        <w:t xml:space="preserve">there were no </w:t>
      </w:r>
      <w:r>
        <w:rPr>
          <w:rFonts w:cstheme="minorHAnsi"/>
          <w:color w:val="000000" w:themeColor="text1"/>
          <w:szCs w:val="20"/>
        </w:rPr>
        <w:t>travel costs in 2020-21</w:t>
      </w:r>
      <w:r w:rsidR="002E1661">
        <w:rPr>
          <w:rFonts w:cstheme="minorHAnsi"/>
          <w:color w:val="000000" w:themeColor="text1"/>
          <w:szCs w:val="20"/>
        </w:rPr>
        <w:t xml:space="preserve"> and those in</w:t>
      </w:r>
      <w:r>
        <w:rPr>
          <w:rFonts w:cstheme="minorHAnsi"/>
          <w:color w:val="000000" w:themeColor="text1"/>
          <w:szCs w:val="20"/>
        </w:rPr>
        <w:t xml:space="preserve"> 2021-22 w</w:t>
      </w:r>
      <w:r w:rsidR="00E63EA9">
        <w:rPr>
          <w:rFonts w:cstheme="minorHAnsi"/>
          <w:color w:val="000000" w:themeColor="text1"/>
          <w:szCs w:val="20"/>
        </w:rPr>
        <w:t>ere</w:t>
      </w:r>
      <w:r>
        <w:rPr>
          <w:rFonts w:cstheme="minorHAnsi"/>
          <w:color w:val="000000" w:themeColor="text1"/>
          <w:szCs w:val="20"/>
        </w:rPr>
        <w:t xml:space="preserve"> minimal</w:t>
      </w:r>
      <w:r w:rsidR="00E63EA9">
        <w:rPr>
          <w:rFonts w:cstheme="minorHAnsi"/>
          <w:color w:val="000000" w:themeColor="text1"/>
          <w:szCs w:val="20"/>
        </w:rPr>
        <w:t>.</w:t>
      </w:r>
    </w:p>
    <w:p w14:paraId="7EDD5851" w14:textId="77777777" w:rsidR="0020216F" w:rsidRDefault="0020216F" w:rsidP="00CD56EF"/>
    <w:tbl>
      <w:tblPr>
        <w:tblStyle w:val="Blueline"/>
        <w:tblW w:w="9450" w:type="dxa"/>
        <w:tblLook w:val="04E0" w:firstRow="1" w:lastRow="1" w:firstColumn="1" w:lastColumn="0" w:noHBand="0" w:noVBand="1"/>
      </w:tblPr>
      <w:tblGrid>
        <w:gridCol w:w="3600"/>
        <w:gridCol w:w="2700"/>
        <w:gridCol w:w="1620"/>
        <w:gridCol w:w="1530"/>
      </w:tblGrid>
      <w:tr w:rsidR="00CD56EF" w:rsidRPr="00123582" w14:paraId="3AC325E3" w14:textId="77777777" w:rsidTr="003B28C6">
        <w:trPr>
          <w:cnfStyle w:val="100000000000" w:firstRow="1" w:lastRow="0" w:firstColumn="0" w:lastColumn="0" w:oddVBand="0" w:evenVBand="0" w:oddHBand="0" w:evenHBand="0" w:firstRowFirstColumn="0" w:firstRowLastColumn="0" w:lastRowFirstColumn="0" w:lastRowLastColumn="0"/>
        </w:trPr>
        <w:tc>
          <w:tcPr>
            <w:tcW w:w="3600" w:type="dxa"/>
          </w:tcPr>
          <w:p w14:paraId="73443588" w14:textId="6FACABF8" w:rsidR="00CD56EF" w:rsidRDefault="00CD56EF" w:rsidP="003B28C6">
            <w:r>
              <w:t>Type of expense</w:t>
            </w:r>
          </w:p>
        </w:tc>
        <w:tc>
          <w:tcPr>
            <w:tcW w:w="2700" w:type="dxa"/>
          </w:tcPr>
          <w:p w14:paraId="1AC6A370" w14:textId="77777777" w:rsidR="00CD56EF" w:rsidRPr="00123582" w:rsidRDefault="00CD56EF" w:rsidP="003B28C6">
            <w:pPr>
              <w:jc w:val="right"/>
              <w:rPr>
                <w:b w:val="0"/>
              </w:rPr>
            </w:pPr>
            <w:r>
              <w:t>2022-23 (£)</w:t>
            </w:r>
          </w:p>
        </w:tc>
        <w:tc>
          <w:tcPr>
            <w:tcW w:w="1620" w:type="dxa"/>
          </w:tcPr>
          <w:p w14:paraId="5178B94E" w14:textId="77777777" w:rsidR="00CD56EF" w:rsidRPr="00123582" w:rsidRDefault="00CD56EF" w:rsidP="003B28C6">
            <w:pPr>
              <w:jc w:val="right"/>
              <w:rPr>
                <w:b w:val="0"/>
              </w:rPr>
            </w:pPr>
            <w:r>
              <w:t>2021-22 (£)</w:t>
            </w:r>
          </w:p>
        </w:tc>
        <w:tc>
          <w:tcPr>
            <w:tcW w:w="1530" w:type="dxa"/>
          </w:tcPr>
          <w:p w14:paraId="1F69D954" w14:textId="77777777" w:rsidR="00CD56EF" w:rsidRPr="00123582" w:rsidRDefault="00CD56EF" w:rsidP="003B28C6">
            <w:pPr>
              <w:jc w:val="right"/>
              <w:rPr>
                <w:b w:val="0"/>
              </w:rPr>
            </w:pPr>
            <w:r>
              <w:t>2020-21 (£)</w:t>
            </w:r>
          </w:p>
        </w:tc>
      </w:tr>
      <w:tr w:rsidR="00CD56EF" w14:paraId="106CA371" w14:textId="77777777" w:rsidTr="003B28C6">
        <w:tc>
          <w:tcPr>
            <w:tcW w:w="3600" w:type="dxa"/>
          </w:tcPr>
          <w:p w14:paraId="6B913C0C" w14:textId="684F4501" w:rsidR="00CD56EF" w:rsidRDefault="00CD56EF" w:rsidP="003B28C6">
            <w:r>
              <w:t>Flights</w:t>
            </w:r>
          </w:p>
        </w:tc>
        <w:tc>
          <w:tcPr>
            <w:tcW w:w="2700" w:type="dxa"/>
          </w:tcPr>
          <w:p w14:paraId="3DB9763F" w14:textId="605E6699" w:rsidR="00CD56EF" w:rsidRDefault="0020216F" w:rsidP="003B28C6">
            <w:pPr>
              <w:jc w:val="right"/>
            </w:pPr>
            <w:r>
              <w:t>196,928</w:t>
            </w:r>
          </w:p>
        </w:tc>
        <w:tc>
          <w:tcPr>
            <w:tcW w:w="1620" w:type="dxa"/>
          </w:tcPr>
          <w:p w14:paraId="0EFA194B" w14:textId="13715A82" w:rsidR="00CD56EF" w:rsidRDefault="0020216F" w:rsidP="003B28C6">
            <w:pPr>
              <w:jc w:val="right"/>
            </w:pPr>
            <w:r>
              <w:t>3,081</w:t>
            </w:r>
          </w:p>
        </w:tc>
        <w:tc>
          <w:tcPr>
            <w:tcW w:w="1530" w:type="dxa"/>
          </w:tcPr>
          <w:p w14:paraId="2BA913E3" w14:textId="0EFF3A66" w:rsidR="00CD56EF" w:rsidRDefault="00835F07" w:rsidP="003B28C6">
            <w:pPr>
              <w:jc w:val="right"/>
            </w:pPr>
            <w:r>
              <w:t>-</w:t>
            </w:r>
          </w:p>
        </w:tc>
      </w:tr>
      <w:tr w:rsidR="00CD56EF" w14:paraId="0769C482" w14:textId="77777777" w:rsidTr="003B28C6">
        <w:tc>
          <w:tcPr>
            <w:tcW w:w="3600" w:type="dxa"/>
          </w:tcPr>
          <w:p w14:paraId="32C6CD77" w14:textId="07046C1C" w:rsidR="00CD56EF" w:rsidRPr="00710913" w:rsidRDefault="00CD56EF" w:rsidP="003B28C6">
            <w:r>
              <w:t>Accommodation</w:t>
            </w:r>
          </w:p>
        </w:tc>
        <w:tc>
          <w:tcPr>
            <w:tcW w:w="2700" w:type="dxa"/>
          </w:tcPr>
          <w:p w14:paraId="0FC5168A" w14:textId="439C3168" w:rsidR="00CD56EF" w:rsidRPr="00710913" w:rsidRDefault="0020216F" w:rsidP="003B28C6">
            <w:pPr>
              <w:jc w:val="right"/>
            </w:pPr>
            <w:r>
              <w:t>64,626</w:t>
            </w:r>
          </w:p>
        </w:tc>
        <w:tc>
          <w:tcPr>
            <w:tcW w:w="1620" w:type="dxa"/>
          </w:tcPr>
          <w:p w14:paraId="16FE6A7A" w14:textId="7958CF2C" w:rsidR="00CD56EF" w:rsidRPr="00710913" w:rsidRDefault="0020216F" w:rsidP="003B28C6">
            <w:pPr>
              <w:jc w:val="right"/>
            </w:pPr>
            <w:r>
              <w:t>1,043</w:t>
            </w:r>
          </w:p>
        </w:tc>
        <w:tc>
          <w:tcPr>
            <w:tcW w:w="1530" w:type="dxa"/>
          </w:tcPr>
          <w:p w14:paraId="39478298" w14:textId="1CAA23CA" w:rsidR="00CD56EF" w:rsidRDefault="00835F07" w:rsidP="003B28C6">
            <w:pPr>
              <w:jc w:val="right"/>
            </w:pPr>
            <w:r>
              <w:t>-</w:t>
            </w:r>
          </w:p>
        </w:tc>
      </w:tr>
      <w:tr w:rsidR="00CD56EF" w14:paraId="0A301B0E" w14:textId="77777777" w:rsidTr="003B28C6">
        <w:tc>
          <w:tcPr>
            <w:tcW w:w="3600" w:type="dxa"/>
          </w:tcPr>
          <w:p w14:paraId="7FA4670B" w14:textId="5DCB60E2" w:rsidR="00CD56EF" w:rsidRDefault="0020216F" w:rsidP="003B28C6">
            <w:r>
              <w:t>Subsistence</w:t>
            </w:r>
          </w:p>
        </w:tc>
        <w:tc>
          <w:tcPr>
            <w:tcW w:w="2700" w:type="dxa"/>
          </w:tcPr>
          <w:p w14:paraId="61121D8F" w14:textId="27CC81CF" w:rsidR="00CD56EF" w:rsidRDefault="0020216F" w:rsidP="003B28C6">
            <w:pPr>
              <w:jc w:val="right"/>
            </w:pPr>
            <w:r>
              <w:t>32,946</w:t>
            </w:r>
          </w:p>
        </w:tc>
        <w:tc>
          <w:tcPr>
            <w:tcW w:w="1620" w:type="dxa"/>
          </w:tcPr>
          <w:p w14:paraId="0F04EDDD" w14:textId="2FF51AA0" w:rsidR="00CD56EF" w:rsidRDefault="00D07710" w:rsidP="003B28C6">
            <w:pPr>
              <w:jc w:val="right"/>
            </w:pPr>
            <w:r>
              <w:t>546</w:t>
            </w:r>
          </w:p>
        </w:tc>
        <w:tc>
          <w:tcPr>
            <w:tcW w:w="1530" w:type="dxa"/>
          </w:tcPr>
          <w:p w14:paraId="4B25F4E0" w14:textId="0A4A3D99" w:rsidR="00CD56EF" w:rsidRDefault="00835F07" w:rsidP="003B28C6">
            <w:pPr>
              <w:jc w:val="right"/>
            </w:pPr>
            <w:r>
              <w:t>-</w:t>
            </w:r>
          </w:p>
        </w:tc>
      </w:tr>
      <w:tr w:rsidR="00CD56EF" w14:paraId="02CC2409" w14:textId="77777777" w:rsidTr="003B28C6">
        <w:tc>
          <w:tcPr>
            <w:tcW w:w="3600" w:type="dxa"/>
          </w:tcPr>
          <w:p w14:paraId="728AAE37" w14:textId="0D634ACD" w:rsidR="00CD56EF" w:rsidRDefault="0020216F" w:rsidP="003B28C6">
            <w:r>
              <w:t>Other travel and expenses</w:t>
            </w:r>
          </w:p>
        </w:tc>
        <w:tc>
          <w:tcPr>
            <w:tcW w:w="2700" w:type="dxa"/>
          </w:tcPr>
          <w:p w14:paraId="4D4A74C8" w14:textId="421D12CD" w:rsidR="00CD56EF" w:rsidRDefault="0020216F" w:rsidP="003B28C6">
            <w:pPr>
              <w:jc w:val="right"/>
            </w:pPr>
            <w:r>
              <w:t>9,190</w:t>
            </w:r>
          </w:p>
        </w:tc>
        <w:tc>
          <w:tcPr>
            <w:tcW w:w="1620" w:type="dxa"/>
          </w:tcPr>
          <w:p w14:paraId="3C6EFFC9" w14:textId="511C7FD4" w:rsidR="00CD56EF" w:rsidRDefault="00CD56EF" w:rsidP="003B28C6">
            <w:pPr>
              <w:jc w:val="right"/>
            </w:pPr>
            <w:r>
              <w:t>1</w:t>
            </w:r>
            <w:r w:rsidR="0020216F">
              <w:t>75</w:t>
            </w:r>
          </w:p>
        </w:tc>
        <w:tc>
          <w:tcPr>
            <w:tcW w:w="1530" w:type="dxa"/>
          </w:tcPr>
          <w:p w14:paraId="0957A7C7" w14:textId="7ED3A734" w:rsidR="00CD56EF" w:rsidRDefault="00835F07" w:rsidP="003B28C6">
            <w:pPr>
              <w:jc w:val="right"/>
            </w:pPr>
            <w:r>
              <w:t>-</w:t>
            </w:r>
          </w:p>
        </w:tc>
      </w:tr>
      <w:tr w:rsidR="00CD56EF" w:rsidRPr="0003096B" w14:paraId="3DA455B9" w14:textId="77777777" w:rsidTr="003B28C6">
        <w:trPr>
          <w:cnfStyle w:val="010000000000" w:firstRow="0" w:lastRow="1" w:firstColumn="0" w:lastColumn="0" w:oddVBand="0" w:evenVBand="0" w:oddHBand="0" w:evenHBand="0" w:firstRowFirstColumn="0" w:firstRowLastColumn="0" w:lastRowFirstColumn="0" w:lastRowLastColumn="0"/>
        </w:trPr>
        <w:tc>
          <w:tcPr>
            <w:tcW w:w="3600" w:type="dxa"/>
          </w:tcPr>
          <w:p w14:paraId="6C8F1D39" w14:textId="77777777" w:rsidR="00CD56EF" w:rsidRPr="0003096B" w:rsidRDefault="00CD56EF" w:rsidP="003B28C6">
            <w:pPr>
              <w:rPr>
                <w:b/>
                <w:bCs/>
              </w:rPr>
            </w:pPr>
            <w:r w:rsidRPr="0003096B">
              <w:rPr>
                <w:b/>
                <w:bCs/>
              </w:rPr>
              <w:t>Total</w:t>
            </w:r>
          </w:p>
        </w:tc>
        <w:tc>
          <w:tcPr>
            <w:tcW w:w="2700" w:type="dxa"/>
          </w:tcPr>
          <w:p w14:paraId="4960F724" w14:textId="454A46C4" w:rsidR="00CD56EF" w:rsidRPr="0003096B" w:rsidRDefault="0020216F" w:rsidP="003B28C6">
            <w:pPr>
              <w:jc w:val="right"/>
              <w:rPr>
                <w:b/>
                <w:bCs/>
              </w:rPr>
            </w:pPr>
            <w:r>
              <w:rPr>
                <w:b/>
                <w:bCs/>
              </w:rPr>
              <w:t>303,690</w:t>
            </w:r>
          </w:p>
        </w:tc>
        <w:tc>
          <w:tcPr>
            <w:tcW w:w="1620" w:type="dxa"/>
          </w:tcPr>
          <w:p w14:paraId="27F5EBFB" w14:textId="3E7FE000" w:rsidR="00CD56EF" w:rsidRPr="0003096B" w:rsidRDefault="00D07710" w:rsidP="003B28C6">
            <w:pPr>
              <w:jc w:val="right"/>
              <w:rPr>
                <w:b/>
                <w:bCs/>
              </w:rPr>
            </w:pPr>
            <w:r>
              <w:rPr>
                <w:b/>
                <w:bCs/>
              </w:rPr>
              <w:t>4,845</w:t>
            </w:r>
          </w:p>
        </w:tc>
        <w:tc>
          <w:tcPr>
            <w:tcW w:w="1530" w:type="dxa"/>
          </w:tcPr>
          <w:p w14:paraId="206AD61A" w14:textId="22438B8E" w:rsidR="00CD56EF" w:rsidRPr="0003096B" w:rsidRDefault="00835F07" w:rsidP="003B28C6">
            <w:pPr>
              <w:jc w:val="right"/>
              <w:rPr>
                <w:b/>
                <w:bCs/>
              </w:rPr>
            </w:pPr>
            <w:r>
              <w:rPr>
                <w:b/>
                <w:bCs/>
              </w:rPr>
              <w:t>-</w:t>
            </w:r>
          </w:p>
        </w:tc>
      </w:tr>
    </w:tbl>
    <w:p w14:paraId="56AE0369" w14:textId="77777777" w:rsidR="002E1661" w:rsidRDefault="002E1661" w:rsidP="002E1661">
      <w:pPr>
        <w:rPr>
          <w:rFonts w:cstheme="minorHAnsi"/>
          <w:color w:val="000000" w:themeColor="text1"/>
          <w:szCs w:val="20"/>
        </w:rPr>
      </w:pPr>
    </w:p>
    <w:p w14:paraId="54D327C5" w14:textId="0FCBBF5D" w:rsidR="002E1661" w:rsidRDefault="002E1661" w:rsidP="002E1661">
      <w:r>
        <w:rPr>
          <w:rFonts w:cstheme="minorHAnsi"/>
          <w:color w:val="000000" w:themeColor="text1"/>
          <w:szCs w:val="20"/>
        </w:rPr>
        <w:t>The overseas travel costs in the table above include costs associated with a funded project in relation to consultancy services provided by WICS to the Department of Internal Affairs (DIA) in New Zealand. Of the total costs for 2022-23, £220,518 was reimbursed as part of the fees paid by the DIA.</w:t>
      </w:r>
    </w:p>
    <w:p w14:paraId="6FD7B1D0" w14:textId="77777777" w:rsidR="00893A2B" w:rsidRDefault="00893A2B">
      <w:pPr>
        <w:spacing w:after="160" w:line="259" w:lineRule="auto"/>
        <w:rPr>
          <w:rFonts w:asciiTheme="majorHAnsi" w:hAnsiTheme="majorHAnsi"/>
          <w:color w:val="064276" w:themeColor="accent1"/>
          <w:spacing w:val="-10"/>
          <w:sz w:val="56"/>
          <w:szCs w:val="40"/>
        </w:rPr>
      </w:pPr>
      <w:r>
        <w:br w:type="page"/>
      </w:r>
    </w:p>
    <w:p w14:paraId="63885395" w14:textId="090132C5" w:rsidR="007E7292" w:rsidRDefault="00ED0985" w:rsidP="00ED0985">
      <w:pPr>
        <w:pStyle w:val="Heading20"/>
      </w:pPr>
      <w:bookmarkStart w:id="6" w:name="_Toc142395800"/>
      <w:r>
        <w:lastRenderedPageBreak/>
        <w:t xml:space="preserve">3.3 </w:t>
      </w:r>
      <w:r w:rsidR="007E7292">
        <w:t>Hospitality and entertainment</w:t>
      </w:r>
      <w:bookmarkEnd w:id="6"/>
    </w:p>
    <w:p w14:paraId="6146C75C" w14:textId="77777777" w:rsidR="009F3A14" w:rsidRDefault="009F3A14" w:rsidP="009F3A14">
      <w:pPr>
        <w:pStyle w:val="Heading1"/>
        <w:numPr>
          <w:ilvl w:val="0"/>
          <w:numId w:val="0"/>
        </w:numPr>
        <w:spacing w:after="0" w:line="240" w:lineRule="auto"/>
        <w:rPr>
          <w:rFonts w:asciiTheme="minorHAnsi" w:hAnsiTheme="minorHAnsi" w:cstheme="minorHAnsi"/>
          <w:color w:val="000000" w:themeColor="text1"/>
          <w:spacing w:val="0"/>
          <w:sz w:val="24"/>
          <w:szCs w:val="20"/>
        </w:rPr>
      </w:pPr>
    </w:p>
    <w:p w14:paraId="6457A4BC" w14:textId="77777777" w:rsidR="009F3A14" w:rsidRDefault="009F3A14" w:rsidP="009F3A14">
      <w:pPr>
        <w:pStyle w:val="SMALLHEADINGALLCAPS"/>
      </w:pPr>
      <w:r>
        <w:t>Requirement</w:t>
      </w:r>
    </w:p>
    <w:p w14:paraId="0B76F032" w14:textId="111DED1B" w:rsidR="004E7FFD" w:rsidRDefault="00296484" w:rsidP="009F3A14">
      <w:pPr>
        <w:pStyle w:val="Heading1"/>
        <w:numPr>
          <w:ilvl w:val="0"/>
          <w:numId w:val="0"/>
        </w:numPr>
        <w:spacing w:after="0" w:line="240" w:lineRule="auto"/>
        <w:rPr>
          <w:rFonts w:asciiTheme="minorHAnsi" w:hAnsiTheme="minorHAnsi" w:cstheme="minorHAnsi"/>
          <w:color w:val="000000" w:themeColor="text1"/>
          <w:spacing w:val="0"/>
          <w:sz w:val="24"/>
          <w:szCs w:val="20"/>
        </w:rPr>
      </w:pPr>
      <w:r>
        <w:rPr>
          <w:rFonts w:asciiTheme="minorHAnsi" w:hAnsiTheme="minorHAnsi" w:cstheme="minorHAnsi"/>
          <w:color w:val="000000" w:themeColor="text1"/>
          <w:spacing w:val="0"/>
          <w:sz w:val="24"/>
          <w:szCs w:val="20"/>
        </w:rPr>
        <w:t>WIC</w:t>
      </w:r>
      <w:r w:rsidR="000F3BC3">
        <w:rPr>
          <w:rFonts w:asciiTheme="minorHAnsi" w:hAnsiTheme="minorHAnsi" w:cstheme="minorHAnsi"/>
          <w:color w:val="000000" w:themeColor="text1"/>
          <w:spacing w:val="0"/>
          <w:sz w:val="24"/>
          <w:szCs w:val="20"/>
        </w:rPr>
        <w:t>S</w:t>
      </w:r>
      <w:r>
        <w:rPr>
          <w:rFonts w:asciiTheme="minorHAnsi" w:hAnsiTheme="minorHAnsi" w:cstheme="minorHAnsi"/>
          <w:color w:val="000000" w:themeColor="text1"/>
          <w:spacing w:val="0"/>
          <w:sz w:val="24"/>
          <w:szCs w:val="20"/>
        </w:rPr>
        <w:t xml:space="preserve"> is required to publish a </w:t>
      </w:r>
      <w:r w:rsidR="009F3A14">
        <w:rPr>
          <w:rFonts w:asciiTheme="minorHAnsi" w:hAnsiTheme="minorHAnsi" w:cstheme="minorHAnsi"/>
          <w:color w:val="000000" w:themeColor="text1"/>
          <w:spacing w:val="0"/>
          <w:sz w:val="24"/>
          <w:szCs w:val="20"/>
        </w:rPr>
        <w:t>statement of expenditure on h</w:t>
      </w:r>
      <w:r w:rsidR="009F3A14" w:rsidRPr="009F3A14">
        <w:rPr>
          <w:rFonts w:asciiTheme="minorHAnsi" w:hAnsiTheme="minorHAnsi" w:cstheme="minorHAnsi"/>
          <w:color w:val="000000" w:themeColor="text1"/>
          <w:spacing w:val="0"/>
          <w:sz w:val="24"/>
          <w:szCs w:val="20"/>
        </w:rPr>
        <w:t>ospitality and entertainment</w:t>
      </w:r>
      <w:r w:rsidR="009F3A14">
        <w:rPr>
          <w:rFonts w:asciiTheme="minorHAnsi" w:hAnsiTheme="minorHAnsi" w:cstheme="minorHAnsi"/>
          <w:color w:val="000000" w:themeColor="text1"/>
          <w:spacing w:val="0"/>
          <w:sz w:val="24"/>
          <w:szCs w:val="20"/>
        </w:rPr>
        <w:t>,</w:t>
      </w:r>
      <w:r w:rsidR="009F3A14" w:rsidRPr="009F3A14">
        <w:rPr>
          <w:rFonts w:asciiTheme="minorHAnsi" w:hAnsiTheme="minorHAnsi" w:cstheme="minorHAnsi"/>
          <w:color w:val="000000" w:themeColor="text1"/>
          <w:spacing w:val="0"/>
          <w:sz w:val="24"/>
          <w:szCs w:val="20"/>
        </w:rPr>
        <w:t xml:space="preserve"> interpreted widely as including any gifts, meals, parties, receptions, tickets for or invitations to public, sporting, cultural or other events or other similar benefits accorded by a public body to its own members or employees or third parties for whatever reason. </w:t>
      </w:r>
    </w:p>
    <w:p w14:paraId="020AE002" w14:textId="77777777" w:rsidR="004E7FFD" w:rsidRDefault="004E7FFD" w:rsidP="009F3A14">
      <w:pPr>
        <w:pStyle w:val="Heading1"/>
        <w:numPr>
          <w:ilvl w:val="0"/>
          <w:numId w:val="0"/>
        </w:numPr>
        <w:spacing w:after="0" w:line="240" w:lineRule="auto"/>
        <w:rPr>
          <w:rFonts w:asciiTheme="minorHAnsi" w:hAnsiTheme="minorHAnsi" w:cstheme="minorHAnsi"/>
          <w:color w:val="000000" w:themeColor="text1"/>
          <w:spacing w:val="0"/>
          <w:sz w:val="24"/>
          <w:szCs w:val="20"/>
        </w:rPr>
      </w:pPr>
    </w:p>
    <w:p w14:paraId="4FE841A0" w14:textId="323FC65D" w:rsidR="00296484" w:rsidRDefault="009F3A14" w:rsidP="009F3A14">
      <w:pPr>
        <w:pStyle w:val="Heading1"/>
        <w:numPr>
          <w:ilvl w:val="0"/>
          <w:numId w:val="0"/>
        </w:numPr>
        <w:spacing w:after="0" w:line="240" w:lineRule="auto"/>
        <w:rPr>
          <w:rFonts w:asciiTheme="minorHAnsi" w:hAnsiTheme="minorHAnsi" w:cstheme="minorHAnsi"/>
          <w:color w:val="000000" w:themeColor="text1"/>
          <w:spacing w:val="0"/>
          <w:sz w:val="24"/>
          <w:szCs w:val="20"/>
        </w:rPr>
      </w:pPr>
      <w:r w:rsidRPr="009F3A14">
        <w:rPr>
          <w:rFonts w:asciiTheme="minorHAnsi" w:hAnsiTheme="minorHAnsi" w:cstheme="minorHAnsi"/>
          <w:color w:val="000000" w:themeColor="text1"/>
          <w:spacing w:val="0"/>
          <w:sz w:val="24"/>
          <w:szCs w:val="20"/>
        </w:rPr>
        <w:t>The payment of reasonable travel and subsistence allowances and the reimbursement of expenses that are necessarily incurred in relation to service as a member or employee of a public body should be excluded.</w:t>
      </w:r>
      <w:r>
        <w:rPr>
          <w:rFonts w:asciiTheme="minorHAnsi" w:hAnsiTheme="minorHAnsi" w:cstheme="minorHAnsi"/>
          <w:color w:val="000000" w:themeColor="text1"/>
          <w:spacing w:val="0"/>
          <w:sz w:val="24"/>
          <w:szCs w:val="20"/>
        </w:rPr>
        <w:t xml:space="preserve"> </w:t>
      </w:r>
    </w:p>
    <w:p w14:paraId="1D284DA9" w14:textId="77777777" w:rsidR="00296484" w:rsidRDefault="00296484" w:rsidP="009F3A14">
      <w:pPr>
        <w:pStyle w:val="Heading1"/>
        <w:numPr>
          <w:ilvl w:val="0"/>
          <w:numId w:val="0"/>
        </w:numPr>
        <w:spacing w:after="0" w:line="240" w:lineRule="auto"/>
        <w:rPr>
          <w:rFonts w:asciiTheme="minorHAnsi" w:hAnsiTheme="minorHAnsi" w:cstheme="minorHAnsi"/>
          <w:color w:val="000000" w:themeColor="text1"/>
          <w:spacing w:val="0"/>
          <w:sz w:val="24"/>
          <w:szCs w:val="20"/>
        </w:rPr>
      </w:pPr>
    </w:p>
    <w:p w14:paraId="2E066C31" w14:textId="4607327A" w:rsidR="009F3A14" w:rsidRPr="009F3A14" w:rsidRDefault="009F3A14" w:rsidP="009F3A14">
      <w:pPr>
        <w:pStyle w:val="Heading1"/>
        <w:numPr>
          <w:ilvl w:val="0"/>
          <w:numId w:val="0"/>
        </w:numPr>
        <w:spacing w:after="0" w:line="240" w:lineRule="auto"/>
        <w:rPr>
          <w:rFonts w:asciiTheme="minorHAnsi" w:hAnsiTheme="minorHAnsi" w:cstheme="minorHAnsi"/>
          <w:color w:val="000000" w:themeColor="text1"/>
          <w:spacing w:val="0"/>
          <w:sz w:val="24"/>
          <w:szCs w:val="20"/>
        </w:rPr>
      </w:pPr>
      <w:r w:rsidRPr="009F3A14">
        <w:rPr>
          <w:rFonts w:asciiTheme="minorHAnsi" w:hAnsiTheme="minorHAnsi" w:cstheme="minorHAnsi"/>
          <w:color w:val="000000" w:themeColor="text1"/>
          <w:spacing w:val="0"/>
          <w:sz w:val="24"/>
          <w:szCs w:val="20"/>
        </w:rPr>
        <w:t xml:space="preserve">Gifts and benefits which are wholly trivial and of minimal value may also be excluded as de minimis. </w:t>
      </w:r>
      <w:r>
        <w:rPr>
          <w:rFonts w:asciiTheme="minorHAnsi" w:hAnsiTheme="minorHAnsi" w:cstheme="minorHAnsi"/>
          <w:color w:val="000000" w:themeColor="text1"/>
          <w:spacing w:val="0"/>
          <w:sz w:val="24"/>
          <w:szCs w:val="20"/>
        </w:rPr>
        <w:t>WICS has disclosed gifts over the value</w:t>
      </w:r>
      <w:r w:rsidRPr="009F3A14">
        <w:rPr>
          <w:rFonts w:asciiTheme="minorHAnsi" w:hAnsiTheme="minorHAnsi" w:cstheme="minorHAnsi"/>
          <w:color w:val="000000" w:themeColor="text1"/>
          <w:spacing w:val="0"/>
          <w:sz w:val="24"/>
          <w:szCs w:val="20"/>
        </w:rPr>
        <w:t xml:space="preserve"> of £</w:t>
      </w:r>
      <w:r>
        <w:rPr>
          <w:rFonts w:asciiTheme="minorHAnsi" w:hAnsiTheme="minorHAnsi" w:cstheme="minorHAnsi"/>
          <w:color w:val="000000" w:themeColor="text1"/>
          <w:spacing w:val="0"/>
          <w:sz w:val="24"/>
          <w:szCs w:val="20"/>
        </w:rPr>
        <w:t>50</w:t>
      </w:r>
      <w:r w:rsidRPr="009F3A14">
        <w:rPr>
          <w:rFonts w:asciiTheme="minorHAnsi" w:hAnsiTheme="minorHAnsi" w:cstheme="minorHAnsi"/>
          <w:color w:val="000000" w:themeColor="text1"/>
          <w:spacing w:val="0"/>
          <w:sz w:val="24"/>
          <w:szCs w:val="20"/>
        </w:rPr>
        <w:t xml:space="preserve"> for 'one off' gifts or benefits</w:t>
      </w:r>
      <w:r>
        <w:rPr>
          <w:rFonts w:asciiTheme="minorHAnsi" w:hAnsiTheme="minorHAnsi" w:cstheme="minorHAnsi"/>
          <w:color w:val="000000" w:themeColor="text1"/>
          <w:spacing w:val="0"/>
          <w:sz w:val="24"/>
          <w:szCs w:val="20"/>
        </w:rPr>
        <w:t>.</w:t>
      </w:r>
    </w:p>
    <w:p w14:paraId="36076215" w14:textId="77777777" w:rsidR="00B402F2" w:rsidRDefault="00B402F2" w:rsidP="00B402F2">
      <w:pPr>
        <w:pStyle w:val="SMALLHEADINGALLCAPS"/>
      </w:pPr>
    </w:p>
    <w:p w14:paraId="2D53E557" w14:textId="59A90132" w:rsidR="009A4B84" w:rsidRDefault="009A4B84" w:rsidP="009A4B84">
      <w:pPr>
        <w:pStyle w:val="SMALLHEADINGALLCAPS"/>
      </w:pPr>
      <w:r>
        <w:t>DISCLOSURES</w:t>
      </w:r>
    </w:p>
    <w:p w14:paraId="1E96CB05" w14:textId="5928072C" w:rsidR="00B402F2" w:rsidRDefault="00D07710" w:rsidP="009A4B84">
      <w:pPr>
        <w:pStyle w:val="Summaryparagraphtextbold"/>
      </w:pPr>
      <w:r>
        <w:t>Hospitality and entertainment</w:t>
      </w:r>
    </w:p>
    <w:p w14:paraId="5D853026" w14:textId="600103FB" w:rsidR="00296484" w:rsidRDefault="00D07710" w:rsidP="00B402F2">
      <w:pPr>
        <w:pStyle w:val="Heading1"/>
        <w:numPr>
          <w:ilvl w:val="0"/>
          <w:numId w:val="0"/>
        </w:numPr>
        <w:spacing w:after="0" w:line="240" w:lineRule="auto"/>
        <w:rPr>
          <w:rFonts w:asciiTheme="minorHAnsi" w:hAnsiTheme="minorHAnsi" w:cstheme="minorHAnsi"/>
          <w:color w:val="000000" w:themeColor="text1"/>
          <w:spacing w:val="0"/>
          <w:sz w:val="24"/>
          <w:szCs w:val="20"/>
        </w:rPr>
      </w:pPr>
      <w:r>
        <w:rPr>
          <w:rFonts w:asciiTheme="minorHAnsi" w:hAnsiTheme="minorHAnsi" w:cstheme="minorHAnsi"/>
          <w:color w:val="000000" w:themeColor="text1"/>
          <w:spacing w:val="0"/>
          <w:sz w:val="24"/>
          <w:szCs w:val="20"/>
        </w:rPr>
        <w:t xml:space="preserve">The only form of hospitality expenditure incurred by WICS relates to staff events, such as retirement and leaving lunches and </w:t>
      </w:r>
      <w:r w:rsidR="00296484">
        <w:rPr>
          <w:rFonts w:asciiTheme="minorHAnsi" w:hAnsiTheme="minorHAnsi" w:cstheme="minorHAnsi"/>
          <w:color w:val="000000" w:themeColor="text1"/>
          <w:spacing w:val="0"/>
          <w:sz w:val="24"/>
          <w:szCs w:val="20"/>
        </w:rPr>
        <w:t>entertainment in the form of meals for visitors and other stakeholders</w:t>
      </w:r>
      <w:r w:rsidR="00B402F2">
        <w:rPr>
          <w:rFonts w:asciiTheme="minorHAnsi" w:hAnsiTheme="minorHAnsi" w:cstheme="minorHAnsi"/>
          <w:color w:val="000000" w:themeColor="text1"/>
          <w:spacing w:val="0"/>
          <w:sz w:val="24"/>
          <w:szCs w:val="20"/>
        </w:rPr>
        <w:t>.</w:t>
      </w:r>
      <w:r>
        <w:rPr>
          <w:rFonts w:asciiTheme="minorHAnsi" w:hAnsiTheme="minorHAnsi" w:cstheme="minorHAnsi"/>
          <w:color w:val="000000" w:themeColor="text1"/>
          <w:spacing w:val="0"/>
          <w:sz w:val="24"/>
          <w:szCs w:val="20"/>
        </w:rPr>
        <w:t xml:space="preserve"> Expenditure on these two categories </w:t>
      </w:r>
      <w:proofErr w:type="gramStart"/>
      <w:r>
        <w:rPr>
          <w:rFonts w:asciiTheme="minorHAnsi" w:hAnsiTheme="minorHAnsi" w:cstheme="minorHAnsi"/>
          <w:color w:val="000000" w:themeColor="text1"/>
          <w:spacing w:val="0"/>
          <w:sz w:val="24"/>
          <w:szCs w:val="20"/>
        </w:rPr>
        <w:t>are</w:t>
      </w:r>
      <w:proofErr w:type="gramEnd"/>
      <w:r>
        <w:rPr>
          <w:rFonts w:asciiTheme="minorHAnsi" w:hAnsiTheme="minorHAnsi" w:cstheme="minorHAnsi"/>
          <w:color w:val="000000" w:themeColor="text1"/>
          <w:spacing w:val="0"/>
          <w:sz w:val="24"/>
          <w:szCs w:val="20"/>
        </w:rPr>
        <w:t xml:space="preserve"> outlined in the table below.</w:t>
      </w:r>
      <w:r w:rsidR="00296484">
        <w:rPr>
          <w:rFonts w:asciiTheme="minorHAnsi" w:hAnsiTheme="minorHAnsi" w:cstheme="minorHAnsi"/>
          <w:color w:val="000000" w:themeColor="text1"/>
          <w:spacing w:val="0"/>
          <w:sz w:val="24"/>
          <w:szCs w:val="20"/>
        </w:rPr>
        <w:t xml:space="preserve"> </w:t>
      </w:r>
    </w:p>
    <w:p w14:paraId="7D7414B0" w14:textId="77777777" w:rsidR="00D07710" w:rsidRDefault="00D07710" w:rsidP="00B402F2">
      <w:pPr>
        <w:pStyle w:val="Heading1"/>
        <w:numPr>
          <w:ilvl w:val="0"/>
          <w:numId w:val="0"/>
        </w:numPr>
        <w:spacing w:after="0" w:line="240" w:lineRule="auto"/>
        <w:rPr>
          <w:rFonts w:asciiTheme="minorHAnsi" w:hAnsiTheme="minorHAnsi" w:cstheme="minorHAnsi"/>
          <w:color w:val="000000" w:themeColor="text1"/>
          <w:spacing w:val="0"/>
          <w:sz w:val="24"/>
          <w:szCs w:val="20"/>
        </w:rPr>
      </w:pPr>
    </w:p>
    <w:tbl>
      <w:tblPr>
        <w:tblStyle w:val="Blueline"/>
        <w:tblW w:w="9450" w:type="dxa"/>
        <w:tblLook w:val="04E0" w:firstRow="1" w:lastRow="1" w:firstColumn="1" w:lastColumn="0" w:noHBand="0" w:noVBand="1"/>
      </w:tblPr>
      <w:tblGrid>
        <w:gridCol w:w="3600"/>
        <w:gridCol w:w="2700"/>
        <w:gridCol w:w="1620"/>
        <w:gridCol w:w="1530"/>
      </w:tblGrid>
      <w:tr w:rsidR="00D07710" w:rsidRPr="00123582" w14:paraId="7C4F9A27" w14:textId="77777777" w:rsidTr="003B28C6">
        <w:trPr>
          <w:cnfStyle w:val="100000000000" w:firstRow="1" w:lastRow="0" w:firstColumn="0" w:lastColumn="0" w:oddVBand="0" w:evenVBand="0" w:oddHBand="0" w:evenHBand="0" w:firstRowFirstColumn="0" w:firstRowLastColumn="0" w:lastRowFirstColumn="0" w:lastRowLastColumn="0"/>
        </w:trPr>
        <w:tc>
          <w:tcPr>
            <w:tcW w:w="3600" w:type="dxa"/>
          </w:tcPr>
          <w:p w14:paraId="08C0A2FA" w14:textId="3828C811" w:rsidR="00D07710" w:rsidRDefault="00D07710" w:rsidP="003B28C6">
            <w:r>
              <w:t>Type of event</w:t>
            </w:r>
          </w:p>
        </w:tc>
        <w:tc>
          <w:tcPr>
            <w:tcW w:w="2700" w:type="dxa"/>
          </w:tcPr>
          <w:p w14:paraId="6139153B" w14:textId="77777777" w:rsidR="00D07710" w:rsidRPr="00123582" w:rsidRDefault="00D07710" w:rsidP="003B28C6">
            <w:pPr>
              <w:jc w:val="right"/>
              <w:rPr>
                <w:b w:val="0"/>
              </w:rPr>
            </w:pPr>
            <w:r>
              <w:t>2022-23 £)</w:t>
            </w:r>
          </w:p>
        </w:tc>
        <w:tc>
          <w:tcPr>
            <w:tcW w:w="1620" w:type="dxa"/>
          </w:tcPr>
          <w:p w14:paraId="65F0630C" w14:textId="77777777" w:rsidR="00D07710" w:rsidRPr="00123582" w:rsidRDefault="00D07710" w:rsidP="003B28C6">
            <w:pPr>
              <w:jc w:val="right"/>
              <w:rPr>
                <w:b w:val="0"/>
              </w:rPr>
            </w:pPr>
            <w:r>
              <w:t>2021-22 (£)</w:t>
            </w:r>
          </w:p>
        </w:tc>
        <w:tc>
          <w:tcPr>
            <w:tcW w:w="1530" w:type="dxa"/>
          </w:tcPr>
          <w:p w14:paraId="5214A01F" w14:textId="77777777" w:rsidR="00D07710" w:rsidRPr="00123582" w:rsidRDefault="00D07710" w:rsidP="003B28C6">
            <w:pPr>
              <w:jc w:val="right"/>
              <w:rPr>
                <w:b w:val="0"/>
              </w:rPr>
            </w:pPr>
            <w:r>
              <w:t>2020-21 (£)</w:t>
            </w:r>
          </w:p>
        </w:tc>
      </w:tr>
      <w:tr w:rsidR="00D07710" w14:paraId="7F3823DC" w14:textId="77777777" w:rsidTr="003B28C6">
        <w:tc>
          <w:tcPr>
            <w:tcW w:w="3600" w:type="dxa"/>
          </w:tcPr>
          <w:p w14:paraId="14D9C2A8" w14:textId="66495999" w:rsidR="00D07710" w:rsidRDefault="00D07710" w:rsidP="003B28C6">
            <w:r>
              <w:t xml:space="preserve">Staff related </w:t>
            </w:r>
          </w:p>
        </w:tc>
        <w:tc>
          <w:tcPr>
            <w:tcW w:w="2700" w:type="dxa"/>
          </w:tcPr>
          <w:p w14:paraId="010D5D82" w14:textId="48000E0D" w:rsidR="00D07710" w:rsidRDefault="00296484" w:rsidP="003B28C6">
            <w:pPr>
              <w:jc w:val="right"/>
            </w:pPr>
            <w:r>
              <w:t>3,323</w:t>
            </w:r>
          </w:p>
        </w:tc>
        <w:tc>
          <w:tcPr>
            <w:tcW w:w="1620" w:type="dxa"/>
          </w:tcPr>
          <w:p w14:paraId="78C8F9B9" w14:textId="54C4995A" w:rsidR="00D07710" w:rsidRDefault="00046797" w:rsidP="003B28C6">
            <w:pPr>
              <w:jc w:val="right"/>
            </w:pPr>
            <w:r>
              <w:t>-</w:t>
            </w:r>
          </w:p>
        </w:tc>
        <w:tc>
          <w:tcPr>
            <w:tcW w:w="1530" w:type="dxa"/>
          </w:tcPr>
          <w:p w14:paraId="51212292" w14:textId="68F7D548" w:rsidR="00D07710" w:rsidRDefault="00046797" w:rsidP="003B28C6">
            <w:pPr>
              <w:jc w:val="right"/>
            </w:pPr>
            <w:r>
              <w:t>-</w:t>
            </w:r>
          </w:p>
        </w:tc>
      </w:tr>
      <w:tr w:rsidR="00D07710" w14:paraId="3C076B13" w14:textId="77777777" w:rsidTr="003B28C6">
        <w:trPr>
          <w:cnfStyle w:val="010000000000" w:firstRow="0" w:lastRow="1" w:firstColumn="0" w:lastColumn="0" w:oddVBand="0" w:evenVBand="0" w:oddHBand="0" w:evenHBand="0" w:firstRowFirstColumn="0" w:firstRowLastColumn="0" w:lastRowFirstColumn="0" w:lastRowLastColumn="0"/>
        </w:trPr>
        <w:tc>
          <w:tcPr>
            <w:tcW w:w="3600" w:type="dxa"/>
          </w:tcPr>
          <w:p w14:paraId="27C4B38C" w14:textId="7A00B96D" w:rsidR="00D07710" w:rsidRPr="00710913" w:rsidRDefault="00D07710" w:rsidP="003B28C6">
            <w:r>
              <w:t>Stakeholder related</w:t>
            </w:r>
          </w:p>
        </w:tc>
        <w:tc>
          <w:tcPr>
            <w:tcW w:w="2700" w:type="dxa"/>
          </w:tcPr>
          <w:p w14:paraId="4028C8D1" w14:textId="7ED62FD7" w:rsidR="00D07710" w:rsidRPr="00710913" w:rsidRDefault="00046797" w:rsidP="003B28C6">
            <w:pPr>
              <w:jc w:val="right"/>
            </w:pPr>
            <w:r>
              <w:t>4,504</w:t>
            </w:r>
          </w:p>
        </w:tc>
        <w:tc>
          <w:tcPr>
            <w:tcW w:w="1620" w:type="dxa"/>
          </w:tcPr>
          <w:p w14:paraId="77ACD449" w14:textId="07EB2181" w:rsidR="00D07710" w:rsidRPr="00710913" w:rsidRDefault="00046797" w:rsidP="003B28C6">
            <w:pPr>
              <w:jc w:val="right"/>
            </w:pPr>
            <w:r>
              <w:t>-</w:t>
            </w:r>
          </w:p>
        </w:tc>
        <w:tc>
          <w:tcPr>
            <w:tcW w:w="1530" w:type="dxa"/>
          </w:tcPr>
          <w:p w14:paraId="3C58F6F8" w14:textId="02810446" w:rsidR="00D07710" w:rsidRDefault="00046797" w:rsidP="003B28C6">
            <w:pPr>
              <w:jc w:val="right"/>
            </w:pPr>
            <w:r>
              <w:t>-</w:t>
            </w:r>
          </w:p>
        </w:tc>
      </w:tr>
    </w:tbl>
    <w:p w14:paraId="7852088A" w14:textId="77777777" w:rsidR="00D07710" w:rsidRPr="00B402F2" w:rsidRDefault="00D07710" w:rsidP="00B402F2">
      <w:pPr>
        <w:pStyle w:val="Heading1"/>
        <w:numPr>
          <w:ilvl w:val="0"/>
          <w:numId w:val="0"/>
        </w:numPr>
        <w:spacing w:after="0" w:line="240" w:lineRule="auto"/>
        <w:rPr>
          <w:rFonts w:asciiTheme="minorHAnsi" w:hAnsiTheme="minorHAnsi" w:cstheme="minorHAnsi"/>
          <w:color w:val="000000" w:themeColor="text1"/>
          <w:spacing w:val="0"/>
          <w:sz w:val="24"/>
          <w:szCs w:val="20"/>
        </w:rPr>
      </w:pPr>
    </w:p>
    <w:p w14:paraId="081E4EAD" w14:textId="77777777" w:rsidR="00164E8B" w:rsidRDefault="00164E8B" w:rsidP="00164E8B">
      <w:pPr>
        <w:pStyle w:val="Heading1"/>
        <w:numPr>
          <w:ilvl w:val="0"/>
          <w:numId w:val="0"/>
        </w:numPr>
        <w:spacing w:after="0" w:line="240" w:lineRule="auto"/>
        <w:rPr>
          <w:rFonts w:asciiTheme="minorHAnsi" w:hAnsiTheme="minorHAnsi" w:cstheme="minorHAnsi"/>
          <w:color w:val="000000" w:themeColor="text1"/>
          <w:spacing w:val="0"/>
          <w:sz w:val="24"/>
          <w:szCs w:val="20"/>
        </w:rPr>
      </w:pPr>
      <w:r>
        <w:rPr>
          <w:rFonts w:asciiTheme="minorHAnsi" w:hAnsiTheme="minorHAnsi" w:cstheme="minorHAnsi"/>
          <w:color w:val="000000" w:themeColor="text1"/>
          <w:spacing w:val="0"/>
          <w:sz w:val="24"/>
          <w:szCs w:val="20"/>
        </w:rPr>
        <w:t>WICS limited the number of in-person meetings during the COVID pandemic, therefore there was no expenditure during this time.</w:t>
      </w:r>
    </w:p>
    <w:p w14:paraId="4BD1F33A" w14:textId="77777777" w:rsidR="00164E8B" w:rsidRDefault="00164E8B" w:rsidP="000A272B">
      <w:pPr>
        <w:pStyle w:val="SMALLHEADINGALLCAPS"/>
      </w:pPr>
    </w:p>
    <w:p w14:paraId="29503274" w14:textId="1F708536" w:rsidR="000A272B" w:rsidRDefault="000A272B" w:rsidP="009A4B84">
      <w:pPr>
        <w:pStyle w:val="Summaryparagraphtextbold"/>
      </w:pPr>
      <w:r>
        <w:t>Gifts &gt; £50</w:t>
      </w:r>
    </w:p>
    <w:p w14:paraId="3A61149B" w14:textId="238540C8" w:rsidR="000A272B" w:rsidRDefault="000A272B" w:rsidP="000A272B">
      <w:pPr>
        <w:pStyle w:val="Heading1"/>
        <w:numPr>
          <w:ilvl w:val="0"/>
          <w:numId w:val="0"/>
        </w:numPr>
        <w:spacing w:after="0" w:line="240" w:lineRule="auto"/>
        <w:rPr>
          <w:rFonts w:asciiTheme="minorHAnsi" w:hAnsiTheme="minorHAnsi" w:cstheme="minorHAnsi"/>
          <w:color w:val="000000" w:themeColor="text1"/>
          <w:spacing w:val="0"/>
          <w:sz w:val="24"/>
          <w:szCs w:val="20"/>
        </w:rPr>
      </w:pPr>
      <w:r>
        <w:rPr>
          <w:rFonts w:asciiTheme="minorHAnsi" w:hAnsiTheme="minorHAnsi" w:cstheme="minorHAnsi"/>
          <w:color w:val="000000" w:themeColor="text1"/>
          <w:spacing w:val="0"/>
          <w:sz w:val="24"/>
          <w:szCs w:val="20"/>
        </w:rPr>
        <w:t xml:space="preserve">Gifts are provided in exceptional cases to </w:t>
      </w:r>
      <w:r w:rsidR="002E1661">
        <w:rPr>
          <w:rFonts w:asciiTheme="minorHAnsi" w:hAnsiTheme="minorHAnsi" w:cstheme="minorHAnsi"/>
          <w:color w:val="000000" w:themeColor="text1"/>
          <w:spacing w:val="0"/>
          <w:sz w:val="24"/>
          <w:szCs w:val="20"/>
        </w:rPr>
        <w:t>recognise</w:t>
      </w:r>
      <w:r>
        <w:rPr>
          <w:rFonts w:asciiTheme="minorHAnsi" w:hAnsiTheme="minorHAnsi" w:cstheme="minorHAnsi"/>
          <w:color w:val="000000" w:themeColor="text1"/>
          <w:spacing w:val="0"/>
          <w:sz w:val="24"/>
          <w:szCs w:val="20"/>
        </w:rPr>
        <w:t xml:space="preserve"> life events of employees and </w:t>
      </w:r>
      <w:r w:rsidR="002E1661">
        <w:rPr>
          <w:rFonts w:asciiTheme="minorHAnsi" w:hAnsiTheme="minorHAnsi" w:cstheme="minorHAnsi"/>
          <w:color w:val="000000" w:themeColor="text1"/>
          <w:spacing w:val="0"/>
          <w:sz w:val="24"/>
          <w:szCs w:val="20"/>
        </w:rPr>
        <w:t xml:space="preserve">key </w:t>
      </w:r>
      <w:r>
        <w:rPr>
          <w:rFonts w:asciiTheme="minorHAnsi" w:hAnsiTheme="minorHAnsi" w:cstheme="minorHAnsi"/>
          <w:color w:val="000000" w:themeColor="text1"/>
          <w:spacing w:val="0"/>
          <w:sz w:val="24"/>
          <w:szCs w:val="20"/>
        </w:rPr>
        <w:t>stakeholders. The total amount spent on gifts greater than £50 are outlined in the table below.</w:t>
      </w:r>
    </w:p>
    <w:p w14:paraId="6290D300" w14:textId="77777777" w:rsidR="000A272B" w:rsidRDefault="000A272B" w:rsidP="000A272B">
      <w:pPr>
        <w:pStyle w:val="Heading1"/>
        <w:numPr>
          <w:ilvl w:val="0"/>
          <w:numId w:val="0"/>
        </w:numPr>
        <w:spacing w:after="0" w:line="240" w:lineRule="auto"/>
        <w:rPr>
          <w:rFonts w:asciiTheme="minorHAnsi" w:hAnsiTheme="minorHAnsi" w:cstheme="minorHAnsi"/>
          <w:color w:val="000000" w:themeColor="text1"/>
          <w:spacing w:val="0"/>
          <w:sz w:val="24"/>
          <w:szCs w:val="20"/>
        </w:rPr>
      </w:pPr>
    </w:p>
    <w:tbl>
      <w:tblPr>
        <w:tblStyle w:val="Blueline"/>
        <w:tblW w:w="9450" w:type="dxa"/>
        <w:tblLook w:val="04E0" w:firstRow="1" w:lastRow="1" w:firstColumn="1" w:lastColumn="0" w:noHBand="0" w:noVBand="1"/>
      </w:tblPr>
      <w:tblGrid>
        <w:gridCol w:w="3600"/>
        <w:gridCol w:w="2700"/>
        <w:gridCol w:w="1620"/>
        <w:gridCol w:w="1530"/>
      </w:tblGrid>
      <w:tr w:rsidR="00B92114" w14:paraId="0504EE53" w14:textId="71DF9776" w:rsidTr="00123582">
        <w:trPr>
          <w:cnfStyle w:val="100000000000" w:firstRow="1" w:lastRow="0" w:firstColumn="0" w:lastColumn="0" w:oddVBand="0" w:evenVBand="0" w:oddHBand="0" w:evenHBand="0" w:firstRowFirstColumn="0" w:firstRowLastColumn="0" w:lastRowFirstColumn="0" w:lastRowLastColumn="0"/>
        </w:trPr>
        <w:tc>
          <w:tcPr>
            <w:tcW w:w="3600" w:type="dxa"/>
          </w:tcPr>
          <w:p w14:paraId="14D842B7" w14:textId="043828B9" w:rsidR="00B92114" w:rsidRDefault="00B92114" w:rsidP="003B28C6">
            <w:r>
              <w:t>Recipient</w:t>
            </w:r>
          </w:p>
        </w:tc>
        <w:tc>
          <w:tcPr>
            <w:tcW w:w="2700" w:type="dxa"/>
          </w:tcPr>
          <w:p w14:paraId="3265F7DB" w14:textId="2D6E995E" w:rsidR="00B92114" w:rsidRPr="00123582" w:rsidRDefault="00B92114" w:rsidP="00123582">
            <w:pPr>
              <w:jc w:val="right"/>
              <w:rPr>
                <w:b w:val="0"/>
              </w:rPr>
            </w:pPr>
            <w:r>
              <w:t>2022-2</w:t>
            </w:r>
            <w:r w:rsidR="00123582">
              <w:t xml:space="preserve">3 </w:t>
            </w:r>
            <w:r>
              <w:t>£)</w:t>
            </w:r>
          </w:p>
        </w:tc>
        <w:tc>
          <w:tcPr>
            <w:tcW w:w="1620" w:type="dxa"/>
          </w:tcPr>
          <w:p w14:paraId="65623E82" w14:textId="4E4369F4" w:rsidR="00B92114" w:rsidRPr="00123582" w:rsidRDefault="00B92114" w:rsidP="00123582">
            <w:pPr>
              <w:jc w:val="right"/>
              <w:rPr>
                <w:b w:val="0"/>
              </w:rPr>
            </w:pPr>
            <w:r>
              <w:t>2021-22</w:t>
            </w:r>
            <w:r w:rsidR="00123582">
              <w:t xml:space="preserve"> </w:t>
            </w:r>
            <w:r>
              <w:t>(£)</w:t>
            </w:r>
          </w:p>
        </w:tc>
        <w:tc>
          <w:tcPr>
            <w:tcW w:w="1530" w:type="dxa"/>
          </w:tcPr>
          <w:p w14:paraId="29C26F9F" w14:textId="54C26147" w:rsidR="00B92114" w:rsidRPr="00123582" w:rsidRDefault="00B92114" w:rsidP="00123582">
            <w:pPr>
              <w:jc w:val="right"/>
              <w:rPr>
                <w:b w:val="0"/>
              </w:rPr>
            </w:pPr>
            <w:r>
              <w:t>202</w:t>
            </w:r>
            <w:r w:rsidR="00123582">
              <w:t>0</w:t>
            </w:r>
            <w:r>
              <w:t>-21</w:t>
            </w:r>
            <w:r w:rsidR="00123582">
              <w:t xml:space="preserve"> </w:t>
            </w:r>
            <w:r>
              <w:t>(£)</w:t>
            </w:r>
          </w:p>
        </w:tc>
      </w:tr>
      <w:tr w:rsidR="00B92114" w14:paraId="57873468" w14:textId="2340F404" w:rsidTr="00123582">
        <w:tc>
          <w:tcPr>
            <w:tcW w:w="3600" w:type="dxa"/>
          </w:tcPr>
          <w:p w14:paraId="2937AB9D" w14:textId="78D68231" w:rsidR="00B92114" w:rsidRDefault="00B92114" w:rsidP="003B28C6">
            <w:r>
              <w:t>WICS employees</w:t>
            </w:r>
            <w:r w:rsidR="00123582">
              <w:t xml:space="preserve"> and members</w:t>
            </w:r>
            <w:r>
              <w:rPr>
                <w:rStyle w:val="FootnoteReference"/>
              </w:rPr>
              <w:footnoteReference w:id="3"/>
            </w:r>
          </w:p>
        </w:tc>
        <w:tc>
          <w:tcPr>
            <w:tcW w:w="2700" w:type="dxa"/>
          </w:tcPr>
          <w:p w14:paraId="57BF681F" w14:textId="55DB9E6B" w:rsidR="00B92114" w:rsidRDefault="00B92114" w:rsidP="003B28C6">
            <w:pPr>
              <w:jc w:val="right"/>
            </w:pPr>
            <w:r>
              <w:t>2,939</w:t>
            </w:r>
          </w:p>
        </w:tc>
        <w:tc>
          <w:tcPr>
            <w:tcW w:w="1620" w:type="dxa"/>
          </w:tcPr>
          <w:p w14:paraId="650A4F0B" w14:textId="02E260DC" w:rsidR="00B92114" w:rsidRDefault="00B92114" w:rsidP="003B28C6">
            <w:pPr>
              <w:jc w:val="right"/>
            </w:pPr>
            <w:r>
              <w:t>3,160</w:t>
            </w:r>
          </w:p>
        </w:tc>
        <w:tc>
          <w:tcPr>
            <w:tcW w:w="1530" w:type="dxa"/>
          </w:tcPr>
          <w:p w14:paraId="0DDDFB59" w14:textId="2E7FAB34" w:rsidR="00B92114" w:rsidRDefault="00B92114" w:rsidP="003B28C6">
            <w:pPr>
              <w:jc w:val="right"/>
            </w:pPr>
            <w:r>
              <w:t>219</w:t>
            </w:r>
          </w:p>
        </w:tc>
      </w:tr>
      <w:tr w:rsidR="00B92114" w:rsidRPr="00710913" w14:paraId="5C2053E6" w14:textId="18003A29" w:rsidTr="00123582">
        <w:trPr>
          <w:cnfStyle w:val="010000000000" w:firstRow="0" w:lastRow="1" w:firstColumn="0" w:lastColumn="0" w:oddVBand="0" w:evenVBand="0" w:oddHBand="0" w:evenHBand="0" w:firstRowFirstColumn="0" w:firstRowLastColumn="0" w:lastRowFirstColumn="0" w:lastRowLastColumn="0"/>
        </w:trPr>
        <w:tc>
          <w:tcPr>
            <w:tcW w:w="3600" w:type="dxa"/>
          </w:tcPr>
          <w:p w14:paraId="78F26AB2" w14:textId="009C856A" w:rsidR="00B92114" w:rsidRPr="00710913" w:rsidRDefault="00B92114" w:rsidP="003B28C6">
            <w:r>
              <w:t>External stakeholders</w:t>
            </w:r>
          </w:p>
        </w:tc>
        <w:tc>
          <w:tcPr>
            <w:tcW w:w="2700" w:type="dxa"/>
          </w:tcPr>
          <w:p w14:paraId="06F4249B" w14:textId="7EFCE4AE" w:rsidR="00B92114" w:rsidRPr="00710913" w:rsidRDefault="00B92114" w:rsidP="003B28C6">
            <w:pPr>
              <w:jc w:val="right"/>
            </w:pPr>
            <w:r>
              <w:t>52</w:t>
            </w:r>
          </w:p>
        </w:tc>
        <w:tc>
          <w:tcPr>
            <w:tcW w:w="1620" w:type="dxa"/>
          </w:tcPr>
          <w:p w14:paraId="5F2CFE30" w14:textId="7BAEAC33" w:rsidR="00B92114" w:rsidRPr="00710913" w:rsidRDefault="00B92114" w:rsidP="003B28C6">
            <w:pPr>
              <w:jc w:val="right"/>
            </w:pPr>
            <w:r>
              <w:t>55</w:t>
            </w:r>
          </w:p>
        </w:tc>
        <w:tc>
          <w:tcPr>
            <w:tcW w:w="1530" w:type="dxa"/>
          </w:tcPr>
          <w:p w14:paraId="5BC3EC8B" w14:textId="70C5B760" w:rsidR="00B92114" w:rsidRDefault="00B92114" w:rsidP="003B28C6">
            <w:pPr>
              <w:jc w:val="right"/>
            </w:pPr>
            <w:r>
              <w:t>56</w:t>
            </w:r>
          </w:p>
        </w:tc>
      </w:tr>
    </w:tbl>
    <w:p w14:paraId="2470E340" w14:textId="18376987" w:rsidR="008F1DD1" w:rsidRPr="000A272B" w:rsidRDefault="008F1DD1" w:rsidP="00893A2B">
      <w:pPr>
        <w:spacing w:after="160" w:line="259" w:lineRule="auto"/>
        <w:rPr>
          <w:rFonts w:cstheme="minorHAnsi"/>
          <w:color w:val="000000" w:themeColor="text1"/>
          <w:szCs w:val="20"/>
        </w:rPr>
      </w:pPr>
    </w:p>
    <w:p w14:paraId="5D2FCE7F" w14:textId="7A06C962" w:rsidR="007E7292" w:rsidRPr="00EC06F5" w:rsidRDefault="00ED0985" w:rsidP="00ED0985">
      <w:pPr>
        <w:pStyle w:val="Heading20"/>
      </w:pPr>
      <w:bookmarkStart w:id="7" w:name="_Toc142395801"/>
      <w:r>
        <w:lastRenderedPageBreak/>
        <w:t xml:space="preserve">3.4 </w:t>
      </w:r>
      <w:r w:rsidR="007E7292">
        <w:t>External consultancy</w:t>
      </w:r>
      <w:bookmarkEnd w:id="7"/>
    </w:p>
    <w:p w14:paraId="02CF589B" w14:textId="77777777" w:rsidR="008F1DD1" w:rsidRDefault="008F1DD1" w:rsidP="009A4B84">
      <w:pPr>
        <w:pStyle w:val="SMALLHEADINGALLCAPS"/>
      </w:pPr>
    </w:p>
    <w:p w14:paraId="264DBEA8" w14:textId="1D48897E" w:rsidR="009A4B84" w:rsidRDefault="009A4B84" w:rsidP="009A4B84">
      <w:pPr>
        <w:pStyle w:val="SMALLHEADINGALLCAPS"/>
      </w:pPr>
      <w:r>
        <w:t>Requirement</w:t>
      </w:r>
    </w:p>
    <w:p w14:paraId="067E22BA" w14:textId="31E0BE62" w:rsidR="009A4B84" w:rsidRPr="009A4B84" w:rsidRDefault="008F1DD1" w:rsidP="009A4B84">
      <w:pPr>
        <w:spacing w:line="240" w:lineRule="auto"/>
        <w:jc w:val="both"/>
        <w:rPr>
          <w:rFonts w:cstheme="minorHAnsi"/>
          <w:color w:val="000000" w:themeColor="text1"/>
          <w:szCs w:val="20"/>
        </w:rPr>
      </w:pPr>
      <w:r>
        <w:rPr>
          <w:rFonts w:cstheme="minorHAnsi"/>
          <w:color w:val="000000" w:themeColor="text1"/>
          <w:szCs w:val="20"/>
        </w:rPr>
        <w:t>A statement on expenditure on “external consultancy” services, as defined as</w:t>
      </w:r>
      <w:r w:rsidR="009A4B84" w:rsidRPr="009A4B84">
        <w:rPr>
          <w:rFonts w:cstheme="minorHAnsi"/>
          <w:color w:val="000000" w:themeColor="text1"/>
          <w:szCs w:val="20"/>
        </w:rPr>
        <w:t xml:space="preserve"> a wide range of professional services such as management consultancy, IT consultancy, financial consultancy, research and evaluation and policy development. </w:t>
      </w:r>
    </w:p>
    <w:p w14:paraId="7F6A2566" w14:textId="77777777" w:rsidR="007E7292" w:rsidRDefault="007E7292" w:rsidP="007E7292">
      <w:pPr>
        <w:pStyle w:val="Heading2"/>
        <w:numPr>
          <w:ilvl w:val="0"/>
          <w:numId w:val="0"/>
        </w:numPr>
        <w:ind w:left="709" w:hanging="709"/>
      </w:pPr>
    </w:p>
    <w:p w14:paraId="4CDE3F86" w14:textId="77777777" w:rsidR="00123582" w:rsidRDefault="00123582" w:rsidP="00123582">
      <w:pPr>
        <w:pStyle w:val="SMALLHEADINGALLCAPS"/>
      </w:pPr>
      <w:r>
        <w:t>DISCLOSURES</w:t>
      </w:r>
    </w:p>
    <w:p w14:paraId="54E9085C" w14:textId="04908433" w:rsidR="002348EB" w:rsidRDefault="002348EB" w:rsidP="002348EB">
      <w:pPr>
        <w:spacing w:line="240" w:lineRule="auto"/>
        <w:jc w:val="both"/>
        <w:rPr>
          <w:rFonts w:cstheme="minorHAnsi"/>
          <w:color w:val="000000" w:themeColor="text1"/>
          <w:szCs w:val="20"/>
        </w:rPr>
      </w:pPr>
      <w:r>
        <w:rPr>
          <w:rFonts w:cstheme="minorHAnsi"/>
          <w:color w:val="000000" w:themeColor="text1"/>
          <w:szCs w:val="20"/>
        </w:rPr>
        <w:t xml:space="preserve">WICS requires wide-ranging advice to make appropriate assumptions about the reasonable costs that it should allow for in setting prices. These assumptions must be robust to external challenge. </w:t>
      </w:r>
      <w:r w:rsidR="002E1661">
        <w:rPr>
          <w:rFonts w:cstheme="minorHAnsi"/>
          <w:color w:val="000000" w:themeColor="text1"/>
          <w:szCs w:val="20"/>
        </w:rPr>
        <w:t xml:space="preserve"> </w:t>
      </w:r>
      <w:r>
        <w:rPr>
          <w:rFonts w:cstheme="minorHAnsi"/>
          <w:color w:val="000000" w:themeColor="text1"/>
          <w:szCs w:val="20"/>
        </w:rPr>
        <w:t>WICS must also ensure that its processes and decisions can withstand judicial scrutiny. Supplementing WICS’s expertise with that of outside experts provides significant reassurance of the quality and independence of its work.</w:t>
      </w:r>
    </w:p>
    <w:p w14:paraId="2B9678BF" w14:textId="77777777" w:rsidR="002348EB" w:rsidRDefault="002348EB" w:rsidP="002348EB">
      <w:pPr>
        <w:spacing w:line="240" w:lineRule="auto"/>
        <w:jc w:val="both"/>
        <w:rPr>
          <w:rFonts w:cstheme="minorHAnsi"/>
          <w:color w:val="000000" w:themeColor="text1"/>
          <w:szCs w:val="20"/>
        </w:rPr>
      </w:pPr>
    </w:p>
    <w:p w14:paraId="29837EC4" w14:textId="339ACE4C" w:rsidR="00123582" w:rsidRDefault="00123582" w:rsidP="007E7292">
      <w:pPr>
        <w:pStyle w:val="Heading2"/>
        <w:numPr>
          <w:ilvl w:val="0"/>
          <w:numId w:val="0"/>
        </w:numPr>
        <w:ind w:left="709" w:hanging="709"/>
        <w:rPr>
          <w:rFonts w:cstheme="minorHAnsi"/>
          <w:color w:val="000000" w:themeColor="text1"/>
          <w:sz w:val="24"/>
          <w:szCs w:val="20"/>
        </w:rPr>
      </w:pPr>
      <w:r w:rsidRPr="00123582">
        <w:rPr>
          <w:rFonts w:cstheme="minorHAnsi"/>
          <w:color w:val="000000" w:themeColor="text1"/>
          <w:sz w:val="24"/>
          <w:szCs w:val="20"/>
        </w:rPr>
        <w:t>Expenditure on external consultancy services is outlined, by type, in the table below.</w:t>
      </w:r>
    </w:p>
    <w:p w14:paraId="260C1309" w14:textId="77777777" w:rsidR="00123582" w:rsidRPr="00123582" w:rsidRDefault="00123582" w:rsidP="007E7292">
      <w:pPr>
        <w:pStyle w:val="Heading2"/>
        <w:numPr>
          <w:ilvl w:val="0"/>
          <w:numId w:val="0"/>
        </w:numPr>
        <w:ind w:left="709" w:hanging="709"/>
        <w:rPr>
          <w:rFonts w:cstheme="minorHAnsi"/>
          <w:color w:val="000000" w:themeColor="text1"/>
          <w:sz w:val="24"/>
          <w:szCs w:val="20"/>
        </w:rPr>
      </w:pPr>
    </w:p>
    <w:tbl>
      <w:tblPr>
        <w:tblStyle w:val="Blueline"/>
        <w:tblW w:w="9450" w:type="dxa"/>
        <w:tblLook w:val="04E0" w:firstRow="1" w:lastRow="1" w:firstColumn="1" w:lastColumn="0" w:noHBand="0" w:noVBand="1"/>
      </w:tblPr>
      <w:tblGrid>
        <w:gridCol w:w="3600"/>
        <w:gridCol w:w="2700"/>
        <w:gridCol w:w="1620"/>
        <w:gridCol w:w="1530"/>
      </w:tblGrid>
      <w:tr w:rsidR="00123582" w14:paraId="766E0FCA" w14:textId="77777777" w:rsidTr="003B28C6">
        <w:trPr>
          <w:cnfStyle w:val="100000000000" w:firstRow="1" w:lastRow="0" w:firstColumn="0" w:lastColumn="0" w:oddVBand="0" w:evenVBand="0" w:oddHBand="0" w:evenHBand="0" w:firstRowFirstColumn="0" w:firstRowLastColumn="0" w:lastRowFirstColumn="0" w:lastRowLastColumn="0"/>
        </w:trPr>
        <w:tc>
          <w:tcPr>
            <w:tcW w:w="3600" w:type="dxa"/>
          </w:tcPr>
          <w:p w14:paraId="43E245F0" w14:textId="51EA83B5" w:rsidR="00123582" w:rsidRDefault="00123582" w:rsidP="003B28C6">
            <w:r>
              <w:t>Type of consultancy service</w:t>
            </w:r>
          </w:p>
        </w:tc>
        <w:tc>
          <w:tcPr>
            <w:tcW w:w="2700" w:type="dxa"/>
          </w:tcPr>
          <w:p w14:paraId="0FC21435" w14:textId="4627DBE3" w:rsidR="00123582" w:rsidRPr="00123582" w:rsidRDefault="00123582" w:rsidP="00123582">
            <w:pPr>
              <w:jc w:val="right"/>
              <w:rPr>
                <w:b w:val="0"/>
              </w:rPr>
            </w:pPr>
            <w:r>
              <w:t>2022-23 (£)</w:t>
            </w:r>
          </w:p>
        </w:tc>
        <w:tc>
          <w:tcPr>
            <w:tcW w:w="1620" w:type="dxa"/>
          </w:tcPr>
          <w:p w14:paraId="19EED406" w14:textId="75486C00" w:rsidR="00123582" w:rsidRPr="00123582" w:rsidRDefault="00123582" w:rsidP="00123582">
            <w:pPr>
              <w:jc w:val="right"/>
              <w:rPr>
                <w:b w:val="0"/>
              </w:rPr>
            </w:pPr>
            <w:r>
              <w:t>2021-22 (£)</w:t>
            </w:r>
          </w:p>
        </w:tc>
        <w:tc>
          <w:tcPr>
            <w:tcW w:w="1530" w:type="dxa"/>
          </w:tcPr>
          <w:p w14:paraId="535B7395" w14:textId="12AC5451" w:rsidR="00123582" w:rsidRPr="00123582" w:rsidRDefault="00123582" w:rsidP="00123582">
            <w:pPr>
              <w:jc w:val="right"/>
              <w:rPr>
                <w:b w:val="0"/>
              </w:rPr>
            </w:pPr>
            <w:r>
              <w:t>2020-21 (£)</w:t>
            </w:r>
          </w:p>
        </w:tc>
      </w:tr>
      <w:tr w:rsidR="00123582" w14:paraId="66E5D8FE" w14:textId="77777777" w:rsidTr="003B28C6">
        <w:tc>
          <w:tcPr>
            <w:tcW w:w="3600" w:type="dxa"/>
          </w:tcPr>
          <w:p w14:paraId="7760B177" w14:textId="00445B10" w:rsidR="00123582" w:rsidRDefault="00123582" w:rsidP="003B28C6">
            <w:r>
              <w:t>Regulation and licensing support</w:t>
            </w:r>
          </w:p>
        </w:tc>
        <w:tc>
          <w:tcPr>
            <w:tcW w:w="2700" w:type="dxa"/>
          </w:tcPr>
          <w:p w14:paraId="53851073" w14:textId="1F57EAE3" w:rsidR="00123582" w:rsidRDefault="00123582" w:rsidP="003B28C6">
            <w:pPr>
              <w:jc w:val="right"/>
            </w:pPr>
            <w:r>
              <w:t>242,980</w:t>
            </w:r>
          </w:p>
        </w:tc>
        <w:tc>
          <w:tcPr>
            <w:tcW w:w="1620" w:type="dxa"/>
          </w:tcPr>
          <w:p w14:paraId="32D4ED1C" w14:textId="10B82076" w:rsidR="00123582" w:rsidRDefault="00123582" w:rsidP="003B28C6">
            <w:pPr>
              <w:jc w:val="right"/>
            </w:pPr>
            <w:r>
              <w:t>187,946</w:t>
            </w:r>
          </w:p>
        </w:tc>
        <w:tc>
          <w:tcPr>
            <w:tcW w:w="1530" w:type="dxa"/>
          </w:tcPr>
          <w:p w14:paraId="2D992324" w14:textId="04D949A0" w:rsidR="00123582" w:rsidRDefault="00123582" w:rsidP="003B28C6">
            <w:pPr>
              <w:jc w:val="right"/>
            </w:pPr>
            <w:r>
              <w:t>349,261</w:t>
            </w:r>
          </w:p>
        </w:tc>
      </w:tr>
      <w:tr w:rsidR="00123582" w14:paraId="276251AE" w14:textId="77777777" w:rsidTr="003B28C6">
        <w:tc>
          <w:tcPr>
            <w:tcW w:w="3600" w:type="dxa"/>
          </w:tcPr>
          <w:p w14:paraId="1AC27BF7" w14:textId="75712640" w:rsidR="00123582" w:rsidRPr="00710913" w:rsidRDefault="00123582" w:rsidP="003B28C6">
            <w:r>
              <w:t>OECD peer review</w:t>
            </w:r>
          </w:p>
        </w:tc>
        <w:tc>
          <w:tcPr>
            <w:tcW w:w="2700" w:type="dxa"/>
          </w:tcPr>
          <w:p w14:paraId="321A7797" w14:textId="2406C23C" w:rsidR="00123582" w:rsidRPr="00710913" w:rsidRDefault="00123582" w:rsidP="003B28C6">
            <w:pPr>
              <w:jc w:val="right"/>
            </w:pPr>
            <w:r>
              <w:t>-</w:t>
            </w:r>
          </w:p>
        </w:tc>
        <w:tc>
          <w:tcPr>
            <w:tcW w:w="1620" w:type="dxa"/>
          </w:tcPr>
          <w:p w14:paraId="3C6AB2EC" w14:textId="52123723" w:rsidR="00123582" w:rsidRPr="00710913" w:rsidRDefault="00123582" w:rsidP="003B28C6">
            <w:pPr>
              <w:jc w:val="right"/>
            </w:pPr>
            <w:r>
              <w:t>-</w:t>
            </w:r>
          </w:p>
        </w:tc>
        <w:tc>
          <w:tcPr>
            <w:tcW w:w="1530" w:type="dxa"/>
          </w:tcPr>
          <w:p w14:paraId="645EE41E" w14:textId="116DE30F" w:rsidR="00123582" w:rsidRDefault="00123582" w:rsidP="003B28C6">
            <w:pPr>
              <w:jc w:val="right"/>
            </w:pPr>
            <w:r>
              <w:t>225,776</w:t>
            </w:r>
          </w:p>
        </w:tc>
      </w:tr>
      <w:tr w:rsidR="00123582" w14:paraId="2AE1CFC6" w14:textId="77777777" w:rsidTr="003B28C6">
        <w:tc>
          <w:tcPr>
            <w:tcW w:w="3600" w:type="dxa"/>
          </w:tcPr>
          <w:p w14:paraId="6C5A4554" w14:textId="053ED535" w:rsidR="00123582" w:rsidRDefault="00123582" w:rsidP="003B28C6">
            <w:r>
              <w:t>Internal audit and accounting</w:t>
            </w:r>
          </w:p>
        </w:tc>
        <w:tc>
          <w:tcPr>
            <w:tcW w:w="2700" w:type="dxa"/>
          </w:tcPr>
          <w:p w14:paraId="5E22858D" w14:textId="093C5C98" w:rsidR="00123582" w:rsidRDefault="00123582" w:rsidP="003B28C6">
            <w:pPr>
              <w:jc w:val="right"/>
            </w:pPr>
            <w:r>
              <w:t>108,006</w:t>
            </w:r>
          </w:p>
        </w:tc>
        <w:tc>
          <w:tcPr>
            <w:tcW w:w="1620" w:type="dxa"/>
          </w:tcPr>
          <w:p w14:paraId="6D6A4A90" w14:textId="27801F5D" w:rsidR="00123582" w:rsidRDefault="00123582" w:rsidP="003B28C6">
            <w:pPr>
              <w:jc w:val="right"/>
            </w:pPr>
            <w:r>
              <w:t>77,402</w:t>
            </w:r>
          </w:p>
        </w:tc>
        <w:tc>
          <w:tcPr>
            <w:tcW w:w="1530" w:type="dxa"/>
          </w:tcPr>
          <w:p w14:paraId="21BB5613" w14:textId="6F6466E8" w:rsidR="00123582" w:rsidRDefault="00123582" w:rsidP="003B28C6">
            <w:pPr>
              <w:jc w:val="right"/>
            </w:pPr>
            <w:r>
              <w:t>63,651</w:t>
            </w:r>
          </w:p>
        </w:tc>
      </w:tr>
      <w:tr w:rsidR="00123582" w14:paraId="17A3C28C" w14:textId="77777777" w:rsidTr="003B28C6">
        <w:tc>
          <w:tcPr>
            <w:tcW w:w="3600" w:type="dxa"/>
          </w:tcPr>
          <w:p w14:paraId="11EA3A36" w14:textId="4AF93C61" w:rsidR="00123582" w:rsidRDefault="00123582" w:rsidP="003B28C6">
            <w:r>
              <w:t>Other</w:t>
            </w:r>
          </w:p>
        </w:tc>
        <w:tc>
          <w:tcPr>
            <w:tcW w:w="2700" w:type="dxa"/>
          </w:tcPr>
          <w:p w14:paraId="61C7DF1D" w14:textId="1A3E5D8A" w:rsidR="00123582" w:rsidRDefault="00123582" w:rsidP="003B28C6">
            <w:pPr>
              <w:jc w:val="right"/>
            </w:pPr>
            <w:r>
              <w:t>15,243</w:t>
            </w:r>
          </w:p>
        </w:tc>
        <w:tc>
          <w:tcPr>
            <w:tcW w:w="1620" w:type="dxa"/>
          </w:tcPr>
          <w:p w14:paraId="4BC74FE6" w14:textId="06BD2A38" w:rsidR="00123582" w:rsidRDefault="00123582" w:rsidP="003B28C6">
            <w:pPr>
              <w:jc w:val="right"/>
            </w:pPr>
            <w:r>
              <w:t>13,374</w:t>
            </w:r>
          </w:p>
        </w:tc>
        <w:tc>
          <w:tcPr>
            <w:tcW w:w="1530" w:type="dxa"/>
          </w:tcPr>
          <w:p w14:paraId="385107C4" w14:textId="2970B767" w:rsidR="00123582" w:rsidRDefault="00123582" w:rsidP="003B28C6">
            <w:pPr>
              <w:jc w:val="right"/>
            </w:pPr>
            <w:r>
              <w:t>11,448</w:t>
            </w:r>
          </w:p>
        </w:tc>
      </w:tr>
      <w:tr w:rsidR="00123582" w14:paraId="260FED5F" w14:textId="77777777" w:rsidTr="003B28C6">
        <w:trPr>
          <w:cnfStyle w:val="010000000000" w:firstRow="0" w:lastRow="1" w:firstColumn="0" w:lastColumn="0" w:oddVBand="0" w:evenVBand="0" w:oddHBand="0" w:evenHBand="0" w:firstRowFirstColumn="0" w:firstRowLastColumn="0" w:lastRowFirstColumn="0" w:lastRowLastColumn="0"/>
        </w:trPr>
        <w:tc>
          <w:tcPr>
            <w:tcW w:w="3600" w:type="dxa"/>
          </w:tcPr>
          <w:p w14:paraId="2E85EFB3" w14:textId="59C151FE" w:rsidR="00123582" w:rsidRPr="0003096B" w:rsidRDefault="00123582" w:rsidP="003B28C6">
            <w:pPr>
              <w:rPr>
                <w:b/>
                <w:bCs/>
              </w:rPr>
            </w:pPr>
            <w:r w:rsidRPr="0003096B">
              <w:rPr>
                <w:b/>
                <w:bCs/>
              </w:rPr>
              <w:t>Total</w:t>
            </w:r>
          </w:p>
        </w:tc>
        <w:tc>
          <w:tcPr>
            <w:tcW w:w="2700" w:type="dxa"/>
          </w:tcPr>
          <w:p w14:paraId="634980C4" w14:textId="10A232AC" w:rsidR="00123582" w:rsidRPr="0003096B" w:rsidRDefault="00123582" w:rsidP="003B28C6">
            <w:pPr>
              <w:jc w:val="right"/>
              <w:rPr>
                <w:b/>
                <w:bCs/>
              </w:rPr>
            </w:pPr>
            <w:r w:rsidRPr="0003096B">
              <w:rPr>
                <w:b/>
                <w:bCs/>
              </w:rPr>
              <w:t>366,229</w:t>
            </w:r>
          </w:p>
        </w:tc>
        <w:tc>
          <w:tcPr>
            <w:tcW w:w="1620" w:type="dxa"/>
          </w:tcPr>
          <w:p w14:paraId="15DDB7C5" w14:textId="2F4225F2" w:rsidR="00123582" w:rsidRPr="0003096B" w:rsidRDefault="00123582" w:rsidP="003B28C6">
            <w:pPr>
              <w:jc w:val="right"/>
              <w:rPr>
                <w:b/>
                <w:bCs/>
              </w:rPr>
            </w:pPr>
            <w:r w:rsidRPr="0003096B">
              <w:rPr>
                <w:b/>
                <w:bCs/>
              </w:rPr>
              <w:t>278,722</w:t>
            </w:r>
          </w:p>
        </w:tc>
        <w:tc>
          <w:tcPr>
            <w:tcW w:w="1530" w:type="dxa"/>
          </w:tcPr>
          <w:p w14:paraId="75DFCEDD" w14:textId="1F37154A" w:rsidR="00123582" w:rsidRPr="0003096B" w:rsidRDefault="0003096B" w:rsidP="003B28C6">
            <w:pPr>
              <w:jc w:val="right"/>
              <w:rPr>
                <w:b/>
                <w:bCs/>
              </w:rPr>
            </w:pPr>
            <w:r w:rsidRPr="0003096B">
              <w:rPr>
                <w:b/>
                <w:bCs/>
              </w:rPr>
              <w:t>650,136</w:t>
            </w:r>
          </w:p>
        </w:tc>
      </w:tr>
    </w:tbl>
    <w:p w14:paraId="01C2288A" w14:textId="77777777" w:rsidR="00123582" w:rsidRDefault="00123582" w:rsidP="007E7292">
      <w:pPr>
        <w:pStyle w:val="Heading2"/>
        <w:numPr>
          <w:ilvl w:val="0"/>
          <w:numId w:val="0"/>
        </w:numPr>
        <w:ind w:left="709" w:hanging="709"/>
      </w:pPr>
    </w:p>
    <w:p w14:paraId="4B344754" w14:textId="592AF24B" w:rsidR="0003096B" w:rsidRDefault="0003096B">
      <w:pPr>
        <w:spacing w:after="160" w:line="259" w:lineRule="auto"/>
        <w:rPr>
          <w:color w:val="5F7577" w:themeColor="accent2"/>
          <w:sz w:val="32"/>
          <w:szCs w:val="28"/>
        </w:rPr>
      </w:pPr>
      <w:r>
        <w:br w:type="page"/>
      </w:r>
    </w:p>
    <w:p w14:paraId="5F9E13AA" w14:textId="77777777" w:rsidR="00D51448" w:rsidRDefault="00D51448" w:rsidP="0003096B">
      <w:pPr>
        <w:pStyle w:val="Heading2"/>
        <w:numPr>
          <w:ilvl w:val="0"/>
          <w:numId w:val="0"/>
        </w:numPr>
      </w:pPr>
    </w:p>
    <w:p w14:paraId="724892AC" w14:textId="1829727D" w:rsidR="00D51448" w:rsidRPr="00EC06F5" w:rsidRDefault="00ED0985" w:rsidP="00ED0985">
      <w:pPr>
        <w:pStyle w:val="Heading20"/>
      </w:pPr>
      <w:bookmarkStart w:id="8" w:name="_Toc142395802"/>
      <w:r>
        <w:t xml:space="preserve">3.5 </w:t>
      </w:r>
      <w:r w:rsidR="00D51448">
        <w:t xml:space="preserve">Payments </w:t>
      </w:r>
      <w:proofErr w:type="gramStart"/>
      <w:r w:rsidR="00D51448">
        <w:t>in excess of</w:t>
      </w:r>
      <w:proofErr w:type="gramEnd"/>
      <w:r w:rsidR="00D51448">
        <w:t xml:space="preserve"> £25,000</w:t>
      </w:r>
      <w:bookmarkEnd w:id="8"/>
    </w:p>
    <w:p w14:paraId="4B8B7DF8" w14:textId="77777777" w:rsidR="00F0627E" w:rsidRDefault="00F0627E" w:rsidP="00D51448">
      <w:pPr>
        <w:spacing w:line="240" w:lineRule="auto"/>
        <w:jc w:val="both"/>
        <w:rPr>
          <w:rFonts w:cstheme="minorHAnsi"/>
          <w:color w:val="000000" w:themeColor="text1"/>
          <w:szCs w:val="20"/>
        </w:rPr>
      </w:pPr>
    </w:p>
    <w:p w14:paraId="4D2AB302" w14:textId="2E527266" w:rsidR="00F0627E" w:rsidRPr="00F0627E" w:rsidRDefault="00F0627E" w:rsidP="00F0627E">
      <w:pPr>
        <w:pStyle w:val="SMALLHEADINGALLCAPS"/>
      </w:pPr>
      <w:r>
        <w:t>Requirement</w:t>
      </w:r>
    </w:p>
    <w:p w14:paraId="5F8788DB" w14:textId="5DD19AC0" w:rsidR="00D51448" w:rsidRPr="00D51448" w:rsidRDefault="00D51448" w:rsidP="00D51448">
      <w:pPr>
        <w:spacing w:line="240" w:lineRule="auto"/>
        <w:jc w:val="both"/>
        <w:rPr>
          <w:rFonts w:cstheme="minorHAnsi"/>
          <w:color w:val="000000" w:themeColor="text1"/>
          <w:szCs w:val="20"/>
        </w:rPr>
      </w:pPr>
      <w:r w:rsidRPr="00D51448">
        <w:rPr>
          <w:rFonts w:cstheme="minorHAnsi"/>
          <w:color w:val="000000" w:themeColor="text1"/>
          <w:szCs w:val="20"/>
        </w:rPr>
        <w:t xml:space="preserve">Section 31 (3) of the Act provides that each listed body must publish a statement specifying the amount, date, </w:t>
      </w:r>
      <w:proofErr w:type="gramStart"/>
      <w:r w:rsidRPr="00D51448">
        <w:rPr>
          <w:rFonts w:cstheme="minorHAnsi"/>
          <w:color w:val="000000" w:themeColor="text1"/>
          <w:szCs w:val="20"/>
        </w:rPr>
        <w:t>payee</w:t>
      </w:r>
      <w:proofErr w:type="gramEnd"/>
      <w:r w:rsidRPr="00D51448">
        <w:rPr>
          <w:rFonts w:cstheme="minorHAnsi"/>
          <w:color w:val="000000" w:themeColor="text1"/>
          <w:szCs w:val="20"/>
        </w:rPr>
        <w:t xml:space="preserve"> and subject matter of any payment made which has a value in excess of £25,000 (inclusive of VAT).</w:t>
      </w:r>
    </w:p>
    <w:p w14:paraId="6D9A1E69" w14:textId="77777777" w:rsidR="00D51448" w:rsidRPr="00D51448" w:rsidRDefault="00D51448" w:rsidP="00D51448">
      <w:pPr>
        <w:spacing w:line="240" w:lineRule="auto"/>
        <w:jc w:val="both"/>
        <w:rPr>
          <w:rFonts w:cstheme="minorHAnsi"/>
          <w:color w:val="000000" w:themeColor="text1"/>
          <w:szCs w:val="20"/>
        </w:rPr>
      </w:pPr>
    </w:p>
    <w:p w14:paraId="4C8D8EB7" w14:textId="77777777" w:rsidR="00D51448" w:rsidRDefault="00D51448" w:rsidP="00D51448">
      <w:pPr>
        <w:spacing w:line="240" w:lineRule="auto"/>
        <w:jc w:val="both"/>
        <w:rPr>
          <w:rFonts w:cstheme="minorHAnsi"/>
          <w:color w:val="000000" w:themeColor="text1"/>
          <w:szCs w:val="20"/>
        </w:rPr>
      </w:pPr>
      <w:r w:rsidRPr="00D51448">
        <w:rPr>
          <w:rFonts w:cstheme="minorHAnsi"/>
          <w:color w:val="000000" w:themeColor="text1"/>
          <w:szCs w:val="20"/>
        </w:rPr>
        <w:t xml:space="preserve">“Payments” include all payment transactions, including payments for goods and services and transactions with government departments or other public bodies. However, it does not include information relating to remuneration or other payments made to an individual to their service as a member or employee of a public body such as salary, allowances, </w:t>
      </w:r>
      <w:proofErr w:type="gramStart"/>
      <w:r w:rsidRPr="00D51448">
        <w:rPr>
          <w:rFonts w:cstheme="minorHAnsi"/>
          <w:color w:val="000000" w:themeColor="text1"/>
          <w:szCs w:val="20"/>
        </w:rPr>
        <w:t>fees</w:t>
      </w:r>
      <w:proofErr w:type="gramEnd"/>
      <w:r w:rsidRPr="00D51448">
        <w:rPr>
          <w:rFonts w:cstheme="minorHAnsi"/>
          <w:color w:val="000000" w:themeColor="text1"/>
          <w:szCs w:val="20"/>
        </w:rPr>
        <w:t xml:space="preserve"> or pension.</w:t>
      </w:r>
    </w:p>
    <w:p w14:paraId="3E6261DC" w14:textId="77777777" w:rsidR="00B85EC6" w:rsidRDefault="00B85EC6" w:rsidP="00D51448">
      <w:pPr>
        <w:spacing w:line="240" w:lineRule="auto"/>
        <w:jc w:val="both"/>
        <w:rPr>
          <w:rFonts w:cstheme="minorHAnsi"/>
          <w:color w:val="000000" w:themeColor="text1"/>
          <w:szCs w:val="20"/>
        </w:rPr>
      </w:pPr>
    </w:p>
    <w:p w14:paraId="51D277E2" w14:textId="6E443AEC" w:rsidR="00B85EC6" w:rsidRPr="00D51448" w:rsidRDefault="00B85EC6" w:rsidP="00D51448">
      <w:pPr>
        <w:spacing w:line="240" w:lineRule="auto"/>
        <w:jc w:val="both"/>
        <w:rPr>
          <w:rFonts w:cstheme="minorHAnsi"/>
          <w:color w:val="000000" w:themeColor="text1"/>
          <w:szCs w:val="20"/>
        </w:rPr>
      </w:pPr>
      <w:r>
        <w:rPr>
          <w:rFonts w:cstheme="minorHAnsi"/>
          <w:color w:val="000000" w:themeColor="text1"/>
          <w:szCs w:val="20"/>
        </w:rPr>
        <w:t>T</w:t>
      </w:r>
      <w:r w:rsidRPr="00B85EC6">
        <w:rPr>
          <w:rFonts w:cstheme="minorHAnsi"/>
          <w:color w:val="000000" w:themeColor="text1"/>
          <w:szCs w:val="20"/>
        </w:rPr>
        <w:t>he reporting requirement relates to cash payments, not accruals or invoices</w:t>
      </w:r>
      <w:r>
        <w:rPr>
          <w:rFonts w:cstheme="minorHAnsi"/>
          <w:color w:val="000000" w:themeColor="text1"/>
          <w:szCs w:val="20"/>
        </w:rPr>
        <w:t>.</w:t>
      </w:r>
    </w:p>
    <w:p w14:paraId="3E3BB08F" w14:textId="77777777" w:rsidR="00B85EC6" w:rsidRDefault="00B85EC6" w:rsidP="00B85EC6">
      <w:pPr>
        <w:pStyle w:val="Tabletitle"/>
      </w:pPr>
    </w:p>
    <w:p w14:paraId="3C75582C" w14:textId="49EEFCA4" w:rsidR="00F0627E" w:rsidRDefault="00F0627E" w:rsidP="00F0627E">
      <w:pPr>
        <w:pStyle w:val="SMALLHEADINGALLCAPS"/>
      </w:pPr>
      <w:r>
        <w:t>DISCLOSURES</w:t>
      </w:r>
    </w:p>
    <w:p w14:paraId="74409742" w14:textId="0BCFCEC2" w:rsidR="00B85EC6" w:rsidRPr="000833D8" w:rsidRDefault="00B85EC6" w:rsidP="00B85EC6">
      <w:pPr>
        <w:pStyle w:val="Tabletitle"/>
      </w:pPr>
      <w:r>
        <w:t>Cash payments 2022-23</w:t>
      </w:r>
    </w:p>
    <w:tbl>
      <w:tblPr>
        <w:tblStyle w:val="Blueline"/>
        <w:tblW w:w="0" w:type="auto"/>
        <w:tblLook w:val="04E0" w:firstRow="1" w:lastRow="1" w:firstColumn="1" w:lastColumn="0" w:noHBand="0" w:noVBand="1"/>
      </w:tblPr>
      <w:tblGrid>
        <w:gridCol w:w="1350"/>
        <w:gridCol w:w="1530"/>
        <w:gridCol w:w="2790"/>
        <w:gridCol w:w="3960"/>
      </w:tblGrid>
      <w:tr w:rsidR="00B85EC6" w14:paraId="68937E37" w14:textId="77777777" w:rsidTr="00B75F5D">
        <w:trPr>
          <w:cnfStyle w:val="100000000000" w:firstRow="1" w:lastRow="0" w:firstColumn="0" w:lastColumn="0" w:oddVBand="0" w:evenVBand="0" w:oddHBand="0" w:evenHBand="0" w:firstRowFirstColumn="0" w:firstRowLastColumn="0" w:lastRowFirstColumn="0" w:lastRowLastColumn="0"/>
        </w:trPr>
        <w:tc>
          <w:tcPr>
            <w:tcW w:w="1350" w:type="dxa"/>
          </w:tcPr>
          <w:p w14:paraId="6CF7BF2D" w14:textId="1CB137D2" w:rsidR="00B85EC6" w:rsidRDefault="00B85EC6" w:rsidP="00D05AA5">
            <w:r>
              <w:t>Date of transaction</w:t>
            </w:r>
          </w:p>
        </w:tc>
        <w:tc>
          <w:tcPr>
            <w:tcW w:w="1530" w:type="dxa"/>
          </w:tcPr>
          <w:p w14:paraId="776E1974" w14:textId="6D242F9A" w:rsidR="00B85EC6" w:rsidRDefault="00B85EC6" w:rsidP="00B85EC6">
            <w:pPr>
              <w:jc w:val="right"/>
            </w:pPr>
            <w:r>
              <w:t>Amount (£)</w:t>
            </w:r>
          </w:p>
        </w:tc>
        <w:tc>
          <w:tcPr>
            <w:tcW w:w="2790" w:type="dxa"/>
          </w:tcPr>
          <w:p w14:paraId="55D37DF0" w14:textId="141D015E" w:rsidR="00B85EC6" w:rsidRDefault="00B85EC6" w:rsidP="00D05AA5">
            <w:r>
              <w:t>Recipient</w:t>
            </w:r>
          </w:p>
        </w:tc>
        <w:tc>
          <w:tcPr>
            <w:tcW w:w="3960" w:type="dxa"/>
          </w:tcPr>
          <w:p w14:paraId="46954C0E" w14:textId="2A1B9449" w:rsidR="00B85EC6" w:rsidRDefault="00B85EC6" w:rsidP="00D05AA5">
            <w:r>
              <w:t>Description</w:t>
            </w:r>
          </w:p>
        </w:tc>
      </w:tr>
      <w:tr w:rsidR="00B85EC6" w14:paraId="2081AEC9" w14:textId="77777777" w:rsidTr="00B75F5D">
        <w:tc>
          <w:tcPr>
            <w:tcW w:w="1350" w:type="dxa"/>
          </w:tcPr>
          <w:p w14:paraId="7D5DFF9C" w14:textId="1D9ABCB1" w:rsidR="00B85EC6" w:rsidRDefault="00C43AE4" w:rsidP="00D05AA5">
            <w:r>
              <w:t>11/04/22</w:t>
            </w:r>
          </w:p>
        </w:tc>
        <w:tc>
          <w:tcPr>
            <w:tcW w:w="1530" w:type="dxa"/>
          </w:tcPr>
          <w:p w14:paraId="1A23F8A3" w14:textId="4FCF07C8" w:rsidR="00B85EC6" w:rsidRDefault="00C43AE4" w:rsidP="00B85EC6">
            <w:pPr>
              <w:jc w:val="right"/>
            </w:pPr>
            <w:r>
              <w:t>47,420.00</w:t>
            </w:r>
          </w:p>
        </w:tc>
        <w:tc>
          <w:tcPr>
            <w:tcW w:w="2790" w:type="dxa"/>
          </w:tcPr>
          <w:p w14:paraId="71064D85" w14:textId="03487D11" w:rsidR="00B85EC6" w:rsidRDefault="00C43AE4" w:rsidP="00D05AA5">
            <w:r>
              <w:t>Grant Thornton</w:t>
            </w:r>
          </w:p>
        </w:tc>
        <w:tc>
          <w:tcPr>
            <w:tcW w:w="3960" w:type="dxa"/>
          </w:tcPr>
          <w:p w14:paraId="0258B76E" w14:textId="3BD7C846" w:rsidR="00B85EC6" w:rsidRDefault="007C5A8B" w:rsidP="00D05AA5">
            <w:r>
              <w:t>Internal audit services</w:t>
            </w:r>
          </w:p>
        </w:tc>
      </w:tr>
      <w:tr w:rsidR="00B85EC6" w:rsidRPr="00710913" w14:paraId="07A7729E" w14:textId="77777777" w:rsidTr="00B75F5D">
        <w:tc>
          <w:tcPr>
            <w:tcW w:w="1350" w:type="dxa"/>
          </w:tcPr>
          <w:p w14:paraId="2A1B14DD" w14:textId="005D7EAB" w:rsidR="00B85EC6" w:rsidRPr="00710913" w:rsidRDefault="00C43AE4" w:rsidP="00D05AA5">
            <w:r>
              <w:t>27/10/22</w:t>
            </w:r>
          </w:p>
        </w:tc>
        <w:tc>
          <w:tcPr>
            <w:tcW w:w="1530" w:type="dxa"/>
          </w:tcPr>
          <w:p w14:paraId="6BFC2378" w14:textId="5415D94B" w:rsidR="00B85EC6" w:rsidRPr="00710913" w:rsidRDefault="00C43AE4" w:rsidP="00B85EC6">
            <w:pPr>
              <w:jc w:val="right"/>
            </w:pPr>
            <w:r>
              <w:t>75,350.02</w:t>
            </w:r>
          </w:p>
        </w:tc>
        <w:tc>
          <w:tcPr>
            <w:tcW w:w="2790" w:type="dxa"/>
          </w:tcPr>
          <w:p w14:paraId="42E9B3D8" w14:textId="51A2CC68" w:rsidR="00B85EC6" w:rsidRPr="00710913" w:rsidRDefault="00FF1796" w:rsidP="00D05AA5">
            <w:r>
              <w:t>Harvard Business School</w:t>
            </w:r>
          </w:p>
        </w:tc>
        <w:tc>
          <w:tcPr>
            <w:tcW w:w="3960" w:type="dxa"/>
          </w:tcPr>
          <w:p w14:paraId="4303E650" w14:textId="0247D537" w:rsidR="00B85EC6" w:rsidRPr="00710913" w:rsidRDefault="00B75F5D" w:rsidP="00D05AA5">
            <w:r>
              <w:t>Advanced Management Programme</w:t>
            </w:r>
          </w:p>
        </w:tc>
      </w:tr>
      <w:tr w:rsidR="00B85EC6" w:rsidRPr="00710913" w14:paraId="3D835A49" w14:textId="77777777" w:rsidTr="00B75F5D">
        <w:tc>
          <w:tcPr>
            <w:tcW w:w="1350" w:type="dxa"/>
          </w:tcPr>
          <w:p w14:paraId="3DE4CBEC" w14:textId="60D574ED" w:rsidR="00B85EC6" w:rsidRPr="00710913" w:rsidRDefault="00FF1796" w:rsidP="00D05AA5">
            <w:r>
              <w:t>10/01/23</w:t>
            </w:r>
          </w:p>
        </w:tc>
        <w:tc>
          <w:tcPr>
            <w:tcW w:w="1530" w:type="dxa"/>
          </w:tcPr>
          <w:p w14:paraId="0D70033D" w14:textId="38EA1051" w:rsidR="00B85EC6" w:rsidRPr="00710913" w:rsidRDefault="00FF1796" w:rsidP="00B85EC6">
            <w:pPr>
              <w:jc w:val="right"/>
            </w:pPr>
            <w:r>
              <w:t>31,443.60</w:t>
            </w:r>
          </w:p>
        </w:tc>
        <w:tc>
          <w:tcPr>
            <w:tcW w:w="2790" w:type="dxa"/>
          </w:tcPr>
          <w:p w14:paraId="1D390138" w14:textId="295D4F74" w:rsidR="00B85EC6" w:rsidRPr="00710913" w:rsidRDefault="00FF1796" w:rsidP="00D05AA5">
            <w:r>
              <w:t>Oxera Consulting</w:t>
            </w:r>
          </w:p>
        </w:tc>
        <w:tc>
          <w:tcPr>
            <w:tcW w:w="3960" w:type="dxa"/>
          </w:tcPr>
          <w:p w14:paraId="68FFEF11" w14:textId="043697A8" w:rsidR="00B85EC6" w:rsidRPr="00710913" w:rsidRDefault="007C5A8B" w:rsidP="00D05AA5">
            <w:r>
              <w:t>Economic consultancy services</w:t>
            </w:r>
          </w:p>
        </w:tc>
      </w:tr>
      <w:tr w:rsidR="00B85EC6" w14:paraId="401CD81C" w14:textId="77777777" w:rsidTr="00B75F5D">
        <w:tc>
          <w:tcPr>
            <w:tcW w:w="1350" w:type="dxa"/>
          </w:tcPr>
          <w:p w14:paraId="732B66B4" w14:textId="7A477D1A" w:rsidR="00B85EC6" w:rsidRDefault="00FF1796" w:rsidP="00D05AA5">
            <w:r>
              <w:t>10/01/23</w:t>
            </w:r>
          </w:p>
        </w:tc>
        <w:tc>
          <w:tcPr>
            <w:tcW w:w="1530" w:type="dxa"/>
          </w:tcPr>
          <w:p w14:paraId="630FEC78" w14:textId="2264D5DE" w:rsidR="00B85EC6" w:rsidRDefault="00FF1796" w:rsidP="00B85EC6">
            <w:pPr>
              <w:jc w:val="right"/>
            </w:pPr>
            <w:r>
              <w:t>40,243.20</w:t>
            </w:r>
          </w:p>
        </w:tc>
        <w:tc>
          <w:tcPr>
            <w:tcW w:w="2790" w:type="dxa"/>
          </w:tcPr>
          <w:p w14:paraId="74EF92C7" w14:textId="1021B1F3" w:rsidR="00B85EC6" w:rsidRDefault="00FF1796" w:rsidP="00D05AA5">
            <w:r>
              <w:t>Oxera Consulting</w:t>
            </w:r>
          </w:p>
        </w:tc>
        <w:tc>
          <w:tcPr>
            <w:tcW w:w="3960" w:type="dxa"/>
          </w:tcPr>
          <w:p w14:paraId="16546E6C" w14:textId="0801BDC7" w:rsidR="00B85EC6" w:rsidRDefault="007C5A8B" w:rsidP="00D05AA5">
            <w:r>
              <w:t>Economic consultancy services</w:t>
            </w:r>
          </w:p>
        </w:tc>
      </w:tr>
      <w:tr w:rsidR="00B85EC6" w14:paraId="2BB0B6F4" w14:textId="77777777" w:rsidTr="00B75F5D">
        <w:tc>
          <w:tcPr>
            <w:tcW w:w="1350" w:type="dxa"/>
          </w:tcPr>
          <w:p w14:paraId="2D9B90D3" w14:textId="4C751804" w:rsidR="00B85EC6" w:rsidRDefault="00FF1796" w:rsidP="00D05AA5">
            <w:r>
              <w:t>01/03/23</w:t>
            </w:r>
          </w:p>
        </w:tc>
        <w:tc>
          <w:tcPr>
            <w:tcW w:w="1530" w:type="dxa"/>
          </w:tcPr>
          <w:p w14:paraId="440FC2A6" w14:textId="2C09EE4F" w:rsidR="00B85EC6" w:rsidRDefault="00FF1796" w:rsidP="00B85EC6">
            <w:pPr>
              <w:jc w:val="right"/>
            </w:pPr>
            <w:r>
              <w:t>27,072.00</w:t>
            </w:r>
          </w:p>
        </w:tc>
        <w:tc>
          <w:tcPr>
            <w:tcW w:w="2790" w:type="dxa"/>
          </w:tcPr>
          <w:p w14:paraId="2BAB2589" w14:textId="33E9106E" w:rsidR="00B85EC6" w:rsidRDefault="00FF1796" w:rsidP="00D05AA5">
            <w:r>
              <w:t>Grant Thornton</w:t>
            </w:r>
          </w:p>
        </w:tc>
        <w:tc>
          <w:tcPr>
            <w:tcW w:w="3960" w:type="dxa"/>
          </w:tcPr>
          <w:p w14:paraId="24A010C9" w14:textId="0ABE18B9" w:rsidR="00B85EC6" w:rsidRDefault="007C5A8B" w:rsidP="00D05AA5">
            <w:r>
              <w:t>Internal audit services</w:t>
            </w:r>
          </w:p>
        </w:tc>
      </w:tr>
      <w:tr w:rsidR="00FF1796" w14:paraId="46E20A73" w14:textId="77777777" w:rsidTr="00B75F5D">
        <w:trPr>
          <w:cnfStyle w:val="010000000000" w:firstRow="0" w:lastRow="1" w:firstColumn="0" w:lastColumn="0" w:oddVBand="0" w:evenVBand="0" w:oddHBand="0" w:evenHBand="0" w:firstRowFirstColumn="0" w:firstRowLastColumn="0" w:lastRowFirstColumn="0" w:lastRowLastColumn="0"/>
        </w:trPr>
        <w:tc>
          <w:tcPr>
            <w:tcW w:w="1350" w:type="dxa"/>
          </w:tcPr>
          <w:p w14:paraId="12779107" w14:textId="5BBD63F5" w:rsidR="00FF1796" w:rsidRPr="00710913" w:rsidRDefault="00FF1796" w:rsidP="00D05AA5">
            <w:r>
              <w:t>30/03/23</w:t>
            </w:r>
          </w:p>
        </w:tc>
        <w:tc>
          <w:tcPr>
            <w:tcW w:w="1530" w:type="dxa"/>
          </w:tcPr>
          <w:p w14:paraId="10036F1F" w14:textId="4E439F5D" w:rsidR="00FF1796" w:rsidRDefault="00FF1796" w:rsidP="00B85EC6">
            <w:pPr>
              <w:jc w:val="right"/>
            </w:pPr>
            <w:r>
              <w:t>61,901.40</w:t>
            </w:r>
          </w:p>
        </w:tc>
        <w:tc>
          <w:tcPr>
            <w:tcW w:w="2790" w:type="dxa"/>
          </w:tcPr>
          <w:p w14:paraId="6ECAA6DD" w14:textId="2397E6E9" w:rsidR="00FF1796" w:rsidRPr="00710913" w:rsidRDefault="00FF1796" w:rsidP="00D05AA5">
            <w:r>
              <w:t>Oxera Consulting</w:t>
            </w:r>
          </w:p>
        </w:tc>
        <w:tc>
          <w:tcPr>
            <w:tcW w:w="3960" w:type="dxa"/>
          </w:tcPr>
          <w:p w14:paraId="6F706BBC" w14:textId="4B8796DC" w:rsidR="00FF1796" w:rsidRPr="00710913" w:rsidRDefault="007C5A8B" w:rsidP="00D05AA5">
            <w:r>
              <w:t>Economic consultancy services</w:t>
            </w:r>
          </w:p>
        </w:tc>
      </w:tr>
    </w:tbl>
    <w:p w14:paraId="45F54947" w14:textId="72FF3BC9" w:rsidR="007E7292" w:rsidRDefault="007E7292">
      <w:pPr>
        <w:spacing w:after="160" w:line="259" w:lineRule="auto"/>
        <w:rPr>
          <w:rFonts w:asciiTheme="majorHAnsi" w:hAnsiTheme="majorHAnsi"/>
          <w:b/>
          <w:bCs/>
          <w:caps/>
          <w:color w:val="064276" w:themeColor="text2"/>
          <w:sz w:val="28"/>
          <w:szCs w:val="24"/>
        </w:rPr>
      </w:pPr>
      <w:r>
        <w:br w:type="page"/>
      </w:r>
    </w:p>
    <w:p w14:paraId="4FE78445" w14:textId="428737D3" w:rsidR="007E7292" w:rsidRPr="00ED0985" w:rsidRDefault="007E7292" w:rsidP="00ED0985">
      <w:pPr>
        <w:pStyle w:val="Heading10"/>
        <w:numPr>
          <w:ilvl w:val="0"/>
          <w:numId w:val="23"/>
        </w:numPr>
      </w:pPr>
      <w:bookmarkStart w:id="9" w:name="_Toc142395803"/>
      <w:r w:rsidRPr="00ED0985">
        <w:lastRenderedPageBreak/>
        <w:t>Remuneration</w:t>
      </w:r>
      <w:bookmarkEnd w:id="9"/>
    </w:p>
    <w:p w14:paraId="424422E1" w14:textId="77777777" w:rsidR="001C5BA0" w:rsidRPr="004E7FFD" w:rsidRDefault="001C5BA0" w:rsidP="001C5BA0">
      <w:pPr>
        <w:pStyle w:val="Heading1"/>
        <w:numPr>
          <w:ilvl w:val="0"/>
          <w:numId w:val="0"/>
        </w:numPr>
        <w:spacing w:line="240" w:lineRule="auto"/>
        <w:rPr>
          <w:rFonts w:asciiTheme="minorHAnsi" w:hAnsiTheme="minorHAnsi" w:cstheme="minorHAnsi"/>
          <w:color w:val="000000" w:themeColor="text1"/>
          <w:spacing w:val="0"/>
          <w:sz w:val="24"/>
          <w:szCs w:val="20"/>
        </w:rPr>
      </w:pPr>
      <w:r w:rsidRPr="001C5BA0">
        <w:rPr>
          <w:rFonts w:asciiTheme="minorHAnsi" w:hAnsiTheme="minorHAnsi" w:cstheme="minorHAnsi"/>
          <w:color w:val="000000" w:themeColor="text1"/>
          <w:spacing w:val="0"/>
          <w:sz w:val="24"/>
          <w:szCs w:val="20"/>
        </w:rPr>
        <w:t xml:space="preserve">Section 31(4) </w:t>
      </w:r>
      <w:r>
        <w:rPr>
          <w:rFonts w:asciiTheme="minorHAnsi" w:hAnsiTheme="minorHAnsi" w:cstheme="minorHAnsi"/>
          <w:color w:val="000000" w:themeColor="text1"/>
          <w:spacing w:val="0"/>
          <w:sz w:val="24"/>
          <w:szCs w:val="20"/>
        </w:rPr>
        <w:t xml:space="preserve">of the PSRA </w:t>
      </w:r>
      <w:r w:rsidRPr="001C5BA0">
        <w:rPr>
          <w:rFonts w:asciiTheme="minorHAnsi" w:hAnsiTheme="minorHAnsi" w:cstheme="minorHAnsi"/>
          <w:color w:val="000000" w:themeColor="text1"/>
          <w:spacing w:val="0"/>
          <w:sz w:val="24"/>
          <w:szCs w:val="20"/>
        </w:rPr>
        <w:t xml:space="preserve">provides that each listed public body must publish a statement specifying the number of individuals (if any) who received remuneration during that financial year </w:t>
      </w:r>
      <w:proofErr w:type="gramStart"/>
      <w:r w:rsidRPr="004E7FFD">
        <w:rPr>
          <w:rFonts w:asciiTheme="minorHAnsi" w:hAnsiTheme="minorHAnsi" w:cstheme="minorHAnsi"/>
          <w:color w:val="000000" w:themeColor="text1"/>
          <w:spacing w:val="0"/>
          <w:sz w:val="24"/>
          <w:szCs w:val="20"/>
        </w:rPr>
        <w:t>in excess of</w:t>
      </w:r>
      <w:proofErr w:type="gramEnd"/>
      <w:r w:rsidRPr="004E7FFD">
        <w:rPr>
          <w:rFonts w:asciiTheme="minorHAnsi" w:hAnsiTheme="minorHAnsi" w:cstheme="minorHAnsi"/>
          <w:color w:val="000000" w:themeColor="text1"/>
          <w:spacing w:val="0"/>
          <w:sz w:val="24"/>
          <w:szCs w:val="20"/>
        </w:rPr>
        <w:t xml:space="preserve"> £150,000 in relation to service as a member or employee of a public body.</w:t>
      </w:r>
    </w:p>
    <w:p w14:paraId="196AB246" w14:textId="6B07E7DF" w:rsidR="001C5BA0" w:rsidRPr="004E7FFD" w:rsidRDefault="001C5BA0" w:rsidP="001C5BA0">
      <w:pPr>
        <w:pStyle w:val="Heading1"/>
        <w:numPr>
          <w:ilvl w:val="0"/>
          <w:numId w:val="0"/>
        </w:numPr>
        <w:spacing w:line="240" w:lineRule="auto"/>
        <w:rPr>
          <w:rFonts w:asciiTheme="minorHAnsi" w:hAnsiTheme="minorHAnsi" w:cstheme="minorHAnsi"/>
          <w:color w:val="000000" w:themeColor="text1"/>
          <w:spacing w:val="0"/>
          <w:sz w:val="24"/>
          <w:szCs w:val="20"/>
        </w:rPr>
      </w:pPr>
      <w:r w:rsidRPr="004E7FFD">
        <w:rPr>
          <w:rFonts w:asciiTheme="minorHAnsi" w:hAnsiTheme="minorHAnsi" w:cstheme="minorHAnsi"/>
          <w:color w:val="000000" w:themeColor="text1"/>
          <w:spacing w:val="0"/>
          <w:sz w:val="24"/>
          <w:szCs w:val="20"/>
        </w:rPr>
        <w:t xml:space="preserve">Remuneration in relation to service as a member or employee includes salary, bonus or other discretionary performance payments, allowances, fees, royalties </w:t>
      </w:r>
      <w:proofErr w:type="gramStart"/>
      <w:r w:rsidRPr="004E7FFD">
        <w:rPr>
          <w:rFonts w:asciiTheme="minorHAnsi" w:hAnsiTheme="minorHAnsi" w:cstheme="minorHAnsi"/>
          <w:color w:val="000000" w:themeColor="text1"/>
          <w:spacing w:val="0"/>
          <w:sz w:val="24"/>
          <w:szCs w:val="20"/>
        </w:rPr>
        <w:t>and also</w:t>
      </w:r>
      <w:proofErr w:type="gramEnd"/>
      <w:r w:rsidRPr="004E7FFD">
        <w:rPr>
          <w:rFonts w:asciiTheme="minorHAnsi" w:hAnsiTheme="minorHAnsi" w:cstheme="minorHAnsi"/>
          <w:color w:val="000000" w:themeColor="text1"/>
          <w:spacing w:val="0"/>
          <w:sz w:val="24"/>
          <w:szCs w:val="20"/>
        </w:rPr>
        <w:t xml:space="preserve"> bonus or other payments in respect of performance in a previous financial year, but does not include receipt of pension, voluntary severance, compromise agreements or redundancy payments.</w:t>
      </w:r>
    </w:p>
    <w:p w14:paraId="0DF8493B" w14:textId="6B1FE659" w:rsidR="001C5BA0" w:rsidRPr="004E7FFD" w:rsidRDefault="001C5BA0" w:rsidP="001C5BA0">
      <w:pPr>
        <w:pStyle w:val="Heading1"/>
        <w:numPr>
          <w:ilvl w:val="0"/>
          <w:numId w:val="0"/>
        </w:numPr>
        <w:spacing w:line="240" w:lineRule="auto"/>
        <w:rPr>
          <w:rFonts w:asciiTheme="minorHAnsi" w:hAnsiTheme="minorHAnsi" w:cstheme="minorHAnsi"/>
          <w:color w:val="000000" w:themeColor="text1"/>
          <w:spacing w:val="0"/>
          <w:sz w:val="24"/>
          <w:szCs w:val="20"/>
        </w:rPr>
      </w:pPr>
      <w:r w:rsidRPr="004E7FFD">
        <w:rPr>
          <w:rFonts w:asciiTheme="minorHAnsi" w:hAnsiTheme="minorHAnsi" w:cstheme="minorHAnsi"/>
          <w:color w:val="000000" w:themeColor="text1"/>
          <w:spacing w:val="0"/>
          <w:sz w:val="24"/>
          <w:szCs w:val="20"/>
        </w:rPr>
        <w:t xml:space="preserve">The Chief Executive is the only employee of WICS who received remuneration payments </w:t>
      </w:r>
      <w:proofErr w:type="gramStart"/>
      <w:r w:rsidRPr="004E7FFD">
        <w:rPr>
          <w:rFonts w:asciiTheme="minorHAnsi" w:hAnsiTheme="minorHAnsi" w:cstheme="minorHAnsi"/>
          <w:color w:val="000000" w:themeColor="text1"/>
          <w:spacing w:val="0"/>
          <w:sz w:val="24"/>
          <w:szCs w:val="20"/>
        </w:rPr>
        <w:t>in excess of</w:t>
      </w:r>
      <w:proofErr w:type="gramEnd"/>
      <w:r w:rsidRPr="004E7FFD">
        <w:rPr>
          <w:rFonts w:asciiTheme="minorHAnsi" w:hAnsiTheme="minorHAnsi" w:cstheme="minorHAnsi"/>
          <w:color w:val="000000" w:themeColor="text1"/>
          <w:spacing w:val="0"/>
          <w:sz w:val="24"/>
          <w:szCs w:val="20"/>
        </w:rPr>
        <w:t xml:space="preserve"> £150,000. </w:t>
      </w:r>
    </w:p>
    <w:p w14:paraId="3B958FFE" w14:textId="6CC53826" w:rsidR="001C5BA0" w:rsidRPr="004E7FFD" w:rsidRDefault="001C5BA0" w:rsidP="001C5BA0">
      <w:pPr>
        <w:pStyle w:val="Heading1"/>
        <w:numPr>
          <w:ilvl w:val="0"/>
          <w:numId w:val="0"/>
        </w:numPr>
        <w:spacing w:line="240" w:lineRule="auto"/>
        <w:rPr>
          <w:rFonts w:asciiTheme="minorHAnsi" w:hAnsiTheme="minorHAnsi" w:cstheme="minorHAnsi"/>
          <w:color w:val="000000" w:themeColor="text1"/>
          <w:spacing w:val="0"/>
          <w:sz w:val="24"/>
          <w:szCs w:val="20"/>
        </w:rPr>
      </w:pPr>
      <w:r w:rsidRPr="004E7FFD">
        <w:rPr>
          <w:rFonts w:asciiTheme="minorHAnsi" w:hAnsiTheme="minorHAnsi" w:cstheme="minorHAnsi"/>
          <w:color w:val="000000" w:themeColor="text1"/>
          <w:spacing w:val="0"/>
          <w:sz w:val="24"/>
          <w:szCs w:val="20"/>
        </w:rPr>
        <w:t xml:space="preserve">Full disclosure of remuneration costs and directors’ salary and pension entitlements can be found in our </w:t>
      </w:r>
      <w:hyperlink r:id="rId18" w:history="1">
        <w:r w:rsidRPr="004E7FFD">
          <w:rPr>
            <w:rFonts w:asciiTheme="minorHAnsi" w:hAnsiTheme="minorHAnsi" w:cstheme="minorHAnsi"/>
            <w:color w:val="0070C0"/>
            <w:spacing w:val="0"/>
            <w:sz w:val="24"/>
            <w:szCs w:val="20"/>
            <w:u w:val="single"/>
          </w:rPr>
          <w:t>annual report and financial statements.</w:t>
        </w:r>
      </w:hyperlink>
    </w:p>
    <w:p w14:paraId="6CB762E5" w14:textId="77777777" w:rsidR="007E7292" w:rsidRPr="00EC06F5" w:rsidRDefault="007E7292" w:rsidP="007E7292">
      <w:pPr>
        <w:pStyle w:val="Heading3"/>
        <w:numPr>
          <w:ilvl w:val="0"/>
          <w:numId w:val="0"/>
        </w:numPr>
      </w:pPr>
    </w:p>
    <w:p w14:paraId="745F9D68" w14:textId="1B2B11D2" w:rsidR="00450C94" w:rsidRDefault="00450C94" w:rsidP="00805421">
      <w:pPr>
        <w:jc w:val="both"/>
      </w:pPr>
    </w:p>
    <w:p w14:paraId="5E576BF2" w14:textId="2D0F4E46" w:rsidR="00450C94" w:rsidRDefault="00450C94" w:rsidP="00805421">
      <w:pPr>
        <w:jc w:val="both"/>
      </w:pPr>
    </w:p>
    <w:p w14:paraId="503D1F5F" w14:textId="77777777" w:rsidR="00A33894" w:rsidRDefault="00A33894" w:rsidP="00805421">
      <w:pPr>
        <w:jc w:val="both"/>
      </w:pPr>
    </w:p>
    <w:p w14:paraId="775DB3F3" w14:textId="77777777" w:rsidR="009215D0" w:rsidRDefault="009215D0" w:rsidP="00805421">
      <w:pPr>
        <w:jc w:val="both"/>
      </w:pPr>
    </w:p>
    <w:p w14:paraId="7BCC56ED" w14:textId="708E35D5" w:rsidR="0008752E" w:rsidRDefault="0008752E" w:rsidP="0003096B">
      <w:pPr>
        <w:pStyle w:val="Heading10"/>
        <w:sectPr w:rsidR="0008752E" w:rsidSect="009215D0">
          <w:headerReference w:type="default" r:id="rId19"/>
          <w:type w:val="continuous"/>
          <w:pgSz w:w="11906" w:h="16838" w:code="9"/>
          <w:pgMar w:top="1134" w:right="1134" w:bottom="1134" w:left="1134" w:header="567" w:footer="567" w:gutter="0"/>
          <w:cols w:space="708"/>
          <w:docGrid w:linePitch="360"/>
        </w:sectPr>
      </w:pPr>
    </w:p>
    <w:p w14:paraId="63BCEAB7" w14:textId="64525F8E" w:rsidR="0008752E" w:rsidRDefault="0008752E">
      <w:r>
        <w:br w:type="page"/>
      </w:r>
      <w:r w:rsidR="00450C94">
        <w:rPr>
          <w:noProof/>
        </w:rPr>
        <w:lastRenderedPageBreak/>
        <mc:AlternateContent>
          <mc:Choice Requires="wps">
            <w:drawing>
              <wp:anchor distT="0" distB="0" distL="114300" distR="114300" simplePos="0" relativeHeight="251660288" behindDoc="0" locked="0" layoutInCell="1" allowOverlap="1" wp14:anchorId="785F4A37" wp14:editId="4728B043">
                <wp:simplePos x="0" y="0"/>
                <wp:positionH relativeFrom="column">
                  <wp:posOffset>-309880</wp:posOffset>
                </wp:positionH>
                <wp:positionV relativeFrom="paragraph">
                  <wp:posOffset>-1108995</wp:posOffset>
                </wp:positionV>
                <wp:extent cx="6684580" cy="0"/>
                <wp:effectExtent l="0" t="0" r="0" b="0"/>
                <wp:wrapNone/>
                <wp:docPr id="17" name="Straight Connector 17"/>
                <wp:cNvGraphicFramePr/>
                <a:graphic xmlns:a="http://schemas.openxmlformats.org/drawingml/2006/main">
                  <a:graphicData uri="http://schemas.microsoft.com/office/word/2010/wordprocessingShape">
                    <wps:wsp>
                      <wps:cNvCnPr/>
                      <wps:spPr>
                        <a:xfrm flipH="1">
                          <a:off x="0" y="0"/>
                          <a:ext cx="66845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9192DF" id="Straight Connector 17"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24.4pt,-87.3pt" to="501.95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6YUpgEAAJ4DAAAOAAAAZHJzL2Uyb0RvYy54bWysU01PGzEQvVfiP1i+k90giKJVNhxALYcK&#10;EJQfYLzjrCXbY9ludvPvGXuTBdGqUqteLH/MezPvzXhzPVrD9hCiRtfy5aLmDJzETrtdy19+fD1f&#10;cxaTcJ0w6KDlB4j8env2ZTP4Bi6wR9NBYETiYjP4lvcp+aaqouzBirhAD44eFQYrEh3DruqCGIjd&#10;muqirlfVgKHzASXESLe30yPfFn6lQKYHpSIkZlpOtaWyhrK+5rXabkSzC8L3Wh7LEP9QhRXaUdKZ&#10;6lYkwX4G/QuV1TJgRJUWEm2FSmkJRQOpWdaf1Dz3wkPRQuZEP9sU/x+tvN/fuMdANgw+NtE/hqxi&#10;VMEyZbS/o54WXVQpG4tth9k2GBOTdLlarS+v1uSuPL1VE0Wm8iGmb4CW5U3LjXZZkWjE/ntMlJZC&#10;TyF0eC+i7NLBQA427gkU0x0lm8op8wE3JrC9oM4KKcGlZe4m8ZXoDFPamBlYl7R/BB7jMxTK7PwN&#10;eEaUzOjSDLbaYfhd9jSeSlZT/MmBSXe24BW7Q2lPsYaGoCg8Dmyeso/nAn//Vts3AAAA//8DAFBL&#10;AwQUAAYACAAAACEAoIBFvOEAAAAOAQAADwAAAGRycy9kb3ducmV2LnhtbEyPQU/CQBCF7yb+h82Q&#10;eDGwCxLE2i0xRj3gCdREb9Pu0DZ0Z5vuUuq/dzkYuM28eXnvm3Q12Eb01PnasYbpRIEgLpypudTw&#10;+fE6XoLwAdlg45g0/JKHVXZ9lWJi3JE31G9DKWII+wQ1VCG0iZS+qMiin7iWON52rrMY4tqV0nR4&#10;jOG2kTOlFtJizbGhwpaeKyr224PV8OOdf/la5/3bfrMe8PY9zL4Lo/XNaHh6BBFoCGcznPAjOmSR&#10;KXcHNl40GsbzZUQPcZjezxcgThal7h5A5P+azFJ5+Ub2BwAA//8DAFBLAQItABQABgAIAAAAIQC2&#10;gziS/gAAAOEBAAATAAAAAAAAAAAAAAAAAAAAAABbQ29udGVudF9UeXBlc10ueG1sUEsBAi0AFAAG&#10;AAgAAAAhADj9If/WAAAAlAEAAAsAAAAAAAAAAAAAAAAALwEAAF9yZWxzLy5yZWxzUEsBAi0AFAAG&#10;AAgAAAAhAFnnphSmAQAAngMAAA4AAAAAAAAAAAAAAAAALgIAAGRycy9lMm9Eb2MueG1sUEsBAi0A&#10;FAAGAAgAAAAhAKCARbzhAAAADgEAAA8AAAAAAAAAAAAAAAAAAAQAAGRycy9kb3ducmV2LnhtbFBL&#10;BQYAAAAABAAEAPMAAAAOBQAAAAA=&#10;" strokecolor="#064276 [3204]" strokeweight=".5pt">
                <v:stroke joinstyle="miter"/>
              </v:line>
            </w:pict>
          </mc:Fallback>
        </mc:AlternateContent>
      </w:r>
    </w:p>
    <w:sectPr w:rsidR="0008752E" w:rsidSect="0008752E">
      <w:headerReference w:type="default" r:id="rId20"/>
      <w:footerReference w:type="default" r:id="rId21"/>
      <w:type w:val="continuous"/>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CAD9F" w14:textId="77777777" w:rsidR="008F5657" w:rsidRDefault="008F5657" w:rsidP="0008752E">
      <w:pPr>
        <w:spacing w:line="240" w:lineRule="auto"/>
      </w:pPr>
      <w:r>
        <w:separator/>
      </w:r>
    </w:p>
  </w:endnote>
  <w:endnote w:type="continuationSeparator" w:id="0">
    <w:p w14:paraId="7D80E5A6" w14:textId="77777777" w:rsidR="008F5657" w:rsidRDefault="008F5657" w:rsidP="000875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387EF" w14:textId="32A50EDC" w:rsidR="0008752E" w:rsidRDefault="0008752E" w:rsidP="00694710">
    <w:pPr>
      <w:pStyle w:val="Footer"/>
    </w:pPr>
  </w:p>
  <w:p w14:paraId="0137ECB6" w14:textId="77777777" w:rsidR="00694710" w:rsidRDefault="00694710" w:rsidP="00694710">
    <w:pPr>
      <w:pStyle w:val="Footer"/>
    </w:pPr>
  </w:p>
  <w:p w14:paraId="4D00E668" w14:textId="36940B2F" w:rsidR="00694710" w:rsidRDefault="00694710" w:rsidP="00694710">
    <w:pPr>
      <w:pStyle w:val="Footer"/>
      <w:pBdr>
        <w:top w:val="single" w:sz="4" w:space="1" w:color="5F7577" w:themeColor="accent2"/>
      </w:pBdr>
    </w:pPr>
  </w:p>
  <w:p w14:paraId="687DD706" w14:textId="78CBE39F" w:rsidR="00694710" w:rsidRPr="00694710" w:rsidRDefault="00694710" w:rsidP="00694710">
    <w:pPr>
      <w:pStyle w:val="Footer"/>
      <w:rPr>
        <w:color w:val="5F7577" w:themeColor="accent2"/>
        <w:szCs w:val="18"/>
      </w:rPr>
    </w:pPr>
    <w:r w:rsidRPr="00694710">
      <w:rPr>
        <w:color w:val="5F7577" w:themeColor="accent2"/>
        <w:szCs w:val="18"/>
      </w:rPr>
      <w:fldChar w:fldCharType="begin"/>
    </w:r>
    <w:r w:rsidRPr="00694710">
      <w:rPr>
        <w:color w:val="5F7577" w:themeColor="accent2"/>
        <w:szCs w:val="18"/>
      </w:rPr>
      <w:instrText xml:space="preserve"> STYLEREF  "Document title"  \* MERGEFORMAT </w:instrText>
    </w:r>
    <w:r w:rsidRPr="00694710">
      <w:rPr>
        <w:color w:val="5F7577" w:themeColor="accent2"/>
        <w:szCs w:val="18"/>
      </w:rPr>
      <w:fldChar w:fldCharType="separate"/>
    </w:r>
    <w:r w:rsidR="000F3BC3">
      <w:rPr>
        <w:noProof/>
        <w:color w:val="5F7577" w:themeColor="accent2"/>
        <w:szCs w:val="18"/>
      </w:rPr>
      <w:t>Report for the year ended 31 March 2023</w:t>
    </w:r>
    <w:r w:rsidRPr="00694710">
      <w:rPr>
        <w:color w:val="5F7577" w:themeColor="accent2"/>
        <w:szCs w:val="18"/>
      </w:rPr>
      <w:fldChar w:fldCharType="end"/>
    </w:r>
    <w:r>
      <w:rPr>
        <w:color w:val="5F7577" w:themeColor="accent2"/>
        <w:szCs w:val="18"/>
      </w:rPr>
      <w:ptab w:relativeTo="margin" w:alignment="right" w:leader="none"/>
    </w:r>
    <w:r w:rsidRPr="00694710">
      <w:rPr>
        <w:color w:val="5F7577" w:themeColor="accent2"/>
        <w:szCs w:val="18"/>
      </w:rPr>
      <w:fldChar w:fldCharType="begin"/>
    </w:r>
    <w:r w:rsidRPr="00694710">
      <w:rPr>
        <w:color w:val="5F7577" w:themeColor="accent2"/>
        <w:szCs w:val="18"/>
      </w:rPr>
      <w:instrText xml:space="preserve"> PAGE   \* MERGEFORMAT </w:instrText>
    </w:r>
    <w:r w:rsidRPr="00694710">
      <w:rPr>
        <w:color w:val="5F7577" w:themeColor="accent2"/>
        <w:szCs w:val="18"/>
      </w:rPr>
      <w:fldChar w:fldCharType="separate"/>
    </w:r>
    <w:r w:rsidRPr="00694710">
      <w:rPr>
        <w:noProof/>
        <w:color w:val="5F7577" w:themeColor="accent2"/>
        <w:szCs w:val="18"/>
      </w:rPr>
      <w:t>1</w:t>
    </w:r>
    <w:r w:rsidRPr="00694710">
      <w:rPr>
        <w:noProof/>
        <w:color w:val="5F7577" w:themeColor="accent2"/>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D3716" w14:textId="759F4A13" w:rsidR="0008752E" w:rsidRDefault="00D723CD">
    <w:pPr>
      <w:pStyle w:val="Footer"/>
    </w:pPr>
    <w:r w:rsidRPr="00450C94">
      <w:rPr>
        <w:noProof/>
      </w:rPr>
      <mc:AlternateContent>
        <mc:Choice Requires="wps">
          <w:drawing>
            <wp:anchor distT="0" distB="0" distL="114300" distR="114300" simplePos="0" relativeHeight="251661312" behindDoc="0" locked="0" layoutInCell="1" allowOverlap="1" wp14:anchorId="37FFDADE" wp14:editId="6B309F70">
              <wp:simplePos x="0" y="0"/>
              <wp:positionH relativeFrom="column">
                <wp:posOffset>241300</wp:posOffset>
              </wp:positionH>
              <wp:positionV relativeFrom="paragraph">
                <wp:posOffset>-1807210</wp:posOffset>
              </wp:positionV>
              <wp:extent cx="1857375" cy="1518920"/>
              <wp:effectExtent l="0" t="0" r="0" b="0"/>
              <wp:wrapNone/>
              <wp:docPr id="2" name="Subtitle 1">
                <a:extLst xmlns:a="http://schemas.openxmlformats.org/drawingml/2006/main">
                  <a:ext uri="{FF2B5EF4-FFF2-40B4-BE49-F238E27FC236}">
                    <a16:creationId xmlns:a16="http://schemas.microsoft.com/office/drawing/2014/main" id="{D21B5183-68CF-48CB-B3B4-68AEEC8B9BF2}"/>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857375" cy="1518920"/>
                      </a:xfrm>
                      <a:prstGeom prst="rect">
                        <a:avLst/>
                      </a:prstGeom>
                    </wps:spPr>
                    <wps:txbx>
                      <w:txbxContent>
                        <w:p w14:paraId="315C79F8" w14:textId="4B2A5F7F"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WICS</w:t>
                          </w:r>
                        </w:p>
                        <w:p w14:paraId="6465F591" w14:textId="155D24E1"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Moray House</w:t>
                          </w:r>
                        </w:p>
                        <w:p w14:paraId="368AB296"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Forthside Way</w:t>
                          </w:r>
                        </w:p>
                        <w:p w14:paraId="01F20873"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Stirling</w:t>
                          </w:r>
                        </w:p>
                        <w:p w14:paraId="3D3AE318" w14:textId="77777777"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FK8 1QZ</w:t>
                          </w:r>
                        </w:p>
                        <w:p w14:paraId="1726D5DB" w14:textId="77777777" w:rsidR="00DE0535" w:rsidRPr="007B2144" w:rsidRDefault="00DE0535" w:rsidP="00DE0535">
                          <w:pPr>
                            <w:spacing w:line="240" w:lineRule="auto"/>
                            <w:rPr>
                              <w:rFonts w:hAnsi="Calibri"/>
                              <w:color w:val="FFFFFF" w:themeColor="background1"/>
                              <w:kern w:val="24"/>
                              <w:szCs w:val="24"/>
                              <w:lang w:val="de-DE"/>
                            </w:rPr>
                          </w:pPr>
                        </w:p>
                        <w:p w14:paraId="47E6FDA3" w14:textId="0D5806B8"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T:  01786 430 200</w:t>
                          </w:r>
                        </w:p>
                        <w:p w14:paraId="039D3035" w14:textId="7F66A242"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E:  enquiries@wics.scot</w:t>
                          </w:r>
                        </w:p>
                        <w:p w14:paraId="404F1A80" w14:textId="30602C00"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 xml:space="preserve">W:  </w:t>
                          </w:r>
                          <w:proofErr w:type="gramStart"/>
                          <w:r w:rsidRPr="00D723CD">
                            <w:rPr>
                              <w:rFonts w:hAnsi="Calibri"/>
                              <w:color w:val="FFFFFF" w:themeColor="background1"/>
                              <w:kern w:val="24"/>
                              <w:szCs w:val="24"/>
                            </w:rPr>
                            <w:t>wics.scot</w:t>
                          </w:r>
                          <w:proofErr w:type="gramEnd"/>
                        </w:p>
                      </w:txbxContent>
                    </wps:txbx>
                    <wps:bodyPr vert="horz"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37FFDADE" id="Subtitle 1" o:spid="_x0000_s1026" style="position:absolute;margin-left:19pt;margin-top:-142.3pt;width:146.25pt;height:11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v4mogEAADMDAAAOAAAAZHJzL2Uyb0RvYy54bWysksGO0zAQhu9IvIPlO01TVLZETVeIFSuk&#10;Fay0ywO4jt1ExB4z4zYpT8/YTboIboiLNbbHv7/5Z7a3o+vFySB14GtZLpZSGK+h6fyhlt+eP73Z&#10;SEFR+Ub14E0tz4bk7e71q+0QKrOCFvrGoGART9UQatnGGKqiIN0ap2gBwXi+tIBORd7ioWhQDazu&#10;+mK1XL4rBsAmIGhDxKd3l0u5y/rWGh2/Wksmir6WzBbzinndp7XYbVV1QBXaTk8Y6h8onOo8f3qV&#10;ulNRiSN2f0m5TiMQ2LjQ4AqwttMm18DVlMs/qnlqVTC5FjaHwtUm+n+y+svpKTxiQqfwAPo7CQ/3&#10;yJ0okzfFEKi65qQNTdmjRZdecQlizH6er36aMQrNh+VmffP2Zi2F5rtyXW7er7Ljharm5wEp3htw&#10;IgW1RG5Y9lGdHigmAFXNKRPNBSChxHE/ckoK99CcHzENIou0gD+lGLiptaQfR4VGiv6zZ9fSBMwB&#10;zsF+DjD2H+EyJ8prVqnlBcbDh2ME22Wgl+8mIO5M5pymKLX+933Oepn13S8AAAD//wMAUEsDBBQA&#10;BgAIAAAAIQCgHgzA4wAAAAsBAAAPAAAAZHJzL2Rvd25yZXYueG1sTI/NTsMwEITvSLyDtUjcWocm&#10;rdI0TlXxo3KEFqn05iZLEmGvo9htAk/PcoLj7Ixmv8nXozXigr1vHSm4m0YgkEpXtVQreNs/TVIQ&#10;PmiqtHGECr7Qw7q4vsp1VrmBXvGyC7XgEvKZVtCE0GVS+rJBq/3UdUjsfbje6sCyr2XV64HLrZGz&#10;KFpIq1viD43u8L7B8nN3tgq2abd5f3bfQ20ej9vDy2H5sF8GpW5vxs0KRMAx/IXhF5/RoWCmkztT&#10;5YVREKc8JSiYzNJkAYITcRzNQZz4lMwTkEUu/28ofgAAAP//AwBQSwECLQAUAAYACAAAACEAtoM4&#10;kv4AAADhAQAAEwAAAAAAAAAAAAAAAAAAAAAAW0NvbnRlbnRfVHlwZXNdLnhtbFBLAQItABQABgAI&#10;AAAAIQA4/SH/1gAAAJQBAAALAAAAAAAAAAAAAAAAAC8BAABfcmVscy8ucmVsc1BLAQItABQABgAI&#10;AAAAIQCY5v4mogEAADMDAAAOAAAAAAAAAAAAAAAAAC4CAABkcnMvZTJvRG9jLnhtbFBLAQItABQA&#10;BgAIAAAAIQCgHgzA4wAAAAsBAAAPAAAAAAAAAAAAAAAAAPwDAABkcnMvZG93bnJldi54bWxQSwUG&#10;AAAAAAQABADzAAAADAUAAAAA&#10;" filled="f" stroked="f">
              <o:lock v:ext="edit" grouping="t"/>
              <v:textbox inset="0,0,0,0">
                <w:txbxContent>
                  <w:p w14:paraId="315C79F8" w14:textId="4B2A5F7F"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WICS</w:t>
                    </w:r>
                  </w:p>
                  <w:p w14:paraId="6465F591" w14:textId="155D24E1"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Moray House</w:t>
                    </w:r>
                  </w:p>
                  <w:p w14:paraId="368AB296"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Forthside Way</w:t>
                    </w:r>
                  </w:p>
                  <w:p w14:paraId="01F20873"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Stirling</w:t>
                    </w:r>
                  </w:p>
                  <w:p w14:paraId="3D3AE318" w14:textId="77777777"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FK8 1QZ</w:t>
                    </w:r>
                  </w:p>
                  <w:p w14:paraId="1726D5DB" w14:textId="77777777" w:rsidR="00DE0535" w:rsidRPr="007B2144" w:rsidRDefault="00DE0535" w:rsidP="00DE0535">
                    <w:pPr>
                      <w:spacing w:line="240" w:lineRule="auto"/>
                      <w:rPr>
                        <w:rFonts w:hAnsi="Calibri"/>
                        <w:color w:val="FFFFFF" w:themeColor="background1"/>
                        <w:kern w:val="24"/>
                        <w:szCs w:val="24"/>
                        <w:lang w:val="de-DE"/>
                      </w:rPr>
                    </w:pPr>
                  </w:p>
                  <w:p w14:paraId="47E6FDA3" w14:textId="0D5806B8"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T:  01786 430 200</w:t>
                    </w:r>
                  </w:p>
                  <w:p w14:paraId="039D3035" w14:textId="7F66A242"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E:  enquiries@wics.scot</w:t>
                    </w:r>
                  </w:p>
                  <w:p w14:paraId="404F1A80" w14:textId="30602C00"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 xml:space="preserve">W:  </w:t>
                    </w:r>
                    <w:proofErr w:type="gramStart"/>
                    <w:r w:rsidRPr="00D723CD">
                      <w:rPr>
                        <w:rFonts w:hAnsi="Calibri"/>
                        <w:color w:val="FFFFFF" w:themeColor="background1"/>
                        <w:kern w:val="24"/>
                        <w:szCs w:val="24"/>
                      </w:rPr>
                      <w:t>wics.scot</w:t>
                    </w:r>
                    <w:proofErr w:type="gramEnd"/>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5856CE" w14:textId="77777777" w:rsidR="008F5657" w:rsidRDefault="008F5657" w:rsidP="0008752E">
      <w:pPr>
        <w:spacing w:line="240" w:lineRule="auto"/>
      </w:pPr>
      <w:r>
        <w:separator/>
      </w:r>
    </w:p>
  </w:footnote>
  <w:footnote w:type="continuationSeparator" w:id="0">
    <w:p w14:paraId="4E215FD3" w14:textId="77777777" w:rsidR="008F5657" w:rsidRDefault="008F5657" w:rsidP="0008752E">
      <w:pPr>
        <w:spacing w:line="240" w:lineRule="auto"/>
      </w:pPr>
      <w:r>
        <w:continuationSeparator/>
      </w:r>
    </w:p>
  </w:footnote>
  <w:footnote w:id="1">
    <w:p w14:paraId="54997FE8" w14:textId="08B420C3" w:rsidR="00B92114" w:rsidRDefault="00B92114">
      <w:pPr>
        <w:pStyle w:val="FootnoteText"/>
      </w:pPr>
      <w:r>
        <w:rPr>
          <w:rStyle w:val="FootnoteReference"/>
        </w:rPr>
        <w:footnoteRef/>
      </w:r>
      <w:r>
        <w:t xml:space="preserve"> The cost of rebranding and developing a new corporate website is included in 2021-22 and 21-22.</w:t>
      </w:r>
    </w:p>
  </w:footnote>
  <w:footnote w:id="2">
    <w:p w14:paraId="739FDC06" w14:textId="4C805F53" w:rsidR="00B92114" w:rsidRDefault="00B92114">
      <w:pPr>
        <w:pStyle w:val="FootnoteText"/>
      </w:pPr>
      <w:r>
        <w:rPr>
          <w:rStyle w:val="FootnoteReference"/>
        </w:rPr>
        <w:footnoteRef/>
      </w:r>
      <w:r>
        <w:t xml:space="preserve"> This includes the costs of launching the Draft and Final Determinations. As this work was carried out during the COVID pandemic, much of the work had to be carried out remotely</w:t>
      </w:r>
      <w:r w:rsidR="002E1661">
        <w:t>, using publications</w:t>
      </w:r>
      <w:r>
        <w:t>.</w:t>
      </w:r>
    </w:p>
  </w:footnote>
  <w:footnote w:id="3">
    <w:p w14:paraId="2D656BA6" w14:textId="0F8C0C4C" w:rsidR="00B92114" w:rsidRDefault="00B92114">
      <w:pPr>
        <w:pStyle w:val="FootnoteText"/>
      </w:pPr>
      <w:r>
        <w:rPr>
          <w:rStyle w:val="FootnoteReference"/>
        </w:rPr>
        <w:footnoteRef/>
      </w:r>
      <w:r>
        <w:t xml:space="preserve"> Includes vouchers paid to employees as a Christmas </w:t>
      </w:r>
      <w:proofErr w:type="gramStart"/>
      <w:r>
        <w:t>gift</w:t>
      </w:r>
      <w:proofErr w:type="gram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A9742" w14:textId="344D5511" w:rsidR="009215D0" w:rsidRDefault="009215D0">
    <w:pPr>
      <w:pStyle w:val="Header"/>
    </w:pPr>
    <w:r>
      <w:rPr>
        <w:noProof/>
      </w:rPr>
      <w:drawing>
        <wp:anchor distT="0" distB="0" distL="114300" distR="114300" simplePos="0" relativeHeight="251658239" behindDoc="0" locked="0" layoutInCell="1" allowOverlap="1" wp14:anchorId="640CCEF4" wp14:editId="74C9A588">
          <wp:simplePos x="0" y="0"/>
          <wp:positionH relativeFrom="column">
            <wp:posOffset>828040</wp:posOffset>
          </wp:positionH>
          <wp:positionV relativeFrom="paragraph">
            <wp:posOffset>-350870</wp:posOffset>
          </wp:positionV>
          <wp:extent cx="6059805" cy="3093085"/>
          <wp:effectExtent l="0" t="0" r="0" b="0"/>
          <wp:wrapThrough wrapText="bothSides">
            <wp:wrapPolygon edited="0">
              <wp:start x="1494" y="0"/>
              <wp:lineTo x="3191" y="4656"/>
              <wp:lineTo x="4957" y="6386"/>
              <wp:lineTo x="12630" y="8514"/>
              <wp:lineTo x="21322" y="15166"/>
              <wp:lineTo x="21525" y="15166"/>
              <wp:lineTo x="21525" y="9179"/>
              <wp:lineTo x="19624" y="2129"/>
              <wp:lineTo x="18741" y="0"/>
              <wp:lineTo x="1494"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
                    <a:extLst>
                      <a:ext uri="{28A0092B-C50C-407E-A947-70E740481C1C}">
                        <a14:useLocalDpi xmlns:a14="http://schemas.microsoft.com/office/drawing/2010/main" val="0"/>
                      </a:ext>
                    </a:extLst>
                  </a:blip>
                  <a:srcRect l="49217" b="63328"/>
                  <a:stretch/>
                </pic:blipFill>
                <pic:spPr bwMode="auto">
                  <a:xfrm>
                    <a:off x="0" y="0"/>
                    <a:ext cx="6059805" cy="309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374BB6" w14:textId="77777777" w:rsidR="009215D0" w:rsidRDefault="009215D0">
    <w:pPr>
      <w:pStyle w:val="Header"/>
    </w:pPr>
  </w:p>
  <w:p w14:paraId="69DBFD83" w14:textId="3CEB4D1B" w:rsidR="009215D0" w:rsidRDefault="009215D0">
    <w:pPr>
      <w:pStyle w:val="Header"/>
    </w:pPr>
  </w:p>
  <w:p w14:paraId="29F9D296" w14:textId="39CBE170" w:rsidR="00A33894" w:rsidRDefault="00A33894">
    <w:pPr>
      <w:pStyle w:val="Header"/>
    </w:pPr>
  </w:p>
  <w:p w14:paraId="5D9451BD" w14:textId="4A6917F5" w:rsidR="00A33894" w:rsidRDefault="00A33894">
    <w:pPr>
      <w:pStyle w:val="Header"/>
    </w:pPr>
  </w:p>
  <w:p w14:paraId="3CC8F489" w14:textId="77777777" w:rsidR="00A33894" w:rsidRDefault="00A33894">
    <w:pPr>
      <w:pStyle w:val="Header"/>
    </w:pPr>
  </w:p>
  <w:p w14:paraId="6B9C56B2" w14:textId="77777777" w:rsidR="009215D0" w:rsidRDefault="009215D0">
    <w:pPr>
      <w:pStyle w:val="Header"/>
    </w:pPr>
  </w:p>
  <w:p w14:paraId="2EDDC0D8" w14:textId="77777777" w:rsidR="009215D0" w:rsidRDefault="009215D0">
    <w:pPr>
      <w:pStyle w:val="Header"/>
    </w:pPr>
  </w:p>
  <w:p w14:paraId="0DD4F574" w14:textId="6B4795DE" w:rsidR="009215D0" w:rsidRDefault="009215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D40BB" w14:textId="011FE00B" w:rsidR="00805421" w:rsidRDefault="00805421">
    <w:pPr>
      <w:pStyle w:val="Header"/>
    </w:pPr>
    <w:r>
      <w:rPr>
        <w:noProof/>
      </w:rPr>
      <w:drawing>
        <wp:anchor distT="0" distB="0" distL="114300" distR="114300" simplePos="0" relativeHeight="251659264" behindDoc="1" locked="0" layoutInCell="1" allowOverlap="1" wp14:anchorId="3C469B6B" wp14:editId="26D6DD94">
          <wp:simplePos x="0" y="0"/>
          <wp:positionH relativeFrom="margin">
            <wp:posOffset>-773430</wp:posOffset>
          </wp:positionH>
          <wp:positionV relativeFrom="margin">
            <wp:posOffset>-4456430</wp:posOffset>
          </wp:positionV>
          <wp:extent cx="7625640" cy="10786592"/>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625640" cy="10786592"/>
                  </a:xfrm>
                  <a:prstGeom prst="rect">
                    <a:avLst/>
                  </a:prstGeom>
                </pic:spPr>
              </pic:pic>
            </a:graphicData>
          </a:graphic>
          <wp14:sizeRelH relativeFrom="margin">
            <wp14:pctWidth>0</wp14:pctWidth>
          </wp14:sizeRelH>
          <wp14:sizeRelV relativeFrom="margin">
            <wp14:pctHeight>0</wp14:pctHeight>
          </wp14:sizeRelV>
        </wp:anchor>
      </w:drawing>
    </w:r>
  </w:p>
  <w:p w14:paraId="38EE9982" w14:textId="3FCBBFFA" w:rsidR="00805421" w:rsidRDefault="00805421">
    <w:pPr>
      <w:pStyle w:val="Header"/>
    </w:pPr>
  </w:p>
  <w:p w14:paraId="40E8C02E" w14:textId="77777777" w:rsidR="00805421" w:rsidRDefault="00805421">
    <w:pPr>
      <w:pStyle w:val="Header"/>
    </w:pPr>
  </w:p>
  <w:p w14:paraId="6B1AC33D" w14:textId="4E89AAA8" w:rsidR="00805421" w:rsidRDefault="00805421">
    <w:pPr>
      <w:pStyle w:val="Header"/>
    </w:pPr>
  </w:p>
  <w:p w14:paraId="1010CC36" w14:textId="0C43E134" w:rsidR="00805421" w:rsidRDefault="00805421">
    <w:pPr>
      <w:pStyle w:val="Header"/>
    </w:pPr>
  </w:p>
  <w:p w14:paraId="40780AC9" w14:textId="0A6AA586" w:rsidR="00805421" w:rsidRDefault="00805421">
    <w:pPr>
      <w:pStyle w:val="Header"/>
    </w:pPr>
  </w:p>
  <w:p w14:paraId="6DD656A3" w14:textId="77777777" w:rsidR="00805421" w:rsidRDefault="00805421">
    <w:pPr>
      <w:pStyle w:val="Header"/>
    </w:pPr>
  </w:p>
  <w:p w14:paraId="2971A7CA" w14:textId="77777777" w:rsidR="00805421" w:rsidRDefault="00805421">
    <w:pPr>
      <w:pStyle w:val="Header"/>
    </w:pPr>
  </w:p>
  <w:p w14:paraId="6C39DA5E" w14:textId="77777777" w:rsidR="00805421" w:rsidRDefault="00805421">
    <w:pPr>
      <w:pStyle w:val="Header"/>
    </w:pPr>
  </w:p>
  <w:p w14:paraId="4C9C6D00" w14:textId="2D9FBB67" w:rsidR="00805421" w:rsidRDefault="00805421">
    <w:pPr>
      <w:pStyle w:val="Header"/>
    </w:pPr>
  </w:p>
  <w:p w14:paraId="4C1F38E0" w14:textId="77777777" w:rsidR="00805421" w:rsidRDefault="00805421">
    <w:pPr>
      <w:pStyle w:val="Header"/>
    </w:pPr>
  </w:p>
  <w:p w14:paraId="7A554821" w14:textId="77777777" w:rsidR="00805421" w:rsidRDefault="00805421">
    <w:pPr>
      <w:pStyle w:val="Header"/>
    </w:pPr>
  </w:p>
  <w:p w14:paraId="538BF39A" w14:textId="77777777" w:rsidR="00805421" w:rsidRDefault="00805421">
    <w:pPr>
      <w:pStyle w:val="Header"/>
    </w:pPr>
  </w:p>
  <w:p w14:paraId="058C2ABD" w14:textId="42BEDE2F" w:rsidR="00805421" w:rsidRDefault="00805421">
    <w:pPr>
      <w:pStyle w:val="Header"/>
    </w:pPr>
  </w:p>
  <w:p w14:paraId="3A4B6B24" w14:textId="77777777" w:rsidR="00805421" w:rsidRDefault="00805421">
    <w:pPr>
      <w:pStyle w:val="Header"/>
    </w:pPr>
  </w:p>
  <w:p w14:paraId="6BBC6EC0" w14:textId="77777777" w:rsidR="00805421" w:rsidRDefault="00805421">
    <w:pPr>
      <w:pStyle w:val="Header"/>
    </w:pPr>
  </w:p>
  <w:p w14:paraId="71D2DC40" w14:textId="77777777" w:rsidR="00805421" w:rsidRDefault="00805421">
    <w:pPr>
      <w:pStyle w:val="Header"/>
    </w:pPr>
  </w:p>
  <w:p w14:paraId="7714A05F" w14:textId="77777777" w:rsidR="00805421" w:rsidRDefault="00805421">
    <w:pPr>
      <w:pStyle w:val="Header"/>
    </w:pPr>
  </w:p>
  <w:p w14:paraId="16A5DD0F" w14:textId="77777777" w:rsidR="00805421" w:rsidRDefault="00805421">
    <w:pPr>
      <w:pStyle w:val="Header"/>
    </w:pPr>
  </w:p>
  <w:p w14:paraId="4686496D" w14:textId="77777777" w:rsidR="00805421" w:rsidRDefault="00805421">
    <w:pPr>
      <w:pStyle w:val="Header"/>
    </w:pPr>
  </w:p>
  <w:p w14:paraId="433707AC" w14:textId="77777777" w:rsidR="00805421" w:rsidRDefault="00805421">
    <w:pPr>
      <w:pStyle w:val="Header"/>
    </w:pPr>
  </w:p>
  <w:p w14:paraId="67B0FA8F" w14:textId="44A83074" w:rsidR="0008752E" w:rsidRDefault="000875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BB621" w14:textId="77777777" w:rsidR="00450C94" w:rsidRDefault="00450C94">
    <w:pPr>
      <w:pStyle w:val="Header"/>
    </w:pPr>
  </w:p>
  <w:p w14:paraId="3986C590" w14:textId="77777777" w:rsidR="00450C94" w:rsidRDefault="00450C94">
    <w:pPr>
      <w:pStyle w:val="Header"/>
    </w:pPr>
  </w:p>
  <w:p w14:paraId="0255FA49" w14:textId="77777777" w:rsidR="00450C94" w:rsidRDefault="00450C9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6ED96" w14:textId="797ED9D7" w:rsidR="0008752E" w:rsidRDefault="00DE0535">
    <w:pPr>
      <w:pStyle w:val="Header"/>
    </w:pPr>
    <w:r>
      <w:rPr>
        <w:noProof/>
      </w:rPr>
      <w:drawing>
        <wp:anchor distT="0" distB="0" distL="114300" distR="114300" simplePos="0" relativeHeight="251657214" behindDoc="1" locked="0" layoutInCell="1" allowOverlap="1" wp14:anchorId="12781255" wp14:editId="157A51E0">
          <wp:simplePos x="0" y="0"/>
          <wp:positionH relativeFrom="column">
            <wp:posOffset>-739775</wp:posOffset>
          </wp:positionH>
          <wp:positionV relativeFrom="paragraph">
            <wp:posOffset>-460375</wp:posOffset>
          </wp:positionV>
          <wp:extent cx="7635180" cy="10800000"/>
          <wp:effectExtent l="0" t="0" r="4445" b="1905"/>
          <wp:wrapNone/>
          <wp:docPr id="19" name="Picture 1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35180" cy="1080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75CB8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7ACE7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221E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E00FE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46AD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70C2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F42A86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3C15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11E4E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13E82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F3E3667"/>
    <w:multiLevelType w:val="hybridMultilevel"/>
    <w:tmpl w:val="8988A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AE0C34"/>
    <w:multiLevelType w:val="multilevel"/>
    <w:tmpl w:val="8DE04322"/>
    <w:lvl w:ilvl="0">
      <w:start w:val="1"/>
      <w:numFmt w:val="decimal"/>
      <w:pStyle w:val="Heading1"/>
      <w:lvlText w:val="%1."/>
      <w:lvlJc w:val="left"/>
      <w:pPr>
        <w:ind w:left="360" w:hanging="360"/>
      </w:pPr>
    </w:lvl>
    <w:lvl w:ilvl="1">
      <w:start w:val="1"/>
      <w:numFmt w:val="decimal"/>
      <w:pStyle w:val="Heading2"/>
      <w:lvlText w:val="%1.%2."/>
      <w:lvlJc w:val="left"/>
      <w:pPr>
        <w:ind w:left="612" w:hanging="432"/>
      </w:pPr>
    </w:lvl>
    <w:lvl w:ilvl="2">
      <w:start w:val="1"/>
      <w:numFmt w:val="decimal"/>
      <w:pStyle w:val="Heading3"/>
      <w:lvlText w:val="%1.%2.%3."/>
      <w:lvlJc w:val="left"/>
      <w:pPr>
        <w:ind w:left="1044" w:hanging="504"/>
      </w:pPr>
    </w:lvl>
    <w:lvl w:ilvl="3">
      <w:start w:val="1"/>
      <w:numFmt w:val="decimal"/>
      <w:pStyle w:val="Heading4"/>
      <w:lvlText w:val="%1.%2.%3.%4."/>
      <w:lvlJc w:val="left"/>
      <w:pPr>
        <w:ind w:left="1548" w:hanging="648"/>
      </w:pPr>
    </w:lvl>
    <w:lvl w:ilvl="4">
      <w:start w:val="1"/>
      <w:numFmt w:val="decimal"/>
      <w:lvlText w:val="%1.%2.%3.%4.%5."/>
      <w:lvlJc w:val="left"/>
      <w:pPr>
        <w:ind w:left="2052" w:hanging="792"/>
      </w:pPr>
    </w:lvl>
    <w:lvl w:ilvl="5">
      <w:start w:val="1"/>
      <w:numFmt w:val="decimal"/>
      <w:lvlText w:val="%1.%2.%3.%4.%5.%6."/>
      <w:lvlJc w:val="left"/>
      <w:pPr>
        <w:ind w:left="2556" w:hanging="936"/>
      </w:pPr>
    </w:lvl>
    <w:lvl w:ilvl="6">
      <w:start w:val="1"/>
      <w:numFmt w:val="decimal"/>
      <w:lvlText w:val="%1.%2.%3.%4.%5.%6.%7."/>
      <w:lvlJc w:val="left"/>
      <w:pPr>
        <w:ind w:left="3060" w:hanging="1080"/>
      </w:pPr>
    </w:lvl>
    <w:lvl w:ilvl="7">
      <w:start w:val="1"/>
      <w:numFmt w:val="decimal"/>
      <w:lvlText w:val="%1.%2.%3.%4.%5.%6.%7.%8."/>
      <w:lvlJc w:val="left"/>
      <w:pPr>
        <w:ind w:left="3564" w:hanging="1224"/>
      </w:pPr>
    </w:lvl>
    <w:lvl w:ilvl="8">
      <w:start w:val="1"/>
      <w:numFmt w:val="decimal"/>
      <w:lvlText w:val="%1.%2.%3.%4.%5.%6.%7.%8.%9."/>
      <w:lvlJc w:val="left"/>
      <w:pPr>
        <w:ind w:left="4140" w:hanging="1440"/>
      </w:pPr>
    </w:lvl>
  </w:abstractNum>
  <w:abstractNum w:abstractNumId="12" w15:restartNumberingAfterBreak="0">
    <w:nsid w:val="2D636031"/>
    <w:multiLevelType w:val="hybridMultilevel"/>
    <w:tmpl w:val="7D42B01C"/>
    <w:lvl w:ilvl="0" w:tplc="742415B0">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7DC24F3"/>
    <w:multiLevelType w:val="hybridMultilevel"/>
    <w:tmpl w:val="6E32CE3E"/>
    <w:lvl w:ilvl="0" w:tplc="AC687F7A">
      <w:start w:val="1"/>
      <w:numFmt w:val="decimal"/>
      <w:lvlText w:val="%1."/>
      <w:lvlJc w:val="left"/>
      <w:pPr>
        <w:tabs>
          <w:tab w:val="num" w:pos="720"/>
        </w:tabs>
        <w:ind w:left="720" w:hanging="360"/>
      </w:pPr>
    </w:lvl>
    <w:lvl w:ilvl="1" w:tplc="DF74EA9E" w:tentative="1">
      <w:start w:val="1"/>
      <w:numFmt w:val="decimal"/>
      <w:lvlText w:val="%2."/>
      <w:lvlJc w:val="left"/>
      <w:pPr>
        <w:tabs>
          <w:tab w:val="num" w:pos="1440"/>
        </w:tabs>
        <w:ind w:left="1440" w:hanging="360"/>
      </w:pPr>
    </w:lvl>
    <w:lvl w:ilvl="2" w:tplc="3602428E" w:tentative="1">
      <w:start w:val="1"/>
      <w:numFmt w:val="decimal"/>
      <w:lvlText w:val="%3."/>
      <w:lvlJc w:val="left"/>
      <w:pPr>
        <w:tabs>
          <w:tab w:val="num" w:pos="2160"/>
        </w:tabs>
        <w:ind w:left="2160" w:hanging="360"/>
      </w:pPr>
    </w:lvl>
    <w:lvl w:ilvl="3" w:tplc="AF20E0F8" w:tentative="1">
      <w:start w:val="1"/>
      <w:numFmt w:val="decimal"/>
      <w:lvlText w:val="%4."/>
      <w:lvlJc w:val="left"/>
      <w:pPr>
        <w:tabs>
          <w:tab w:val="num" w:pos="2880"/>
        </w:tabs>
        <w:ind w:left="2880" w:hanging="360"/>
      </w:pPr>
    </w:lvl>
    <w:lvl w:ilvl="4" w:tplc="3BB4B90C" w:tentative="1">
      <w:start w:val="1"/>
      <w:numFmt w:val="decimal"/>
      <w:lvlText w:val="%5."/>
      <w:lvlJc w:val="left"/>
      <w:pPr>
        <w:tabs>
          <w:tab w:val="num" w:pos="3600"/>
        </w:tabs>
        <w:ind w:left="3600" w:hanging="360"/>
      </w:pPr>
    </w:lvl>
    <w:lvl w:ilvl="5" w:tplc="7B0C1F80" w:tentative="1">
      <w:start w:val="1"/>
      <w:numFmt w:val="decimal"/>
      <w:lvlText w:val="%6."/>
      <w:lvlJc w:val="left"/>
      <w:pPr>
        <w:tabs>
          <w:tab w:val="num" w:pos="4320"/>
        </w:tabs>
        <w:ind w:left="4320" w:hanging="360"/>
      </w:pPr>
    </w:lvl>
    <w:lvl w:ilvl="6" w:tplc="B52CFB84" w:tentative="1">
      <w:start w:val="1"/>
      <w:numFmt w:val="decimal"/>
      <w:lvlText w:val="%7."/>
      <w:lvlJc w:val="left"/>
      <w:pPr>
        <w:tabs>
          <w:tab w:val="num" w:pos="5040"/>
        </w:tabs>
        <w:ind w:left="5040" w:hanging="360"/>
      </w:pPr>
    </w:lvl>
    <w:lvl w:ilvl="7" w:tplc="9FB8FABE" w:tentative="1">
      <w:start w:val="1"/>
      <w:numFmt w:val="decimal"/>
      <w:lvlText w:val="%8."/>
      <w:lvlJc w:val="left"/>
      <w:pPr>
        <w:tabs>
          <w:tab w:val="num" w:pos="5760"/>
        </w:tabs>
        <w:ind w:left="5760" w:hanging="360"/>
      </w:pPr>
    </w:lvl>
    <w:lvl w:ilvl="8" w:tplc="0C30E3AC" w:tentative="1">
      <w:start w:val="1"/>
      <w:numFmt w:val="decimal"/>
      <w:lvlText w:val="%9."/>
      <w:lvlJc w:val="left"/>
      <w:pPr>
        <w:tabs>
          <w:tab w:val="num" w:pos="6480"/>
        </w:tabs>
        <w:ind w:left="6480" w:hanging="360"/>
      </w:pPr>
    </w:lvl>
  </w:abstractNum>
  <w:abstractNum w:abstractNumId="14" w15:restartNumberingAfterBreak="0">
    <w:nsid w:val="42601E14"/>
    <w:multiLevelType w:val="multilevel"/>
    <w:tmpl w:val="04741718"/>
    <w:lvl w:ilvl="0">
      <w:start w:val="1"/>
      <w:numFmt w:val="decimal"/>
      <w:pStyle w:val="List1"/>
      <w:lvlText w:val="%1"/>
      <w:lvlJc w:val="left"/>
      <w:pPr>
        <w:ind w:left="360" w:hanging="360"/>
      </w:pPr>
      <w:rPr>
        <w:rFonts w:hint="default"/>
      </w:rPr>
    </w:lvl>
    <w:lvl w:ilvl="1">
      <w:start w:val="1"/>
      <w:numFmt w:val="decimal"/>
      <w:pStyle w:val="List2"/>
      <w:lvlText w:val="%1.%2"/>
      <w:lvlJc w:val="left"/>
      <w:pPr>
        <w:ind w:left="360" w:hanging="360"/>
      </w:pPr>
      <w:rPr>
        <w:rFonts w:hint="default"/>
      </w:rPr>
    </w:lvl>
    <w:lvl w:ilvl="2">
      <w:start w:val="1"/>
      <w:numFmt w:val="decimal"/>
      <w:pStyle w:val="List3"/>
      <w:lvlText w:val="%1.%2.%3"/>
      <w:lvlJc w:val="left"/>
      <w:pPr>
        <w:ind w:left="720" w:hanging="720"/>
      </w:pPr>
      <w:rPr>
        <w:rFonts w:hint="default"/>
      </w:rPr>
    </w:lvl>
    <w:lvl w:ilvl="3">
      <w:start w:val="1"/>
      <w:numFmt w:val="decimal"/>
      <w:pStyle w:val="List4"/>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45575B9D"/>
    <w:multiLevelType w:val="hybridMultilevel"/>
    <w:tmpl w:val="9F66B4EC"/>
    <w:lvl w:ilvl="0" w:tplc="A238CC36">
      <w:start w:val="1"/>
      <w:numFmt w:val="bullet"/>
      <w:pStyle w:val="Bullet2"/>
      <w:lvlText w:val="‒"/>
      <w:lvlJc w:val="left"/>
      <w:pPr>
        <w:ind w:left="1004" w:hanging="360"/>
      </w:pPr>
      <w:rPr>
        <w:rFonts w:ascii="Calibri" w:hAnsi="Calibri" w:hint="default"/>
        <w:color w:val="000000" w:themeColor="text1"/>
        <w:sz w:val="20"/>
      </w:rPr>
    </w:lvl>
    <w:lvl w:ilvl="1" w:tplc="3B3CEDBA">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1C12E4"/>
    <w:multiLevelType w:val="hybridMultilevel"/>
    <w:tmpl w:val="FEE65836"/>
    <w:lvl w:ilvl="0" w:tplc="A84A96F4">
      <w:start w:val="1"/>
      <w:numFmt w:val="bullet"/>
      <w:pStyle w:val="Bullet1"/>
      <w:lvlText w:val=""/>
      <w:lvlJc w:val="left"/>
      <w:pPr>
        <w:ind w:left="360" w:hanging="360"/>
      </w:pPr>
      <w:rPr>
        <w:rFonts w:ascii="Symbol" w:hAnsi="Symbol" w:hint="default"/>
        <w:color w:val="000000" w:themeColor="text1"/>
        <w:sz w:val="20"/>
        <w:szCs w:val="14"/>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F5C249F"/>
    <w:multiLevelType w:val="multilevel"/>
    <w:tmpl w:val="A0D6C2C4"/>
    <w:lvl w:ilvl="0">
      <w:start w:val="1"/>
      <w:numFmt w:val="bullet"/>
      <w:lvlText w:val=""/>
      <w:lvlJc w:val="left"/>
      <w:pPr>
        <w:ind w:left="284" w:hanging="284"/>
      </w:pPr>
      <w:rPr>
        <w:rFonts w:ascii="Wingdings" w:hAnsi="Wingdings" w:hint="default"/>
        <w:color w:val="064276" w:themeColor="accent1"/>
        <w:sz w:val="22"/>
        <w:szCs w:val="22"/>
      </w:rPr>
    </w:lvl>
    <w:lvl w:ilvl="1">
      <w:start w:val="1"/>
      <w:numFmt w:val="bullet"/>
      <w:lvlText w:val="o"/>
      <w:lvlJc w:val="left"/>
      <w:pPr>
        <w:ind w:left="568" w:hanging="284"/>
      </w:pPr>
      <w:rPr>
        <w:rFonts w:ascii="Courier New" w:hAnsi="Courier New" w:hint="default"/>
        <w:color w:val="FFFFFF" w:themeColor="background1"/>
      </w:rPr>
    </w:lvl>
    <w:lvl w:ilvl="2">
      <w:start w:val="1"/>
      <w:numFmt w:val="bullet"/>
      <w:lvlText w:val=""/>
      <w:lvlJc w:val="left"/>
      <w:pPr>
        <w:ind w:left="852" w:hanging="284"/>
      </w:pPr>
      <w:rPr>
        <w:rFonts w:ascii="Symbol" w:hAnsi="Symbol" w:hint="default"/>
        <w:color w:val="000000" w:themeColor="text1"/>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18" w15:restartNumberingAfterBreak="0">
    <w:nsid w:val="64851663"/>
    <w:multiLevelType w:val="hybridMultilevel"/>
    <w:tmpl w:val="F65A6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F04E1D"/>
    <w:multiLevelType w:val="hybridMultilevel"/>
    <w:tmpl w:val="F50C789C"/>
    <w:lvl w:ilvl="0" w:tplc="A238CC36">
      <w:start w:val="1"/>
      <w:numFmt w:val="bullet"/>
      <w:lvlText w:val="‒"/>
      <w:lvlJc w:val="left"/>
      <w:pPr>
        <w:ind w:left="1004" w:hanging="360"/>
      </w:pPr>
      <w:rPr>
        <w:rFonts w:ascii="Calibri" w:hAnsi="Calibri" w:hint="default"/>
        <w:color w:val="000000" w:themeColor="text1"/>
        <w:sz w:val="20"/>
      </w:rPr>
    </w:lvl>
    <w:lvl w:ilvl="1" w:tplc="5AB420CA">
      <w:start w:val="1"/>
      <w:numFmt w:val="bullet"/>
      <w:pStyle w:val="Bullet3"/>
      <w:lvlText w:val=""/>
      <w:lvlJc w:val="left"/>
      <w:pPr>
        <w:ind w:left="1440" w:hanging="360"/>
      </w:pPr>
      <w:rPr>
        <w:rFonts w:ascii="Wingdings" w:hAnsi="Wingdings" w:hint="default"/>
        <w:color w:val="000000" w:themeColor="text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5024295">
    <w:abstractNumId w:val="17"/>
  </w:num>
  <w:num w:numId="2" w16cid:durableId="1854612775">
    <w:abstractNumId w:val="11"/>
  </w:num>
  <w:num w:numId="3" w16cid:durableId="467095377">
    <w:abstractNumId w:val="15"/>
  </w:num>
  <w:num w:numId="4" w16cid:durableId="678893428">
    <w:abstractNumId w:val="14"/>
  </w:num>
  <w:num w:numId="5" w16cid:durableId="262035097">
    <w:abstractNumId w:val="16"/>
  </w:num>
  <w:num w:numId="6" w16cid:durableId="853953689">
    <w:abstractNumId w:val="10"/>
  </w:num>
  <w:num w:numId="7" w16cid:durableId="721713119">
    <w:abstractNumId w:val="9"/>
  </w:num>
  <w:num w:numId="8" w16cid:durableId="363216257">
    <w:abstractNumId w:val="7"/>
  </w:num>
  <w:num w:numId="9" w16cid:durableId="1232277537">
    <w:abstractNumId w:val="6"/>
  </w:num>
  <w:num w:numId="10" w16cid:durableId="1104808347">
    <w:abstractNumId w:val="5"/>
  </w:num>
  <w:num w:numId="11" w16cid:durableId="558788292">
    <w:abstractNumId w:val="4"/>
  </w:num>
  <w:num w:numId="12" w16cid:durableId="31813241">
    <w:abstractNumId w:val="8"/>
  </w:num>
  <w:num w:numId="13" w16cid:durableId="1019618710">
    <w:abstractNumId w:val="3"/>
  </w:num>
  <w:num w:numId="14" w16cid:durableId="828519214">
    <w:abstractNumId w:val="2"/>
  </w:num>
  <w:num w:numId="15" w16cid:durableId="1193566734">
    <w:abstractNumId w:val="1"/>
  </w:num>
  <w:num w:numId="16" w16cid:durableId="410391730">
    <w:abstractNumId w:val="0"/>
  </w:num>
  <w:num w:numId="17" w16cid:durableId="1925413484">
    <w:abstractNumId w:val="19"/>
  </w:num>
  <w:num w:numId="18" w16cid:durableId="100331767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98804415">
    <w:abstractNumId w:val="16"/>
  </w:num>
  <w:num w:numId="20" w16cid:durableId="1363940929">
    <w:abstractNumId w:val="18"/>
  </w:num>
  <w:num w:numId="21" w16cid:durableId="1507357160">
    <w:abstractNumId w:val="13"/>
  </w:num>
  <w:num w:numId="22" w16cid:durableId="1057166797">
    <w:abstractNumId w:val="11"/>
  </w:num>
  <w:num w:numId="23" w16cid:durableId="892010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9E9"/>
    <w:rsid w:val="0000125B"/>
    <w:rsid w:val="0003096B"/>
    <w:rsid w:val="00046797"/>
    <w:rsid w:val="0008752E"/>
    <w:rsid w:val="000A272B"/>
    <w:rsid w:val="000F3B7F"/>
    <w:rsid w:val="000F3BC3"/>
    <w:rsid w:val="0010323C"/>
    <w:rsid w:val="00123582"/>
    <w:rsid w:val="001339B6"/>
    <w:rsid w:val="00147DFB"/>
    <w:rsid w:val="00160C17"/>
    <w:rsid w:val="00164D77"/>
    <w:rsid w:val="00164E8B"/>
    <w:rsid w:val="001940F8"/>
    <w:rsid w:val="001C5BA0"/>
    <w:rsid w:val="001C7285"/>
    <w:rsid w:val="001D556C"/>
    <w:rsid w:val="001E0B4D"/>
    <w:rsid w:val="0020216F"/>
    <w:rsid w:val="0022207F"/>
    <w:rsid w:val="002348EB"/>
    <w:rsid w:val="00296484"/>
    <w:rsid w:val="002B7E2A"/>
    <w:rsid w:val="002C55AF"/>
    <w:rsid w:val="002E059D"/>
    <w:rsid w:val="002E1661"/>
    <w:rsid w:val="003266A8"/>
    <w:rsid w:val="00336C85"/>
    <w:rsid w:val="003444A6"/>
    <w:rsid w:val="0036395B"/>
    <w:rsid w:val="003919E9"/>
    <w:rsid w:val="003E02F2"/>
    <w:rsid w:val="003E639D"/>
    <w:rsid w:val="00406E13"/>
    <w:rsid w:val="00412839"/>
    <w:rsid w:val="00440697"/>
    <w:rsid w:val="00450C94"/>
    <w:rsid w:val="004544B1"/>
    <w:rsid w:val="004A5182"/>
    <w:rsid w:val="004E7FFD"/>
    <w:rsid w:val="00553C55"/>
    <w:rsid w:val="005C6B3E"/>
    <w:rsid w:val="005D0544"/>
    <w:rsid w:val="00642AF0"/>
    <w:rsid w:val="006471E0"/>
    <w:rsid w:val="00656BDB"/>
    <w:rsid w:val="00661296"/>
    <w:rsid w:val="006824FC"/>
    <w:rsid w:val="00694710"/>
    <w:rsid w:val="006C4091"/>
    <w:rsid w:val="00704700"/>
    <w:rsid w:val="0071294C"/>
    <w:rsid w:val="0077168E"/>
    <w:rsid w:val="007B2144"/>
    <w:rsid w:val="007C1BEF"/>
    <w:rsid w:val="007C5A8B"/>
    <w:rsid w:val="007C6385"/>
    <w:rsid w:val="007E7292"/>
    <w:rsid w:val="007F4AE8"/>
    <w:rsid w:val="00805421"/>
    <w:rsid w:val="00835F07"/>
    <w:rsid w:val="00886D43"/>
    <w:rsid w:val="00893A2B"/>
    <w:rsid w:val="00895C26"/>
    <w:rsid w:val="008A15D9"/>
    <w:rsid w:val="008D07ED"/>
    <w:rsid w:val="008E1F18"/>
    <w:rsid w:val="008F1DD1"/>
    <w:rsid w:val="008F5657"/>
    <w:rsid w:val="009179F6"/>
    <w:rsid w:val="00917A71"/>
    <w:rsid w:val="009215D0"/>
    <w:rsid w:val="00937676"/>
    <w:rsid w:val="00987B8C"/>
    <w:rsid w:val="009A4B84"/>
    <w:rsid w:val="009F3A14"/>
    <w:rsid w:val="00A33894"/>
    <w:rsid w:val="00A36499"/>
    <w:rsid w:val="00A84614"/>
    <w:rsid w:val="00AC0299"/>
    <w:rsid w:val="00AD3DE3"/>
    <w:rsid w:val="00B045A2"/>
    <w:rsid w:val="00B402F2"/>
    <w:rsid w:val="00B75F5D"/>
    <w:rsid w:val="00B85EC6"/>
    <w:rsid w:val="00B90122"/>
    <w:rsid w:val="00B92114"/>
    <w:rsid w:val="00BB5011"/>
    <w:rsid w:val="00BD1474"/>
    <w:rsid w:val="00C43AE4"/>
    <w:rsid w:val="00C55970"/>
    <w:rsid w:val="00CA0A23"/>
    <w:rsid w:val="00CD56EF"/>
    <w:rsid w:val="00D07710"/>
    <w:rsid w:val="00D405C3"/>
    <w:rsid w:val="00D51448"/>
    <w:rsid w:val="00D723CD"/>
    <w:rsid w:val="00D84AB1"/>
    <w:rsid w:val="00DA2EB4"/>
    <w:rsid w:val="00DC4ECB"/>
    <w:rsid w:val="00DE0535"/>
    <w:rsid w:val="00E0618F"/>
    <w:rsid w:val="00E47681"/>
    <w:rsid w:val="00E60046"/>
    <w:rsid w:val="00E63EA9"/>
    <w:rsid w:val="00E63FF6"/>
    <w:rsid w:val="00ED0985"/>
    <w:rsid w:val="00ED4F83"/>
    <w:rsid w:val="00F0627E"/>
    <w:rsid w:val="00F367EF"/>
    <w:rsid w:val="00F4666F"/>
    <w:rsid w:val="00F603F1"/>
    <w:rsid w:val="00F74641"/>
    <w:rsid w:val="00F75A70"/>
    <w:rsid w:val="00FB6CCD"/>
    <w:rsid w:val="00FF179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FBEA5"/>
  <w15:chartTrackingRefBased/>
  <w15:docId w15:val="{B89CDCE0-F0B7-40D3-B873-64364FC4E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66F"/>
    <w:pPr>
      <w:spacing w:after="0" w:line="276" w:lineRule="auto"/>
    </w:pPr>
    <w:rPr>
      <w:sz w:val="24"/>
    </w:rPr>
  </w:style>
  <w:style w:type="paragraph" w:styleId="Heading10">
    <w:name w:val="heading 1"/>
    <w:basedOn w:val="Normal"/>
    <w:next w:val="Normal"/>
    <w:link w:val="Heading1Char"/>
    <w:uiPriority w:val="9"/>
    <w:qFormat/>
    <w:rsid w:val="0071294C"/>
    <w:pPr>
      <w:keepNext/>
      <w:keepLines/>
      <w:spacing w:after="240" w:line="560" w:lineRule="exact"/>
      <w:outlineLvl w:val="0"/>
    </w:pPr>
    <w:rPr>
      <w:rFonts w:asciiTheme="majorHAnsi" w:eastAsiaTheme="majorEastAsia" w:hAnsiTheme="majorHAnsi" w:cstheme="majorBidi"/>
      <w:color w:val="064276" w:themeColor="accent1"/>
      <w:sz w:val="56"/>
      <w:szCs w:val="32"/>
    </w:rPr>
  </w:style>
  <w:style w:type="paragraph" w:styleId="Heading20">
    <w:name w:val="heading 2"/>
    <w:basedOn w:val="Normal"/>
    <w:next w:val="Normal"/>
    <w:link w:val="Heading2Char"/>
    <w:uiPriority w:val="9"/>
    <w:qFormat/>
    <w:rsid w:val="0071294C"/>
    <w:pPr>
      <w:keepNext/>
      <w:keepLines/>
      <w:spacing w:before="120" w:after="60" w:line="240" w:lineRule="auto"/>
      <w:outlineLvl w:val="1"/>
    </w:pPr>
    <w:rPr>
      <w:rFonts w:eastAsiaTheme="majorEastAsia" w:cstheme="majorBidi"/>
      <w:color w:val="5F7577" w:themeColor="accent2"/>
      <w:sz w:val="32"/>
      <w:szCs w:val="28"/>
    </w:rPr>
  </w:style>
  <w:style w:type="paragraph" w:styleId="Heading30">
    <w:name w:val="heading 3"/>
    <w:basedOn w:val="Normal"/>
    <w:next w:val="Normal"/>
    <w:link w:val="Heading3Char"/>
    <w:uiPriority w:val="9"/>
    <w:qFormat/>
    <w:rsid w:val="00F4666F"/>
    <w:pPr>
      <w:keepNext/>
      <w:keepLines/>
      <w:spacing w:before="120" w:after="120" w:line="240" w:lineRule="auto"/>
      <w:outlineLvl w:val="2"/>
    </w:pPr>
    <w:rPr>
      <w:rFonts w:asciiTheme="majorHAnsi" w:eastAsiaTheme="majorEastAsia" w:hAnsiTheme="majorHAnsi" w:cstheme="majorBidi"/>
      <w:b/>
      <w:caps/>
      <w:color w:val="064276" w:themeColor="accent1"/>
      <w:sz w:val="28"/>
      <w:szCs w:val="24"/>
    </w:rPr>
  </w:style>
  <w:style w:type="paragraph" w:styleId="Heading40">
    <w:name w:val="heading 4"/>
    <w:basedOn w:val="Normal"/>
    <w:next w:val="Normal"/>
    <w:link w:val="Heading4Char"/>
    <w:uiPriority w:val="9"/>
    <w:qFormat/>
    <w:rsid w:val="00F4666F"/>
    <w:pPr>
      <w:keepNext/>
      <w:keepLines/>
      <w:spacing w:before="120" w:after="120" w:line="240" w:lineRule="auto"/>
      <w:outlineLvl w:val="3"/>
    </w:pPr>
    <w:rPr>
      <w:rFonts w:eastAsiaTheme="majorEastAsia" w:cstheme="majorBidi"/>
      <w:color w:val="064276" w:themeColor="text2"/>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752E"/>
    <w:pPr>
      <w:tabs>
        <w:tab w:val="center" w:pos="4513"/>
        <w:tab w:val="right" w:pos="9026"/>
      </w:tabs>
      <w:spacing w:line="240" w:lineRule="auto"/>
    </w:pPr>
  </w:style>
  <w:style w:type="character" w:customStyle="1" w:styleId="HeaderChar">
    <w:name w:val="Header Char"/>
    <w:basedOn w:val="DefaultParagraphFont"/>
    <w:link w:val="Header"/>
    <w:uiPriority w:val="99"/>
    <w:rsid w:val="0008752E"/>
  </w:style>
  <w:style w:type="paragraph" w:styleId="Footer">
    <w:name w:val="footer"/>
    <w:basedOn w:val="Normal"/>
    <w:link w:val="FooterChar"/>
    <w:uiPriority w:val="99"/>
    <w:unhideWhenUsed/>
    <w:rsid w:val="0008752E"/>
    <w:pPr>
      <w:tabs>
        <w:tab w:val="center" w:pos="4513"/>
        <w:tab w:val="right" w:pos="9026"/>
      </w:tabs>
      <w:spacing w:line="240" w:lineRule="auto"/>
    </w:pPr>
  </w:style>
  <w:style w:type="character" w:customStyle="1" w:styleId="FooterChar">
    <w:name w:val="Footer Char"/>
    <w:basedOn w:val="DefaultParagraphFont"/>
    <w:link w:val="Footer"/>
    <w:uiPriority w:val="99"/>
    <w:rsid w:val="0008752E"/>
  </w:style>
  <w:style w:type="table" w:styleId="TableGrid">
    <w:name w:val="Table Grid"/>
    <w:basedOn w:val="TableNormal"/>
    <w:uiPriority w:val="39"/>
    <w:rsid w:val="00805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le">
    <w:name w:val="Document title"/>
    <w:basedOn w:val="Normal"/>
    <w:rsid w:val="00694710"/>
    <w:pPr>
      <w:spacing w:line="720" w:lineRule="exact"/>
    </w:pPr>
    <w:rPr>
      <w:rFonts w:asciiTheme="majorHAnsi" w:hAnsiTheme="majorHAnsi"/>
      <w:caps/>
      <w:color w:val="064276" w:themeColor="accent1"/>
      <w:sz w:val="72"/>
      <w:szCs w:val="80"/>
    </w:rPr>
  </w:style>
  <w:style w:type="paragraph" w:customStyle="1" w:styleId="Documentsubtitle">
    <w:name w:val="Document subtitle"/>
    <w:basedOn w:val="Normal"/>
    <w:rsid w:val="00694710"/>
    <w:pPr>
      <w:spacing w:before="120" w:line="440" w:lineRule="exact"/>
    </w:pPr>
    <w:rPr>
      <w:color w:val="5F7577" w:themeColor="accent2"/>
      <w:sz w:val="44"/>
      <w:szCs w:val="36"/>
    </w:rPr>
  </w:style>
  <w:style w:type="paragraph" w:customStyle="1" w:styleId="Coverinfo">
    <w:name w:val="Cover info"/>
    <w:qFormat/>
    <w:rsid w:val="00805421"/>
    <w:rPr>
      <w:color w:val="064276" w:themeColor="accent1"/>
      <w:sz w:val="32"/>
      <w:szCs w:val="36"/>
    </w:rPr>
  </w:style>
  <w:style w:type="paragraph" w:customStyle="1" w:styleId="CONTENTS">
    <w:name w:val="CONTENTS"/>
    <w:basedOn w:val="Normal"/>
    <w:rsid w:val="009215D0"/>
    <w:pPr>
      <w:spacing w:after="360" w:line="264" w:lineRule="auto"/>
      <w:jc w:val="both"/>
    </w:pPr>
    <w:rPr>
      <w:color w:val="064276" w:themeColor="text2"/>
      <w:sz w:val="72"/>
      <w:szCs w:val="72"/>
    </w:rPr>
  </w:style>
  <w:style w:type="character" w:customStyle="1" w:styleId="Heading1Char">
    <w:name w:val="Heading 1 Char"/>
    <w:basedOn w:val="DefaultParagraphFont"/>
    <w:link w:val="Heading10"/>
    <w:uiPriority w:val="9"/>
    <w:rsid w:val="0071294C"/>
    <w:rPr>
      <w:rFonts w:asciiTheme="majorHAnsi" w:eastAsiaTheme="majorEastAsia" w:hAnsiTheme="majorHAnsi" w:cstheme="majorBidi"/>
      <w:color w:val="064276" w:themeColor="accent1"/>
      <w:sz w:val="56"/>
      <w:szCs w:val="32"/>
    </w:rPr>
  </w:style>
  <w:style w:type="character" w:customStyle="1" w:styleId="Heading2Char">
    <w:name w:val="Heading 2 Char"/>
    <w:basedOn w:val="DefaultParagraphFont"/>
    <w:link w:val="Heading20"/>
    <w:uiPriority w:val="9"/>
    <w:rsid w:val="0071294C"/>
    <w:rPr>
      <w:rFonts w:eastAsiaTheme="majorEastAsia" w:cstheme="majorBidi"/>
      <w:color w:val="5F7577" w:themeColor="accent2"/>
      <w:sz w:val="32"/>
      <w:szCs w:val="28"/>
    </w:rPr>
  </w:style>
  <w:style w:type="character" w:customStyle="1" w:styleId="Heading3Char">
    <w:name w:val="Heading 3 Char"/>
    <w:basedOn w:val="DefaultParagraphFont"/>
    <w:link w:val="Heading30"/>
    <w:uiPriority w:val="9"/>
    <w:rsid w:val="00F4666F"/>
    <w:rPr>
      <w:rFonts w:asciiTheme="majorHAnsi" w:eastAsiaTheme="majorEastAsia" w:hAnsiTheme="majorHAnsi" w:cstheme="majorBidi"/>
      <w:b/>
      <w:caps/>
      <w:color w:val="064276" w:themeColor="accent1"/>
      <w:sz w:val="28"/>
      <w:szCs w:val="24"/>
    </w:rPr>
  </w:style>
  <w:style w:type="character" w:customStyle="1" w:styleId="Heading4Char">
    <w:name w:val="Heading 4 Char"/>
    <w:basedOn w:val="DefaultParagraphFont"/>
    <w:link w:val="Heading40"/>
    <w:uiPriority w:val="9"/>
    <w:rsid w:val="00F4666F"/>
    <w:rPr>
      <w:rFonts w:eastAsiaTheme="majorEastAsia" w:cstheme="majorBidi"/>
      <w:color w:val="064276" w:themeColor="text2"/>
      <w:sz w:val="26"/>
    </w:rPr>
  </w:style>
  <w:style w:type="paragraph" w:customStyle="1" w:styleId="Largeheading">
    <w:name w:val="Large heading"/>
    <w:basedOn w:val="Heading10"/>
    <w:qFormat/>
    <w:rsid w:val="0071294C"/>
    <w:pPr>
      <w:spacing w:after="120"/>
    </w:pPr>
    <w:rPr>
      <w:b/>
      <w:bCs/>
      <w:sz w:val="64"/>
      <w:szCs w:val="64"/>
    </w:rPr>
  </w:style>
  <w:style w:type="paragraph" w:customStyle="1" w:styleId="Smallheading">
    <w:name w:val="Small heading"/>
    <w:basedOn w:val="Heading10"/>
    <w:qFormat/>
    <w:rsid w:val="00A33894"/>
    <w:pPr>
      <w:spacing w:before="120" w:line="240" w:lineRule="auto"/>
    </w:pPr>
    <w:rPr>
      <w:color w:val="5F7577" w:themeColor="accent2"/>
      <w:sz w:val="36"/>
      <w:szCs w:val="36"/>
    </w:rPr>
  </w:style>
  <w:style w:type="paragraph" w:customStyle="1" w:styleId="SMALLHEADINGALLCAPS">
    <w:name w:val="SMALL HEADING ALL CAPS"/>
    <w:basedOn w:val="Normal"/>
    <w:qFormat/>
    <w:rsid w:val="00440697"/>
    <w:pPr>
      <w:spacing w:after="60" w:line="240" w:lineRule="auto"/>
    </w:pPr>
    <w:rPr>
      <w:b/>
      <w:caps/>
      <w:color w:val="064276" w:themeColor="accent1"/>
    </w:rPr>
  </w:style>
  <w:style w:type="paragraph" w:styleId="TOC2">
    <w:name w:val="toc 2"/>
    <w:basedOn w:val="Normal"/>
    <w:next w:val="Normal"/>
    <w:autoRedefine/>
    <w:uiPriority w:val="39"/>
    <w:unhideWhenUsed/>
    <w:rsid w:val="00440697"/>
    <w:pPr>
      <w:tabs>
        <w:tab w:val="left" w:pos="426"/>
        <w:tab w:val="right" w:leader="dot" w:pos="9628"/>
      </w:tabs>
      <w:spacing w:after="100"/>
    </w:pPr>
    <w:rPr>
      <w:noProof/>
      <w:sz w:val="22"/>
    </w:rPr>
  </w:style>
  <w:style w:type="paragraph" w:customStyle="1" w:styleId="Bullet1">
    <w:name w:val="Bullet 1"/>
    <w:basedOn w:val="Normal"/>
    <w:qFormat/>
    <w:rsid w:val="00F74641"/>
    <w:pPr>
      <w:numPr>
        <w:numId w:val="5"/>
      </w:numPr>
      <w:spacing w:line="288" w:lineRule="auto"/>
      <w:contextualSpacing/>
    </w:pPr>
    <w:rPr>
      <w:rFonts w:cstheme="minorHAnsi"/>
      <w:color w:val="000000" w:themeColor="text1"/>
      <w:szCs w:val="20"/>
    </w:rPr>
  </w:style>
  <w:style w:type="paragraph" w:customStyle="1" w:styleId="List1">
    <w:name w:val="# List 1"/>
    <w:basedOn w:val="Normal"/>
    <w:rsid w:val="00F74641"/>
    <w:pPr>
      <w:numPr>
        <w:numId w:val="4"/>
      </w:numPr>
      <w:spacing w:before="120" w:after="60" w:line="288" w:lineRule="auto"/>
      <w:ind w:left="426" w:hanging="426"/>
      <w:contextualSpacing/>
    </w:pPr>
    <w:rPr>
      <w:rFonts w:eastAsia="PMingLiU" w:cs="Century Gothic"/>
      <w:color w:val="000000" w:themeColor="text1"/>
      <w:szCs w:val="18"/>
      <w:lang w:eastAsia="zh-TW"/>
    </w:rPr>
  </w:style>
  <w:style w:type="paragraph" w:customStyle="1" w:styleId="Bullet2">
    <w:name w:val="Bullet 2"/>
    <w:basedOn w:val="Bullet1"/>
    <w:qFormat/>
    <w:rsid w:val="00F74641"/>
    <w:pPr>
      <w:numPr>
        <w:numId w:val="3"/>
      </w:numPr>
      <w:ind w:left="490" w:hanging="238"/>
    </w:pPr>
  </w:style>
  <w:style w:type="paragraph" w:customStyle="1" w:styleId="Bullet3">
    <w:name w:val="Bullet 3"/>
    <w:basedOn w:val="Bullet2"/>
    <w:rsid w:val="00F75A70"/>
    <w:pPr>
      <w:numPr>
        <w:ilvl w:val="1"/>
        <w:numId w:val="17"/>
      </w:numPr>
      <w:ind w:left="714" w:hanging="210"/>
    </w:pPr>
  </w:style>
  <w:style w:type="paragraph" w:customStyle="1" w:styleId="List2">
    <w:name w:val="# List 2"/>
    <w:basedOn w:val="Normal"/>
    <w:rsid w:val="00F74641"/>
    <w:pPr>
      <w:numPr>
        <w:ilvl w:val="1"/>
        <w:numId w:val="4"/>
      </w:numPr>
      <w:spacing w:before="120" w:after="60" w:line="288" w:lineRule="auto"/>
      <w:ind w:left="574" w:hanging="574"/>
      <w:contextualSpacing/>
    </w:pPr>
    <w:rPr>
      <w:rFonts w:eastAsia="PMingLiU" w:cs="Century Gothic"/>
      <w:color w:val="000000" w:themeColor="text1"/>
      <w:szCs w:val="18"/>
      <w:lang w:eastAsia="zh-TW"/>
    </w:rPr>
  </w:style>
  <w:style w:type="paragraph" w:customStyle="1" w:styleId="List3">
    <w:name w:val="# List 3"/>
    <w:basedOn w:val="Normal"/>
    <w:rsid w:val="00F74641"/>
    <w:pPr>
      <w:numPr>
        <w:ilvl w:val="2"/>
        <w:numId w:val="4"/>
      </w:numPr>
      <w:spacing w:before="120" w:after="60" w:line="288" w:lineRule="auto"/>
      <w:contextualSpacing/>
    </w:pPr>
    <w:rPr>
      <w:rFonts w:eastAsia="PMingLiU" w:cs="Century Gothic"/>
      <w:color w:val="000000" w:themeColor="text1"/>
      <w:szCs w:val="18"/>
      <w:lang w:eastAsia="zh-TW"/>
    </w:rPr>
  </w:style>
  <w:style w:type="paragraph" w:customStyle="1" w:styleId="List4">
    <w:name w:val="# List 4"/>
    <w:basedOn w:val="Normal"/>
    <w:rsid w:val="00F74641"/>
    <w:pPr>
      <w:numPr>
        <w:ilvl w:val="3"/>
        <w:numId w:val="4"/>
      </w:numPr>
      <w:spacing w:before="120" w:after="80" w:line="288" w:lineRule="auto"/>
      <w:ind w:left="896" w:hanging="896"/>
      <w:contextualSpacing/>
    </w:pPr>
    <w:rPr>
      <w:rFonts w:eastAsia="PMingLiU" w:cs="Century Gothic"/>
      <w:color w:val="000000" w:themeColor="text1"/>
      <w:szCs w:val="18"/>
      <w:lang w:eastAsia="zh-TW"/>
    </w:rPr>
  </w:style>
  <w:style w:type="paragraph" w:customStyle="1" w:styleId="Boldtext">
    <w:name w:val="Bold text"/>
    <w:basedOn w:val="Normal"/>
    <w:rsid w:val="00F4666F"/>
    <w:pPr>
      <w:spacing w:after="120" w:line="288" w:lineRule="auto"/>
    </w:pPr>
    <w:rPr>
      <w:b/>
      <w:bCs/>
      <w:color w:val="064276" w:themeColor="text2"/>
    </w:rPr>
  </w:style>
  <w:style w:type="paragraph" w:customStyle="1" w:styleId="Summaryparagraphtext">
    <w:name w:val="Summary paragraph text"/>
    <w:basedOn w:val="Normal"/>
    <w:qFormat/>
    <w:rsid w:val="00F4666F"/>
    <w:pPr>
      <w:spacing w:after="120"/>
    </w:pPr>
    <w:rPr>
      <w:rFonts w:asciiTheme="majorHAnsi" w:hAnsiTheme="majorHAnsi"/>
      <w:bCs/>
      <w:i/>
      <w:iCs/>
      <w:color w:val="497A9C" w:themeColor="background2"/>
    </w:rPr>
  </w:style>
  <w:style w:type="paragraph" w:customStyle="1" w:styleId="Smallheadingbold">
    <w:name w:val="Small heading bold"/>
    <w:basedOn w:val="Smallheading"/>
    <w:qFormat/>
    <w:rsid w:val="00A33894"/>
    <w:rPr>
      <w:rFonts w:asciiTheme="minorHAnsi" w:hAnsiTheme="minorHAnsi"/>
      <w:b/>
      <w:bCs/>
      <w:color w:val="064276" w:themeColor="text2"/>
      <w:sz w:val="28"/>
      <w:szCs w:val="28"/>
    </w:rPr>
  </w:style>
  <w:style w:type="paragraph" w:customStyle="1" w:styleId="Heading1">
    <w:name w:val="# Heading 1"/>
    <w:basedOn w:val="Normal"/>
    <w:qFormat/>
    <w:rsid w:val="0071294C"/>
    <w:pPr>
      <w:numPr>
        <w:numId w:val="2"/>
      </w:numPr>
      <w:spacing w:after="240" w:line="560" w:lineRule="exact"/>
    </w:pPr>
    <w:rPr>
      <w:rFonts w:asciiTheme="majorHAnsi" w:hAnsiTheme="majorHAnsi"/>
      <w:color w:val="064276" w:themeColor="accent1"/>
      <w:spacing w:val="-10"/>
      <w:sz w:val="56"/>
      <w:szCs w:val="40"/>
    </w:rPr>
  </w:style>
  <w:style w:type="paragraph" w:customStyle="1" w:styleId="Heading2">
    <w:name w:val="# Heading 2"/>
    <w:basedOn w:val="ListParagraph"/>
    <w:qFormat/>
    <w:rsid w:val="0071294C"/>
    <w:pPr>
      <w:numPr>
        <w:ilvl w:val="1"/>
        <w:numId w:val="2"/>
      </w:numPr>
      <w:tabs>
        <w:tab w:val="num" w:pos="360"/>
      </w:tabs>
      <w:spacing w:before="60" w:after="60" w:line="240" w:lineRule="auto"/>
      <w:ind w:left="709" w:hanging="709"/>
    </w:pPr>
    <w:rPr>
      <w:color w:val="5F7577" w:themeColor="accent2"/>
      <w:sz w:val="32"/>
      <w:szCs w:val="28"/>
    </w:rPr>
  </w:style>
  <w:style w:type="paragraph" w:customStyle="1" w:styleId="Heading3">
    <w:name w:val="# Heading 3"/>
    <w:basedOn w:val="ListParagraph"/>
    <w:qFormat/>
    <w:rsid w:val="00F4666F"/>
    <w:pPr>
      <w:numPr>
        <w:ilvl w:val="2"/>
        <w:numId w:val="2"/>
      </w:numPr>
      <w:tabs>
        <w:tab w:val="num" w:pos="360"/>
      </w:tabs>
      <w:spacing w:before="240" w:after="120" w:line="240" w:lineRule="auto"/>
      <w:ind w:left="851" w:hanging="851"/>
    </w:pPr>
    <w:rPr>
      <w:rFonts w:asciiTheme="majorHAnsi" w:hAnsiTheme="majorHAnsi"/>
      <w:b/>
      <w:bCs/>
      <w:caps/>
      <w:color w:val="064276" w:themeColor="text2"/>
      <w:sz w:val="28"/>
      <w:szCs w:val="24"/>
    </w:rPr>
  </w:style>
  <w:style w:type="paragraph" w:customStyle="1" w:styleId="Heading4">
    <w:name w:val="# Heading 4"/>
    <w:basedOn w:val="ListParagraph"/>
    <w:rsid w:val="00440697"/>
    <w:pPr>
      <w:numPr>
        <w:ilvl w:val="3"/>
        <w:numId w:val="2"/>
      </w:numPr>
      <w:tabs>
        <w:tab w:val="num" w:pos="360"/>
      </w:tabs>
      <w:spacing w:before="120" w:after="120" w:line="240" w:lineRule="auto"/>
      <w:ind w:left="992" w:hanging="992"/>
    </w:pPr>
    <w:rPr>
      <w:bCs/>
      <w:color w:val="064276" w:themeColor="text2"/>
      <w:szCs w:val="24"/>
    </w:rPr>
  </w:style>
  <w:style w:type="paragraph" w:customStyle="1" w:styleId="Footnotesource">
    <w:name w:val="Footnote / source"/>
    <w:basedOn w:val="Normal"/>
    <w:rsid w:val="00F4666F"/>
    <w:pPr>
      <w:spacing w:before="120" w:line="240" w:lineRule="auto"/>
    </w:pPr>
    <w:rPr>
      <w:rFonts w:asciiTheme="majorHAnsi" w:hAnsiTheme="majorHAnsi"/>
      <w:i/>
      <w:color w:val="000000" w:themeColor="text1"/>
      <w:sz w:val="20"/>
      <w:szCs w:val="15"/>
    </w:rPr>
  </w:style>
  <w:style w:type="paragraph" w:customStyle="1" w:styleId="Summaryparagraphtextbold">
    <w:name w:val="Summary paragraph text bold"/>
    <w:basedOn w:val="Summaryparagraphtext"/>
    <w:qFormat/>
    <w:rsid w:val="00F74641"/>
    <w:rPr>
      <w:rFonts w:asciiTheme="minorHAnsi" w:hAnsiTheme="minorHAnsi"/>
      <w:b/>
      <w:bCs w:val="0"/>
      <w:i w:val="0"/>
      <w:iCs w:val="0"/>
    </w:rPr>
  </w:style>
  <w:style w:type="paragraph" w:styleId="ListParagraph">
    <w:name w:val="List Paragraph"/>
    <w:basedOn w:val="Normal"/>
    <w:uiPriority w:val="34"/>
    <w:qFormat/>
    <w:rsid w:val="00A33894"/>
    <w:pPr>
      <w:ind w:left="720"/>
      <w:contextualSpacing/>
    </w:pPr>
  </w:style>
  <w:style w:type="table" w:customStyle="1" w:styleId="Blueline">
    <w:name w:val="Blue line"/>
    <w:basedOn w:val="TableNormal"/>
    <w:uiPriority w:val="99"/>
    <w:rsid w:val="00440697"/>
    <w:pPr>
      <w:spacing w:after="0" w:line="240" w:lineRule="auto"/>
    </w:pPr>
    <w:rPr>
      <w:sz w:val="21"/>
    </w:rPr>
    <w:tblPr>
      <w:tblBorders>
        <w:top w:val="single" w:sz="4" w:space="0" w:color="064276" w:themeColor="accent1"/>
        <w:bottom w:val="single" w:sz="4" w:space="0" w:color="064276" w:themeColor="accent1"/>
        <w:insideH w:val="single" w:sz="4" w:space="0" w:color="064276" w:themeColor="accent1"/>
      </w:tblBorders>
      <w:tblCellMar>
        <w:top w:w="85" w:type="dxa"/>
        <w:bottom w:w="85" w:type="dxa"/>
      </w:tblCellMar>
    </w:tblPr>
    <w:tcPr>
      <w:shd w:val="clear" w:color="auto" w:fill="auto"/>
    </w:tcPr>
    <w:tblStylePr w:type="firstRow">
      <w:rPr>
        <w:rFonts w:asciiTheme="majorHAnsi" w:hAnsiTheme="majorHAnsi"/>
        <w:b/>
        <w:caps w:val="0"/>
        <w:smallCaps w:val="0"/>
        <w:color w:val="064276" w:themeColor="text2"/>
        <w:sz w:val="18"/>
      </w:rPr>
      <w:tblPr/>
      <w:tcPr>
        <w:tcBorders>
          <w:bottom w:val="single" w:sz="18" w:space="0" w:color="064276" w:themeColor="accent1"/>
        </w:tcBorders>
        <w:shd w:val="clear" w:color="auto" w:fill="auto"/>
      </w:tcPr>
    </w:tblStylePr>
    <w:tblStylePr w:type="lastRow">
      <w:tblPr/>
      <w:tcPr>
        <w:tcBorders>
          <w:top w:val="single" w:sz="4" w:space="0" w:color="064276" w:themeColor="accent1"/>
        </w:tcBorders>
        <w:shd w:val="clear" w:color="auto" w:fill="auto"/>
      </w:tcPr>
    </w:tblStylePr>
  </w:style>
  <w:style w:type="table" w:customStyle="1" w:styleId="Blue">
    <w:name w:val="Blue"/>
    <w:basedOn w:val="PlainTable1"/>
    <w:uiPriority w:val="99"/>
    <w:rsid w:val="00440697"/>
    <w:rPr>
      <w:color w:val="000000" w:themeColor="text1"/>
      <w:sz w:val="21"/>
      <w:szCs w:val="20"/>
      <w:lang w:val="en-US" w:eastAsia="en-GB"/>
    </w:rPr>
    <w:tblPr>
      <w:tblBorders>
        <w:top w:val="none" w:sz="0" w:space="0" w:color="auto"/>
        <w:left w:val="none" w:sz="0" w:space="0" w:color="auto"/>
        <w:bottom w:val="single" w:sz="4" w:space="0" w:color="064276" w:themeColor="accent1"/>
        <w:right w:val="none" w:sz="0" w:space="0" w:color="auto"/>
        <w:insideH w:val="single" w:sz="4" w:space="0" w:color="FFFFFF" w:themeColor="background1"/>
        <w:insideV w:val="none" w:sz="0" w:space="0" w:color="auto"/>
      </w:tblBorders>
      <w:tblCellMar>
        <w:top w:w="85" w:type="dxa"/>
        <w:left w:w="85" w:type="dxa"/>
        <w:bottom w:w="85" w:type="dxa"/>
        <w:right w:w="85" w:type="dxa"/>
      </w:tblCellMar>
    </w:tblPr>
    <w:tcPr>
      <w:shd w:val="clear" w:color="auto" w:fill="F2F2F2" w:themeFill="background1" w:themeFillShade="F2"/>
    </w:tcPr>
    <w:tblStylePr w:type="firstRow">
      <w:rPr>
        <w:rFonts w:asciiTheme="minorHAnsi" w:hAnsiTheme="minorHAnsi"/>
        <w:b/>
        <w:bCs/>
        <w:caps w:val="0"/>
        <w:smallCaps w:val="0"/>
        <w:strike w:val="0"/>
        <w:dstrike w:val="0"/>
        <w:vanish w:val="0"/>
        <w:color w:val="FFFFFF" w:themeColor="background1"/>
        <w:sz w:val="18"/>
        <w:vertAlign w:val="baseline"/>
      </w:rPr>
      <w:tblPr/>
      <w:tcPr>
        <w:tcBorders>
          <w:insideV w:val="single" w:sz="4" w:space="0" w:color="FFFFFF" w:themeColor="background1"/>
        </w:tcBorders>
        <w:shd w:val="clear" w:color="auto" w:fill="064276" w:themeFill="accent1"/>
      </w:tcPr>
    </w:tblStylePr>
    <w:tblStylePr w:type="lastRow">
      <w:rPr>
        <w:rFonts w:asciiTheme="majorHAnsi" w:hAnsiTheme="majorHAnsi"/>
        <w:b/>
        <w:bCs/>
        <w:sz w:val="18"/>
      </w:rPr>
      <w:tblPr/>
      <w:tcPr>
        <w:tcBorders>
          <w:top w:val="single" w:sz="4" w:space="0" w:color="064276" w:themeColor="accent1"/>
        </w:tcBorders>
        <w:shd w:val="clear" w:color="auto" w:fill="D9D9D9" w:themeFill="background1" w:themeFillShade="D9"/>
      </w:tcPr>
    </w:tblStylePr>
    <w:tblStylePr w:type="firstCol">
      <w:rPr>
        <w:rFonts w:asciiTheme="majorHAnsi" w:hAnsiTheme="majorHAnsi"/>
        <w:b w:val="0"/>
        <w:bCs/>
        <w:sz w:val="18"/>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title">
    <w:name w:val="Table title"/>
    <w:basedOn w:val="Normal"/>
    <w:qFormat/>
    <w:rsid w:val="00F4666F"/>
    <w:pPr>
      <w:spacing w:before="60" w:after="60" w:line="288" w:lineRule="auto"/>
    </w:pPr>
    <w:rPr>
      <w:rFonts w:asciiTheme="majorHAnsi" w:hAnsiTheme="majorHAnsi"/>
      <w:b/>
      <w:bCs/>
      <w:color w:val="000000" w:themeColor="text1"/>
    </w:rPr>
  </w:style>
  <w:style w:type="paragraph" w:customStyle="1" w:styleId="TableHeadingWhite">
    <w:name w:val="Table Heading White"/>
    <w:basedOn w:val="Normal"/>
    <w:rsid w:val="00A84614"/>
    <w:pPr>
      <w:spacing w:line="240" w:lineRule="auto"/>
    </w:pPr>
    <w:rPr>
      <w:rFonts w:asciiTheme="majorHAnsi" w:hAnsiTheme="majorHAnsi" w:cstheme="majorHAnsi"/>
      <w:bCs/>
      <w:color w:val="FFFFFF" w:themeColor="background1"/>
      <w:szCs w:val="20"/>
      <w:lang w:val="en-US" w:eastAsia="en-GB"/>
    </w:rPr>
  </w:style>
  <w:style w:type="paragraph" w:styleId="Quote">
    <w:name w:val="Quote"/>
    <w:basedOn w:val="Normal"/>
    <w:next w:val="Normal"/>
    <w:link w:val="QuoteChar"/>
    <w:uiPriority w:val="29"/>
    <w:qFormat/>
    <w:rsid w:val="004A5182"/>
    <w:rPr>
      <w:b/>
      <w:bCs/>
      <w:i/>
      <w:iCs/>
      <w:color w:val="064276" w:themeColor="text2"/>
      <w:sz w:val="44"/>
      <w:szCs w:val="44"/>
    </w:rPr>
  </w:style>
  <w:style w:type="character" w:customStyle="1" w:styleId="QuoteChar">
    <w:name w:val="Quote Char"/>
    <w:basedOn w:val="DefaultParagraphFont"/>
    <w:link w:val="Quote"/>
    <w:uiPriority w:val="29"/>
    <w:rsid w:val="004A5182"/>
    <w:rPr>
      <w:b/>
      <w:bCs/>
      <w:i/>
      <w:iCs/>
      <w:color w:val="064276" w:themeColor="text2"/>
      <w:sz w:val="44"/>
      <w:szCs w:val="44"/>
    </w:rPr>
  </w:style>
  <w:style w:type="paragraph" w:styleId="TOC1">
    <w:name w:val="toc 1"/>
    <w:basedOn w:val="Normal"/>
    <w:next w:val="Normal"/>
    <w:autoRedefine/>
    <w:uiPriority w:val="39"/>
    <w:unhideWhenUsed/>
    <w:rsid w:val="00F4666F"/>
    <w:pPr>
      <w:spacing w:before="240"/>
    </w:pPr>
    <w:rPr>
      <w:b/>
      <w:color w:val="497A9C" w:themeColor="background2"/>
    </w:rPr>
  </w:style>
  <w:style w:type="character" w:styleId="Hyperlink">
    <w:name w:val="Hyperlink"/>
    <w:basedOn w:val="DefaultParagraphFont"/>
    <w:uiPriority w:val="99"/>
    <w:unhideWhenUsed/>
    <w:rsid w:val="00F4666F"/>
    <w:rPr>
      <w:color w:val="064276" w:themeColor="hyperlink"/>
      <w:sz w:val="24"/>
      <w:u w:val="single"/>
    </w:rPr>
  </w:style>
  <w:style w:type="paragraph" w:customStyle="1" w:styleId="Figuretitle">
    <w:name w:val="Figure title"/>
    <w:basedOn w:val="Tabletitle"/>
    <w:rsid w:val="00F4666F"/>
    <w:rPr>
      <w:rFonts w:asciiTheme="minorHAnsi" w:hAnsiTheme="minorHAnsi"/>
    </w:rPr>
  </w:style>
  <w:style w:type="paragraph" w:customStyle="1" w:styleId="Tabletext">
    <w:name w:val="Table text"/>
    <w:basedOn w:val="Normal"/>
    <w:qFormat/>
    <w:rsid w:val="00F74641"/>
    <w:pPr>
      <w:spacing w:line="264" w:lineRule="auto"/>
    </w:pPr>
    <w:rPr>
      <w:color w:val="000000" w:themeColor="text1"/>
      <w:szCs w:val="20"/>
      <w:lang w:eastAsia="en-GB"/>
    </w:rPr>
  </w:style>
  <w:style w:type="table" w:styleId="PlainTable1">
    <w:name w:val="Plain Table 1"/>
    <w:basedOn w:val="TableNormal"/>
    <w:uiPriority w:val="41"/>
    <w:rsid w:val="00A3389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1C5BA0"/>
    <w:pPr>
      <w:spacing w:before="100" w:beforeAutospacing="1" w:after="100" w:afterAutospacing="1" w:line="240" w:lineRule="auto"/>
    </w:pPr>
    <w:rPr>
      <w:rFonts w:ascii="Times New Roman" w:eastAsia="Times New Roman" w:hAnsi="Times New Roman" w:cs="Times New Roman"/>
      <w:szCs w:val="24"/>
      <w:lang w:eastAsia="en-GB"/>
    </w:rPr>
  </w:style>
  <w:style w:type="character" w:styleId="UnresolvedMention">
    <w:name w:val="Unresolved Mention"/>
    <w:basedOn w:val="DefaultParagraphFont"/>
    <w:uiPriority w:val="99"/>
    <w:semiHidden/>
    <w:unhideWhenUsed/>
    <w:rsid w:val="001C5BA0"/>
    <w:rPr>
      <w:color w:val="605E5C"/>
      <w:shd w:val="clear" w:color="auto" w:fill="E1DFDD"/>
    </w:rPr>
  </w:style>
  <w:style w:type="character" w:styleId="FollowedHyperlink">
    <w:name w:val="FollowedHyperlink"/>
    <w:basedOn w:val="DefaultParagraphFont"/>
    <w:uiPriority w:val="99"/>
    <w:semiHidden/>
    <w:unhideWhenUsed/>
    <w:rsid w:val="00C43AE4"/>
    <w:rPr>
      <w:color w:val="497A9C" w:themeColor="followedHyperlink"/>
      <w:u w:val="single"/>
    </w:rPr>
  </w:style>
  <w:style w:type="paragraph" w:styleId="FootnoteText">
    <w:name w:val="footnote text"/>
    <w:basedOn w:val="Normal"/>
    <w:link w:val="FootnoteTextChar"/>
    <w:uiPriority w:val="99"/>
    <w:semiHidden/>
    <w:unhideWhenUsed/>
    <w:rsid w:val="00886D43"/>
    <w:pPr>
      <w:spacing w:line="240" w:lineRule="auto"/>
    </w:pPr>
    <w:rPr>
      <w:sz w:val="20"/>
      <w:szCs w:val="20"/>
    </w:rPr>
  </w:style>
  <w:style w:type="character" w:customStyle="1" w:styleId="FootnoteTextChar">
    <w:name w:val="Footnote Text Char"/>
    <w:basedOn w:val="DefaultParagraphFont"/>
    <w:link w:val="FootnoteText"/>
    <w:uiPriority w:val="99"/>
    <w:semiHidden/>
    <w:rsid w:val="00886D43"/>
    <w:rPr>
      <w:sz w:val="20"/>
      <w:szCs w:val="20"/>
    </w:rPr>
  </w:style>
  <w:style w:type="character" w:styleId="FootnoteReference">
    <w:name w:val="footnote reference"/>
    <w:basedOn w:val="DefaultParagraphFont"/>
    <w:uiPriority w:val="99"/>
    <w:semiHidden/>
    <w:unhideWhenUsed/>
    <w:rsid w:val="00886D4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90220">
      <w:bodyDiv w:val="1"/>
      <w:marLeft w:val="0"/>
      <w:marRight w:val="0"/>
      <w:marTop w:val="0"/>
      <w:marBottom w:val="0"/>
      <w:divBdr>
        <w:top w:val="none" w:sz="0" w:space="0" w:color="auto"/>
        <w:left w:val="none" w:sz="0" w:space="0" w:color="auto"/>
        <w:bottom w:val="none" w:sz="0" w:space="0" w:color="auto"/>
        <w:right w:val="none" w:sz="0" w:space="0" w:color="auto"/>
      </w:divBdr>
    </w:div>
    <w:div w:id="409348656">
      <w:bodyDiv w:val="1"/>
      <w:marLeft w:val="0"/>
      <w:marRight w:val="0"/>
      <w:marTop w:val="0"/>
      <w:marBottom w:val="0"/>
      <w:divBdr>
        <w:top w:val="none" w:sz="0" w:space="0" w:color="auto"/>
        <w:left w:val="none" w:sz="0" w:space="0" w:color="auto"/>
        <w:bottom w:val="none" w:sz="0" w:space="0" w:color="auto"/>
        <w:right w:val="none" w:sz="0" w:space="0" w:color="auto"/>
      </w:divBdr>
    </w:div>
    <w:div w:id="845634253">
      <w:bodyDiv w:val="1"/>
      <w:marLeft w:val="0"/>
      <w:marRight w:val="0"/>
      <w:marTop w:val="0"/>
      <w:marBottom w:val="0"/>
      <w:divBdr>
        <w:top w:val="none" w:sz="0" w:space="0" w:color="auto"/>
        <w:left w:val="none" w:sz="0" w:space="0" w:color="auto"/>
        <w:bottom w:val="none" w:sz="0" w:space="0" w:color="auto"/>
        <w:right w:val="none" w:sz="0" w:space="0" w:color="auto"/>
      </w:divBdr>
    </w:div>
    <w:div w:id="990643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wics.scot/publications/our-performance/annual-reports-financial-statements"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scotlandontap.gov.uk/" TargetMode="External"/><Relationship Id="rId2" Type="http://schemas.openxmlformats.org/officeDocument/2006/relationships/customXml" Target="../customXml/item2.xml"/><Relationship Id="rId16" Type="http://schemas.openxmlformats.org/officeDocument/2006/relationships/hyperlink" Target="https://wics.scot/"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ics.scot/"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eme1">
  <a:themeElements>
    <a:clrScheme name="WICS">
      <a:dk1>
        <a:sysClr val="windowText" lastClr="000000"/>
      </a:dk1>
      <a:lt1>
        <a:sysClr val="window" lastClr="FFFFFF"/>
      </a:lt1>
      <a:dk2>
        <a:srgbClr val="064276"/>
      </a:dk2>
      <a:lt2>
        <a:srgbClr val="497A9C"/>
      </a:lt2>
      <a:accent1>
        <a:srgbClr val="064276"/>
      </a:accent1>
      <a:accent2>
        <a:srgbClr val="5F7577"/>
      </a:accent2>
      <a:accent3>
        <a:srgbClr val="497A9C"/>
      </a:accent3>
      <a:accent4>
        <a:srgbClr val="EA8255"/>
      </a:accent4>
      <a:accent5>
        <a:srgbClr val="ABA8D1"/>
      </a:accent5>
      <a:accent6>
        <a:srgbClr val="B8D288"/>
      </a:accent6>
      <a:hlink>
        <a:srgbClr val="064276"/>
      </a:hlink>
      <a:folHlink>
        <a:srgbClr val="497A9C"/>
      </a:folHlink>
    </a:clrScheme>
    <a:fontScheme name="Custom 56">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bodyPr vert="horz" wrap="square" lIns="0" tIns="0" rIns="0" bIns="0" numCol="1" spcCol="360000" rtlCol="0">
        <a:noAutofit/>
      </a:bodyPr>
      <a:lstStyle>
        <a:defPPr algn="l">
          <a:buClr>
            <a:schemeClr val="tx1"/>
          </a:buClr>
          <a:defRPr sz="1400" dirty="0" err="1" smtClean="0"/>
        </a:defPPr>
      </a:lstStyle>
    </a:txDef>
  </a:objectDefaults>
  <a:extraClrSchemeLst/>
  <a:extLst>
    <a:ext uri="{05A4C25C-085E-4340-85A3-A5531E510DB2}">
      <thm15:themeFamily xmlns:thm15="http://schemas.microsoft.com/office/thememl/2012/main" name="Theme1" id="{A5EAEE88-00EE-4801-B44A-3DEEF500F338}" vid="{9361F0DA-93C2-4605-996A-6346FFECBD8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65b6d800-2dda-48d6-88d8-9e2b35e6f7ea" xsi:nil="true"/>
    <o49a6551a5174fd091773af0de7dca61 xmlns="e1d9cb2f-0b9c-4b6f-8c88-d7cc9ca89a94">
      <Terms xmlns="http://schemas.microsoft.com/office/infopath/2007/PartnerControls"/>
    </o49a6551a5174fd091773af0de7dca61>
    <nb8d4ac56d8e4f3eab60cf43dc4a8542 xmlns="65b6d800-2dda-48d6-88d8-9e2b35e6f7ea">
      <Terms xmlns="http://schemas.microsoft.com/office/infopath/2007/PartnerControls"/>
    </nb8d4ac56d8e4f3eab60cf43dc4a8542>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34CA959ADCD3B48868047D93A75FF32" ma:contentTypeVersion="19" ma:contentTypeDescription="Create a new document." ma:contentTypeScope="" ma:versionID="dd0469af59705e4be290174e7fdf5091">
  <xsd:schema xmlns:xsd="http://www.w3.org/2001/XMLSchema" xmlns:xs="http://www.w3.org/2001/XMLSchema" xmlns:p="http://schemas.microsoft.com/office/2006/metadata/properties" xmlns:ns1="http://schemas.microsoft.com/sharepoint/v3" xmlns:ns2="e1d9cb2f-0b9c-4b6f-8c88-d7cc9ca89a94" xmlns:ns3="65b6d800-2dda-48d6-88d8-9e2b35e6f7ea" targetNamespace="http://schemas.microsoft.com/office/2006/metadata/properties" ma:root="true" ma:fieldsID="31fcbb2fd56a58e4bfd8e7ccece0d6c1" ns1:_="" ns2:_="" ns3:_="">
    <xsd:import namespace="http://schemas.microsoft.com/sharepoint/v3"/>
    <xsd:import namespace="e1d9cb2f-0b9c-4b6f-8c88-d7cc9ca89a94"/>
    <xsd:import namespace="65b6d800-2dda-48d6-88d8-9e2b35e6f7ea"/>
    <xsd:element name="properties">
      <xsd:complexType>
        <xsd:sequence>
          <xsd:element name="documentManagement">
            <xsd:complexType>
              <xsd:all>
                <xsd:element ref="ns2:o49a6551a5174fd091773af0de7dca61" minOccurs="0"/>
                <xsd:element ref="ns3:TaxCatchAll" minOccurs="0"/>
                <xsd:element ref="ns3:nb8d4ac56d8e4f3eab60cf43dc4a8542"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1:_ip_UnifiedCompliancePolicyProperties" minOccurs="0"/>
                <xsd:element ref="ns1:_ip_UnifiedCompliancePolicyUIAction" minOccurs="0"/>
                <xsd:element ref="ns2:MediaServiceAutoTags" minOccurs="0"/>
                <xsd:element ref="ns2:MediaServiceOCR"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d9cb2f-0b9c-4b6f-8c88-d7cc9ca89a94" elementFormDefault="qualified">
    <xsd:import namespace="http://schemas.microsoft.com/office/2006/documentManagement/types"/>
    <xsd:import namespace="http://schemas.microsoft.com/office/infopath/2007/PartnerControls"/>
    <xsd:element name="o49a6551a5174fd091773af0de7dca61" ma:index="9" nillable="true" ma:taxonomy="true" ma:internalName="o49a6551a5174fd091773af0de7dca61" ma:taxonomyFieldName="Governance_x0020_Area" ma:displayName="Governance Area" ma:indexed="true" ma:default="" ma:fieldId="{849a6551-a517-4fd0-9177-3af0de7dca61}" ma:sspId="f924a736-b285-4c68-8cdb-5ccf3ff341b6" ma:termSetId="8f3c1e7a-6c9e-4568-9ff1-912999fe9949" ma:anchorId="00000000-0000-0000-0000-000000000000" ma:open="false" ma:isKeyword="false">
      <xsd:complexType>
        <xsd:sequence>
          <xsd:element ref="pc:Terms" minOccurs="0" maxOccurs="1"/>
        </xsd:sequence>
      </xsd:complexType>
    </xsd:element>
    <xsd:element name="MediaServiceMetadata" ma:index="17" nillable="true" ma:displayName="MediaServiceMetadata" ma:description="" ma:hidden="true" ma:internalName="MediaServiceMetadata" ma:readOnly="true">
      <xsd:simpleType>
        <xsd:restriction base="dms:Note"/>
      </xsd:simpleType>
    </xsd:element>
    <xsd:element name="MediaServiceFastMetadata" ma:index="18" nillable="true" ma:displayName="MediaServiceFastMetadata" ma:description="" ma:hidden="true" ma:internalName="MediaServiceFastMetadata" ma:readOnly="true">
      <xsd:simpleType>
        <xsd:restriction base="dms:Note"/>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b6d800-2dda-48d6-88d8-9e2b35e6f7ea"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08503f4a-e7b5-4e8b-9a1b-011360948be7}" ma:internalName="TaxCatchAll" ma:showField="CatchAllData" ma:web="65b6d800-2dda-48d6-88d8-9e2b35e6f7ea">
      <xsd:complexType>
        <xsd:complexContent>
          <xsd:extension base="dms:MultiChoiceLookup">
            <xsd:sequence>
              <xsd:element name="Value" type="dms:Lookup" maxOccurs="unbounded" minOccurs="0" nillable="true"/>
            </xsd:sequence>
          </xsd:extension>
        </xsd:complexContent>
      </xsd:complexType>
    </xsd:element>
    <xsd:element name="nb8d4ac56d8e4f3eab60cf43dc4a8542" ma:index="12" nillable="true" ma:taxonomy="true" ma:internalName="nb8d4ac56d8e4f3eab60cf43dc4a8542" ma:taxonomyFieldName="Financial_x0020_Year" ma:displayName="Financial Year" ma:indexed="true" ma:default="" ma:fieldId="{7b8d4ac5-6d8e-4f3e-ab60-cf43dc4a8542}" ma:sspId="f924a736-b285-4c68-8cdb-5ccf3ff341b6" ma:termSetId="e3db7dc0-d157-4e6b-95e0-f2d210bd78ba" ma:anchorId="00000000-0000-0000-0000-000000000000" ma:open="false" ma:isKeyword="false">
      <xsd:complexType>
        <xsd:sequence>
          <xsd:element ref="pc:Terms" minOccurs="0" maxOccurs="1"/>
        </xsd:sequence>
      </xsd:complexType>
    </xsd:element>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LastSharedByUser" ma:index="15" nillable="true" ma:displayName="Last Shared By User" ma:description="" ma:internalName="LastSharedByUser" ma:readOnly="true">
      <xsd:simpleType>
        <xsd:restriction base="dms:Note">
          <xsd:maxLength value="255"/>
        </xsd:restriction>
      </xsd:simpleType>
    </xsd:element>
    <xsd:element name="LastSharedByTime" ma:index="16"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0AC3E646-8182-49B4-82B4-53A1FA361D11}">
  <ds:schemaRefs>
    <ds:schemaRef ds:uri="http://purl.org/dc/dcmitype/"/>
    <ds:schemaRef ds:uri="e1d9cb2f-0b9c-4b6f-8c88-d7cc9ca89a94"/>
    <ds:schemaRef ds:uri="http://schemas.microsoft.com/office/2006/documentManagement/types"/>
    <ds:schemaRef ds:uri="http://schemas.microsoft.com/office/2006/metadata/properties"/>
    <ds:schemaRef ds:uri="http://purl.org/dc/terms/"/>
    <ds:schemaRef ds:uri="http://schemas.microsoft.com/office/infopath/2007/PartnerControls"/>
    <ds:schemaRef ds:uri="http://schemas.openxmlformats.org/package/2006/metadata/core-properties"/>
    <ds:schemaRef ds:uri="65b6d800-2dda-48d6-88d8-9e2b35e6f7ea"/>
    <ds:schemaRef ds:uri="http://schemas.microsoft.com/sharepoint/v3"/>
    <ds:schemaRef ds:uri="http://www.w3.org/XML/1998/namespace"/>
    <ds:schemaRef ds:uri="http://purl.org/dc/elements/1.1/"/>
  </ds:schemaRefs>
</ds:datastoreItem>
</file>

<file path=customXml/itemProps2.xml><?xml version="1.0" encoding="utf-8"?>
<ds:datastoreItem xmlns:ds="http://schemas.openxmlformats.org/officeDocument/2006/customXml" ds:itemID="{B1A8E6D7-8841-4001-B88F-4E478FD8E985}">
  <ds:schemaRefs>
    <ds:schemaRef ds:uri="http://schemas.microsoft.com/sharepoint/v3/contenttype/forms"/>
  </ds:schemaRefs>
</ds:datastoreItem>
</file>

<file path=customXml/itemProps3.xml><?xml version="1.0" encoding="utf-8"?>
<ds:datastoreItem xmlns:ds="http://schemas.openxmlformats.org/officeDocument/2006/customXml" ds:itemID="{72E53743-382E-442E-92D7-B9D957F58BFA}">
  <ds:schemaRefs>
    <ds:schemaRef ds:uri="http://schemas.openxmlformats.org/officeDocument/2006/bibliography"/>
  </ds:schemaRefs>
</ds:datastoreItem>
</file>

<file path=customXml/itemProps4.xml><?xml version="1.0" encoding="utf-8"?>
<ds:datastoreItem xmlns:ds="http://schemas.openxmlformats.org/officeDocument/2006/customXml" ds:itemID="{FFBFF03E-58FE-46E3-A424-093630875B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1d9cb2f-0b9c-4b6f-8c88-d7cc9ca89a94"/>
    <ds:schemaRef ds:uri="65b6d800-2dda-48d6-88d8-9e2b35e6f7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40D9777-EFA8-4AD7-8537-AA502C84F09A}">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13</Pages>
  <Words>2586</Words>
  <Characters>14745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WICS_Proposal_20210729</vt:lpstr>
    </vt:vector>
  </TitlesOfParts>
  <Company/>
  <LinksUpToDate>false</LinksUpToDate>
  <CharactersWithSpaces>17297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WICS_Proposal_20210729</dc:title>
  <dc:subject/>
  <dc:creator>Debra  Wheelwright</dc:creator>
  <cp:keywords/>
  <dc:description/>
  <cp:lastModifiedBy>Kirsty McLean</cp:lastModifiedBy>
  <cp:revision>3</cp:revision>
  <dcterms:created xsi:type="dcterms:W3CDTF">2023-08-25T09:04:00Z</dcterms:created>
  <dcterms:modified xsi:type="dcterms:W3CDTF">2023-08-25T09:17:00Z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0x010100F34CA959ADCD3B48868047D93A75FF32</vt:lpwstr>
  </property>
  <property fmtid="{D5CDD505-2E9C-101B-9397-08002B2CF9AE}" pid="3" name="Order">
    <vt:r8>1666000</vt:r8>
  </property>
  <property fmtid="{D5CDD505-2E9C-101B-9397-08002B2CF9AE}" pid="4" name="Staff Admin Area">
    <vt:lpwstr/>
  </property>
  <property fmtid="{D5CDD505-2E9C-101B-9397-08002B2CF9AE}" pid="5" name="MediaServiceImageTags">
    <vt:lpwstr/>
  </property>
  <property fmtid="{D5CDD505-2E9C-101B-9397-08002B2CF9AE}" pid="6" name="Reports Area">
    <vt:lpwstr/>
  </property>
  <property fmtid="{D5CDD505-2E9C-101B-9397-08002B2CF9AE}" pid="7" name="f8222d92f0c14f9899aeb3bb6dd59f2b">
    <vt:lpwstr/>
  </property>
  <property fmtid="{D5CDD505-2E9C-101B-9397-08002B2CF9AE}" pid="8" name="Financial Year">
    <vt:lpwstr/>
  </property>
  <property fmtid="{D5CDD505-2E9C-101B-9397-08002B2CF9AE}" pid="9" name="Review_x0020_Period">
    <vt:lpwstr/>
  </property>
  <property fmtid="{D5CDD505-2E9C-101B-9397-08002B2CF9AE}" pid="10" name="Governance Area">
    <vt:lpwstr/>
  </property>
  <property fmtid="{D5CDD505-2E9C-101B-9397-08002B2CF9AE}" pid="11" name="Review Period">
    <vt:lpwstr/>
  </property>
</Properties>
</file>